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EA24B1" w:rsidRDefault="00EA24B1" w14:paraId="28BF6615" w14:textId="77777777" w:rsidP="00C70318" w:rsidRPr="00C70318">
      <w:pPr>
        <w:rPr>
          <w:rFonts w:ascii="Arial" w:cs="Arial" w:hAnsi="Arial"/>
        </w:rPr>
      </w:pPr>
    </w:p>
    <w:p w:rsidR="00D8246C" w:rsidRDefault="00D8246C" w14:paraId="51BBEA67" w14:textId="77777777" w:rsidP="00C70318" w:rsidRPr="00C70318">
      <w:pPr>
        <w:rPr>
          <w:rFonts w:ascii="Arial" w:cs="Arial" w:hAnsi="Arial"/>
        </w:rPr>
      </w:pPr>
    </w:p>
    <w:p w:rsidR="00D8246C" w:rsidRDefault="00D8246C" w14:paraId="311C42CB" w14:textId="77777777" w:rsidP="00C70318" w:rsidRPr="00C70318">
      <w:pPr>
        <w:jc w:val="center"/>
        <w:rPr>
          <w:rFonts w:ascii="Arial" w:cs="Arial" w:hAnsi="Arial"/>
        </w:rPr>
      </w:pPr>
    </w:p>
    <w:p w:rsidR="00FB4858" w:rsidRDefault="00FB4858" w14:paraId="2639A771" w14:textId="77777777" w:rsidP="00FB4858">
      <w:pPr>
        <w:jc w:val="center"/>
        <w:rPr>
          <w:bCs/>
          <w:b/>
          <w:sz w:val="36"/>
          <w:szCs w:val="36"/>
        </w:rPr>
      </w:pPr>
    </w:p>
    <w:p w:rsidR="00FB4858" w:rsidRDefault="00FB4858" w14:paraId="04053095" w14:textId="5A4F1085" w:rsidP="00FB4858" w:rsidRPr="004756DB">
      <w:pPr>
        <w:jc w:val="center"/>
        <w:rPr>
          <w:sz w:val="36"/>
          <w:szCs w:val="36"/>
        </w:rPr>
      </w:pPr>
      <w:r w:rsidRPr="004756DB">
        <w:rPr>
          <w:bCs/>
          <w:b/>
          <w:sz w:val="36"/>
          <w:szCs w:val="36"/>
        </w:rPr>
        <w:t>Programmes:</w:t>
      </w:r>
      <w:r w:rsidRPr="004756DB">
        <w:rPr>
          <w:sz w:val="36"/>
          <w:szCs w:val="36"/>
        </w:rPr>
        <w:t xml:space="preserve"> BA (Hons) International Hotel Management</w:t>
      </w:r>
    </w:p>
    <w:p w:rsidR="00FB4858" w:rsidRDefault="00FB4858" w14:paraId="56257E92" w14:textId="77777777" w:rsidP="00FB4858" w:rsidRPr="004756DB">
      <w:pPr>
        <w:jc w:val="center"/>
        <w:rPr>
          <w:bCs/>
          <w:b/>
          <w:sz w:val="36"/>
          <w:szCs w:val="36"/>
        </w:rPr>
      </w:pPr>
      <w:r w:rsidRPr="004756DB">
        <w:rPr>
          <w:bCs/>
          <w:b/>
          <w:sz w:val="36"/>
          <w:szCs w:val="36"/>
        </w:rPr>
        <w:t xml:space="preserve">Module Title: </w:t>
      </w:r>
      <w:r w:rsidRPr="004756DB">
        <w:rPr>
          <w:sz w:val="36"/>
          <w:szCs w:val="36"/>
        </w:rPr>
        <w:t>Personnel Resourcing and Development</w:t>
      </w:r>
    </w:p>
    <w:p w:rsidR="00FB4858" w:rsidRDefault="00FB4858" w14:paraId="77759AF3" w14:textId="77777777" w:rsidP="00FB4858" w:rsidRPr="004756DB">
      <w:pPr>
        <w:jc w:val="center"/>
        <w:rPr>
          <w:sz w:val="36"/>
          <w:szCs w:val="36"/>
        </w:rPr>
      </w:pPr>
      <w:r w:rsidRPr="004756DB">
        <w:rPr>
          <w:bCs/>
          <w:b/>
          <w:sz w:val="36"/>
          <w:szCs w:val="36"/>
        </w:rPr>
        <w:t xml:space="preserve">Module Code: </w:t>
      </w:r>
      <w:r w:rsidRPr="004756DB">
        <w:rPr>
          <w:sz w:val="36"/>
          <w:szCs w:val="36"/>
        </w:rPr>
        <w:t>BMIH5005</w:t>
      </w:r>
    </w:p>
    <w:p w:rsidR="00FB4858" w:rsidRDefault="00FB4858" w14:paraId="55D3CCA2" w14:textId="77777777" w:rsidP="00FB4858" w:rsidRPr="004756DB">
      <w:pPr>
        <w:jc w:val="center"/>
        <w:rPr>
          <w:bCs/>
          <w:b/>
          <w:sz w:val="32"/>
          <w:szCs w:val="32"/>
        </w:rPr>
      </w:pPr>
      <w:r w:rsidRPr="004756DB">
        <w:rPr>
          <w:bCs/>
          <w:b/>
          <w:sz w:val="32"/>
          <w:szCs w:val="32"/>
        </w:rPr>
        <w:t>Assignment Title:</w:t>
      </w:r>
      <w:r w:rsidRPr="004756DB">
        <w:rPr>
          <w:sz w:val="32"/>
          <w:szCs w:val="32"/>
        </w:rPr>
        <w:t xml:space="preserve"> Essay ‘How to engage employees throughout the employee lifecycle’ </w:t>
      </w:r>
    </w:p>
    <w:p w:rsidR="00FB4858" w:rsidRDefault="00FB4858" w14:paraId="395E4E60" w14:textId="77777777" w:rsidP="00FB4858" w:rsidRPr="004756DB">
      <w:pPr>
        <w:rPr>
          <w:sz w:val="32"/>
          <w:szCs w:val="32"/>
        </w:rPr>
      </w:pPr>
    </w:p>
    <w:p w:rsidR="00FB4858" w:rsidRDefault="00FB4858" w14:paraId="71F18573" w14:textId="0416630B" w:rsidP="00FB4858" w:rsidRPr="004756DB">
      <w:pPr>
        <w:jc w:val="center"/>
        <w:rPr>
          <w:bCs/>
          <w:sz w:val="32"/>
          <w:szCs w:val="32"/>
        </w:rPr>
      </w:pPr>
      <w:r w:rsidRPr="004756DB">
        <w:rPr>
          <w:bCs/>
          <w:b/>
          <w:sz w:val="32"/>
          <w:szCs w:val="32"/>
        </w:rPr>
        <w:t xml:space="preserve">Student Name: </w:t>
      </w:r>
      <w:r>
        <w:rPr>
          <w:bCs/>
          <w:sz w:val="32"/>
          <w:szCs w:val="32"/>
        </w:rPr>
        <w:t>Farzana Choudhury</w:t>
      </w:r>
    </w:p>
    <w:p w:rsidR="00FB4858" w:rsidRDefault="00FB4858" w14:paraId="59997F0B" w14:textId="1DC5825D" w:rsidP="00FB4858">
      <w:pPr>
        <w:jc w:val="center"/>
        <w:rPr>
          <w:bCs/>
          <w:b/>
          <w:sz w:val="32"/>
          <w:szCs w:val="32"/>
        </w:rPr>
      </w:pPr>
      <w:r w:rsidRPr="004756DB">
        <w:rPr>
          <w:bCs/>
          <w:b/>
          <w:sz w:val="32"/>
          <w:szCs w:val="32"/>
        </w:rPr>
        <w:t>Student ID:</w:t>
      </w:r>
      <w:r>
        <w:rPr>
          <w:bCs/>
          <w:b/>
          <w:sz w:val="32"/>
          <w:szCs w:val="32"/>
        </w:rPr>
        <w:t xml:space="preserve"> </w:t>
      </w:r>
      <w:r w:rsidRPr="00FB4858">
        <w:rPr>
          <w:bCs/>
          <w:b/>
          <w:sz w:val="32"/>
          <w:szCs w:val="32"/>
        </w:rPr>
        <w:t>2119795</w:t>
      </w:r>
    </w:p>
    <w:p w:rsidR="00FB4858" w:rsidRDefault="00FB4858" w14:paraId="27854F18" w14:textId="2AC81EB7" w:rsidP="00FB4858" w:rsidRPr="004756DB">
      <w:pPr>
        <w:jc w:val="center"/>
        <w:rPr>
          <w:bCs/>
          <w:b/>
          <w:sz w:val="32"/>
          <w:szCs w:val="32"/>
        </w:rPr>
      </w:pPr>
      <w:r w:rsidRPr="004756DB">
        <w:rPr>
          <w:bCs/>
          <w:b/>
          <w:sz w:val="32"/>
          <w:szCs w:val="32"/>
        </w:rPr>
        <w:t>Lecturer</w:t>
      </w:r>
      <w:r>
        <w:rPr>
          <w:bCs/>
          <w:b/>
          <w:sz w:val="32"/>
          <w:szCs w:val="32"/>
        </w:rPr>
        <w:t xml:space="preserve"> Name</w:t>
      </w:r>
      <w:r w:rsidRPr="004756DB">
        <w:rPr>
          <w:bCs/>
          <w:b/>
          <w:sz w:val="32"/>
          <w:szCs w:val="32"/>
        </w:rPr>
        <w:t>:</w:t>
      </w:r>
      <w:r w:rsidRPr="004756DB">
        <w:rPr>
          <w:sz w:val="32"/>
          <w:szCs w:val="32"/>
        </w:rPr>
        <w:t xml:space="preserve"> Lisa Knight</w:t>
      </w:r>
    </w:p>
    <w:p w:rsidR="00FB4858" w:rsidRDefault="00FB4858" w14:paraId="67AB0901" w14:textId="77777777" w:rsidP="00FB4858">
      <w:pPr>
        <w:jc w:val="center"/>
        <w:rPr>
          <w:bCs/>
          <w:b/>
          <w:sz w:val="32"/>
          <w:szCs w:val="32"/>
        </w:rPr>
      </w:pPr>
    </w:p>
    <w:p w:rsidR="00D8246C" w:rsidRDefault="00D8246C" w14:paraId="174659C8" w14:textId="77777777" w:rsidP="00C70318" w:rsidRPr="00C70318">
      <w:pPr>
        <w:jc w:val="center"/>
        <w:rPr>
          <w:rFonts w:ascii="Arial" w:cs="Arial" w:hAnsi="Arial"/>
        </w:rPr>
      </w:pPr>
      <w:r>
        <w:rPr>
          <w:rFonts w:ascii="Arial" w:cs="Arial" w:hAnsi="Arial"/>
        </w:rPr>
        <w:br w:type="page"/>
      </w:r>
    </w:p>
    <w:p w:rsidR="00D8246C" w:rsidRDefault="0024533C" w14:paraId="00EF022F" w14:textId="77777777" w:rsidP="00C70318" w:rsidRPr="00C70318">
      <w:pPr>
        <w:jc w:val="center"/>
        <w:rPr>
          <w:rFonts w:ascii="Arial" w:cs="Arial" w:hAnsi="Arial"/>
          <w:sz w:val="28"/>
        </w:rPr>
      </w:pPr>
      <w:r w:rsidRPr="00C70318">
        <w:rPr>
          <w:rFonts w:ascii="Arial" w:cs="Arial" w:hAnsi="Arial"/>
          <w:sz w:val="28"/>
        </w:rPr>
        <w:t>“</w:t>
        <w:lastRenderedPageBreak/>
      </w:r>
      <w:r w:rsidR="00473E57" w:rsidRPr="00C70318">
        <w:rPr>
          <w:rFonts w:ascii="Arial" w:cs="Arial" w:hAnsi="Arial"/>
          <w:sz w:val="28"/>
        </w:rPr>
        <w:t>How to Engage Employees throughout the Employee Lifecycle</w:t>
      </w:r>
      <w:r w:rsidRPr="00C70318">
        <w:rPr>
          <w:rFonts w:ascii="Arial" w:cs="Arial" w:hAnsi="Arial"/>
          <w:sz w:val="28"/>
        </w:rPr>
        <w:t>”</w:t>
      </w:r>
    </w:p>
    <w:p w:rsidR="00A41834" w:rsidRDefault="008A31CB" w14:paraId="6C338536" w14:textId="77777777" w:rsidP="00C70318" w:rsidRPr="00C70318">
      <w:pPr>
        <w:rPr>
          <w:rFonts w:ascii="Arial" w:cs="Arial" w:hAnsi="Arial"/>
        </w:rPr>
      </w:pPr>
      <w:r w:rsidRPr="00C70318">
        <w:rPr>
          <w:rFonts w:ascii="Arial" w:cs="Arial" w:hAnsi="Arial"/>
        </w:rPr>
        <w:t>The employee life</w:t>
      </w:r>
      <w:r w:rsidR="00A41834" w:rsidRPr="00C70318">
        <w:rPr>
          <w:rFonts w:ascii="Arial" w:cs="Arial" w:hAnsi="Arial"/>
        </w:rPr>
        <w:t>cycle illustrates the interaction between the firm and the employee. It encompasses the whole of an employee's lifecycle. Even though it's an important part of the employee lifecycle that may help a company reach its full potential, some of the largest businesses in the world have yet to fully embrace employee engagement. The level of emotional and mental connection that employees have with their jobs, teams, and employers is referred to as employee engagement</w:t>
      </w:r>
      <w:r w:rsidR="008718FE" w:rsidRPr="00C70318">
        <w:rPr>
          <w:rFonts w:ascii="Arial" w:cs="Arial" w:hAnsi="Arial"/>
        </w:rPr>
        <w:t xml:space="preserve"> (Fisher and Southey, 2019)</w:t>
      </w:r>
      <w:r w:rsidR="00A41834" w:rsidRPr="00C70318">
        <w:rPr>
          <w:rFonts w:ascii="Arial" w:cs="Arial" w:hAnsi="Arial"/>
        </w:rPr>
        <w:t xml:space="preserve">. When an employee feels linked to their firm, they not only perform better but also remain there for longer and encourage other </w:t>
      </w:r>
      <w:r w:rsidR="00B16479" w:rsidRPr="00C70318">
        <w:rPr>
          <w:rFonts w:ascii="Arial" w:cs="Arial" w:hAnsi="Arial"/>
        </w:rPr>
        <w:t xml:space="preserve">workers. More than 90% of corporate leaders feel that engaged workers improve both team and organisation performance </w:t>
      </w:r>
      <w:proofErr w:type="gramStart"/>
      <w:r w:rsidR="00B16479" w:rsidRPr="00C70318">
        <w:rPr>
          <w:rFonts w:ascii="Arial" w:cs="Arial" w:hAnsi="Arial"/>
        </w:rPr>
        <w:t>as a result of</w:t>
      </w:r>
      <w:proofErr w:type="gramEnd"/>
      <w:r w:rsidR="00B16479" w:rsidRPr="00C70318">
        <w:rPr>
          <w:rFonts w:ascii="Arial" w:cs="Arial" w:hAnsi="Arial"/>
        </w:rPr>
        <w:t xml:space="preserve"> their efforts</w:t>
      </w:r>
      <w:r w:rsidR="008718FE" w:rsidRPr="00C70318">
        <w:rPr>
          <w:rFonts w:ascii="Arial" w:cs="Arial" w:hAnsi="Arial"/>
        </w:rPr>
        <w:t xml:space="preserve"> (Warner, 2022)</w:t>
      </w:r>
      <w:r w:rsidR="00B16479" w:rsidRPr="00C70318">
        <w:rPr>
          <w:rFonts w:ascii="Arial" w:cs="Arial" w:hAnsi="Arial"/>
        </w:rPr>
        <w:t>.</w:t>
      </w:r>
      <w:r w:rsidR="00221892" w:rsidRPr="00C70318">
        <w:rPr>
          <w:rFonts w:ascii="Arial" w:cs="Arial" w:hAnsi="Arial"/>
        </w:rPr>
        <w:t xml:space="preserve"> This essay</w:t>
      </w:r>
      <w:r w:rsidR="00A41834" w:rsidRPr="00C70318">
        <w:rPr>
          <w:rFonts w:ascii="Arial" w:cs="Arial" w:hAnsi="Arial"/>
        </w:rPr>
        <w:t xml:space="preserve"> applies Hilton Hotels' successful strategy to investigate employee engagement </w:t>
      </w:r>
      <w:r w:rsidR="00552D55" w:rsidRPr="00C70318">
        <w:rPr>
          <w:rFonts w:ascii="Arial" w:cs="Arial" w:hAnsi="Arial"/>
        </w:rPr>
        <w:t>over their whole working lives.</w:t>
      </w:r>
    </w:p>
    <w:p w:rsidR="00A41834" w:rsidRDefault="00A41834" w14:paraId="0F8A550B" w14:textId="77777777" w:rsidP="00C70318" w:rsidRPr="00C70318">
      <w:pPr>
        <w:rPr>
          <w:rFonts w:ascii="Arial" w:cs="Arial" w:hAnsi="Arial"/>
        </w:rPr>
      </w:pPr>
      <w:r w:rsidRPr="00C70318">
        <w:rPr>
          <w:rFonts w:ascii="Arial" w:cs="Arial" w:hAnsi="Arial"/>
        </w:rPr>
        <w:t>The importance of HR to employee engagement cannot be overstated. Even with all the many roles and programmes available, HR managers need still to think about employee engagement. To achieve optimal levels of employee engagement, proper HR practices are essential. The level of employee engagement is a more challenging issue than it first seems since it influences almost every HR function</w:t>
      </w:r>
      <w:r w:rsidR="008718FE" w:rsidRPr="00C70318">
        <w:rPr>
          <w:rFonts w:ascii="Arial" w:cs="Arial" w:hAnsi="Arial"/>
        </w:rPr>
        <w:t xml:space="preserve"> (Grayson, 2020)</w:t>
      </w:r>
      <w:r w:rsidRPr="00C70318">
        <w:rPr>
          <w:rFonts w:ascii="Arial" w:cs="Arial" w:hAnsi="Arial"/>
        </w:rPr>
        <w:t xml:space="preserve">. Nevertheless, </w:t>
      </w:r>
      <w:proofErr w:type="gramStart"/>
      <w:r w:rsidRPr="00C70318">
        <w:rPr>
          <w:rFonts w:ascii="Arial" w:cs="Arial" w:hAnsi="Arial"/>
        </w:rPr>
        <w:t>in order to</w:t>
      </w:r>
      <w:proofErr w:type="gramEnd"/>
      <w:r w:rsidRPr="00C70318">
        <w:rPr>
          <w:rFonts w:ascii="Arial" w:cs="Arial" w:hAnsi="Arial"/>
        </w:rPr>
        <w:t xml:space="preserve"> engage workers, the HR department has to take into account the employer-employee relationship in its entirety. The HR department is responsible for ensuring that employees have the necessary skills and a productive environment. To sustain employee engagement, HR must develop staff. It is essential that this be made clear to employees. Workers who are engaged in their job are aware of their responsibilities and work hard to achieve both per</w:t>
      </w:r>
      <w:r w:rsidR="00CF5A96" w:rsidRPr="00C70318">
        <w:rPr>
          <w:rFonts w:ascii="Arial" w:cs="Arial" w:hAnsi="Arial"/>
        </w:rPr>
        <w:t>sonal and organisational goals.</w:t>
      </w:r>
    </w:p>
    <w:p w:rsidR="00A41834" w:rsidRDefault="00AE33C6" w14:paraId="48ED3FB7" w14:textId="77777777" w:rsidP="00C70318" w:rsidRPr="00C70318">
      <w:pPr>
        <w:rPr>
          <w:rFonts w:ascii="Arial" w:cs="Arial" w:hAnsi="Arial"/>
        </w:rPr>
      </w:pPr>
      <w:r w:rsidRPr="00C70318">
        <w:rPr>
          <w:rFonts w:ascii="Arial" w:cs="Arial" w:hAnsi="Arial"/>
        </w:rPr>
        <w:t xml:space="preserve">As </w:t>
      </w:r>
      <w:r w:rsidR="00A41834" w:rsidRPr="00C70318">
        <w:rPr>
          <w:rFonts w:ascii="Arial" w:cs="Arial" w:hAnsi="Arial"/>
        </w:rPr>
        <w:t xml:space="preserve">employee engagement is necessary, the next step is to develop strategies to engage a team </w:t>
      </w:r>
      <w:proofErr w:type="gramStart"/>
      <w:r w:rsidR="00A41834" w:rsidRPr="00C70318">
        <w:rPr>
          <w:rFonts w:ascii="Arial" w:cs="Arial" w:hAnsi="Arial"/>
        </w:rPr>
        <w:t>in order to</w:t>
      </w:r>
      <w:proofErr w:type="gramEnd"/>
      <w:r w:rsidR="00A41834" w:rsidRPr="00C70318">
        <w:rPr>
          <w:rFonts w:ascii="Arial" w:cs="Arial" w:hAnsi="Arial"/>
        </w:rPr>
        <w:t xml:space="preserve"> improve productivity, the satisfaction of customers, and the retention of existing customers. Employees are most engaged when their employment is directly related to the company. If employees are prevented from seeing essential company information, they will be coerced into developing views about the company</w:t>
      </w:r>
      <w:r w:rsidR="008718FE" w:rsidRPr="00C70318">
        <w:rPr>
          <w:rFonts w:ascii="Arial" w:cs="Arial" w:hAnsi="Arial"/>
        </w:rPr>
        <w:t xml:space="preserve"> (</w:t>
      </w:r>
      <w:proofErr w:type="spellStart"/>
      <w:r w:rsidR="008718FE" w:rsidRPr="00C70318">
        <w:rPr>
          <w:rFonts w:ascii="Arial" w:cs="Arial" w:hAnsi="Arial"/>
        </w:rPr>
        <w:t>Opayemi</w:t>
      </w:r>
      <w:proofErr w:type="spellEnd"/>
      <w:r w:rsidR="008718FE" w:rsidRPr="00C70318">
        <w:rPr>
          <w:rFonts w:ascii="Arial" w:cs="Arial" w:hAnsi="Arial"/>
        </w:rPr>
        <w:t>, 2020)</w:t>
      </w:r>
      <w:r w:rsidR="00A41834" w:rsidRPr="00C70318">
        <w:rPr>
          <w:rFonts w:ascii="Arial" w:cs="Arial" w:hAnsi="Arial"/>
        </w:rPr>
        <w:t xml:space="preserve">. Therefore, whenever it is feasible, employees should be kept up to speed on the </w:t>
      </w:r>
      <w:r w:rsidR="00A41834" w:rsidRPr="00C70318">
        <w:rPr>
          <w:rFonts w:ascii="Arial" w:cs="Arial" w:hAnsi="Arial"/>
        </w:rPr>
        <w:t>company's financial performance, goals, and the reasons why this information is important. The loyalty of the workforce may be incr</w:t>
        <w:lastRenderedPageBreak/>
      </w:r>
      <w:r w:rsidRPr="00C70318">
        <w:rPr>
          <w:rFonts w:ascii="Arial" w:cs="Arial" w:hAnsi="Arial"/>
        </w:rPr>
        <w:t>eased by keeping them informed.</w:t>
      </w:r>
    </w:p>
    <w:p w:rsidR="00D8246C" w:rsidRDefault="00A41834" w14:paraId="50B23C93" w14:textId="77777777" w:rsidP="00C70318" w:rsidRPr="00C70318">
      <w:pPr>
        <w:rPr>
          <w:rFonts w:ascii="Arial" w:cs="Arial" w:hAnsi="Arial"/>
        </w:rPr>
      </w:pPr>
      <w:r w:rsidRPr="00C70318">
        <w:rPr>
          <w:rFonts w:ascii="Arial" w:cs="Arial" w:hAnsi="Arial"/>
        </w:rPr>
        <w:t>Having clear expectations for employees is beneficial to em</w:t>
      </w:r>
      <w:r w:rsidR="008718FE" w:rsidRPr="00C70318">
        <w:rPr>
          <w:rFonts w:ascii="Arial" w:cs="Arial" w:hAnsi="Arial"/>
        </w:rPr>
        <w:t>ployee engagement. It's known</w:t>
      </w:r>
      <w:r w:rsidRPr="00C70318">
        <w:rPr>
          <w:rFonts w:ascii="Arial" w:cs="Arial" w:hAnsi="Arial"/>
        </w:rPr>
        <w:t xml:space="preserve"> that employees won't have much enthusiasm for a project if they don't understand what they're working on</w:t>
      </w:r>
      <w:r w:rsidR="008718FE" w:rsidRPr="00C70318">
        <w:rPr>
          <w:rFonts w:ascii="Arial" w:cs="Arial" w:hAnsi="Arial"/>
        </w:rPr>
        <w:t xml:space="preserve"> (Arslan, 2018)</w:t>
      </w:r>
      <w:r w:rsidRPr="00C70318">
        <w:rPr>
          <w:rFonts w:ascii="Arial" w:cs="Arial" w:hAnsi="Arial"/>
        </w:rPr>
        <w:t xml:space="preserve">. Employees need to have every aspect of the job that the organisation is working on verified and explained to them. These responsibilities </w:t>
      </w:r>
      <w:proofErr w:type="gramStart"/>
      <w:r w:rsidRPr="00C70318">
        <w:rPr>
          <w:rFonts w:ascii="Arial" w:cs="Arial" w:hAnsi="Arial"/>
        </w:rPr>
        <w:t>have to</w:t>
      </w:r>
      <w:proofErr w:type="gramEnd"/>
      <w:r w:rsidRPr="00C70318">
        <w:rPr>
          <w:rFonts w:ascii="Arial" w:cs="Arial" w:hAnsi="Arial"/>
        </w:rPr>
        <w:t xml:space="preserve"> be elucidated by the company. A business should never give the impression that it is dishonest about the activities it engages in.</w:t>
      </w:r>
    </w:p>
    <w:p w:rsidR="00552D55" w:rsidRDefault="00552D55" w14:paraId="60CABF39" w14:textId="77777777" w:rsidP="00C70318" w:rsidRPr="00C70318">
      <w:pPr>
        <w:rPr>
          <w:rFonts w:ascii="Arial" w:cs="Arial" w:hAnsi="Arial"/>
        </w:rPr>
      </w:pPr>
      <w:r w:rsidRPr="00C70318">
        <w:rPr>
          <w:rFonts w:ascii="Arial" w:cs="Arial" w:hAnsi="Arial"/>
        </w:rPr>
        <w:t xml:space="preserve">Consistency in the workplace is necessary for employee challenges. The needs of each individual worker </w:t>
      </w:r>
      <w:proofErr w:type="gramStart"/>
      <w:r w:rsidRPr="00C70318">
        <w:rPr>
          <w:rFonts w:ascii="Arial" w:cs="Arial" w:hAnsi="Arial"/>
        </w:rPr>
        <w:t>have to</w:t>
      </w:r>
      <w:proofErr w:type="gramEnd"/>
      <w:r w:rsidRPr="00C70318">
        <w:rPr>
          <w:rFonts w:ascii="Arial" w:cs="Arial" w:hAnsi="Arial"/>
        </w:rPr>
        <w:t xml:space="preserve"> be met by the organisation. A consistent result may be achieved by treating employees similarly. Even if management is popular, they may favour certain employees. The best way to engage workers is to lead by example</w:t>
      </w:r>
      <w:r w:rsidR="008718FE" w:rsidRPr="00C70318">
        <w:rPr>
          <w:rFonts w:ascii="Arial" w:cs="Arial" w:hAnsi="Arial"/>
        </w:rPr>
        <w:t xml:space="preserve"> (Grayson, 2020)</w:t>
      </w:r>
      <w:r w:rsidRPr="00C70318">
        <w:rPr>
          <w:rFonts w:ascii="Arial" w:cs="Arial" w:hAnsi="Arial"/>
        </w:rPr>
        <w:t>. Engaged employees earn larger incentives. Reduc</w:t>
      </w:r>
      <w:r w:rsidR="00AE33C6" w:rsidRPr="00C70318">
        <w:rPr>
          <w:rFonts w:ascii="Arial" w:cs="Arial" w:hAnsi="Arial"/>
        </w:rPr>
        <w:t>ed absenteeism</w:t>
      </w:r>
      <w:r w:rsidRPr="00C70318">
        <w:rPr>
          <w:rFonts w:ascii="Arial" w:cs="Arial" w:hAnsi="Arial"/>
        </w:rPr>
        <w:t> is one of the most significant benefits.   If nothing is done to stop it, it might end up being very expensive for the firm. Absenteeism might be reduced by increasing employee motivation, pleasure, and participation. According to research, employee participation has the potentia</w:t>
      </w:r>
      <w:r w:rsidR="00AE33C6" w:rsidRPr="00C70318">
        <w:rPr>
          <w:rFonts w:ascii="Arial" w:cs="Arial" w:hAnsi="Arial"/>
        </w:rPr>
        <w:t>l to reduce absenteeism by 40%</w:t>
      </w:r>
      <w:r w:rsidRPr="00C70318">
        <w:rPr>
          <w:rFonts w:ascii="Arial" w:cs="Arial" w:hAnsi="Arial"/>
        </w:rPr>
        <w:t>. It's possible that happy employees will lead to better business results.</w:t>
      </w:r>
    </w:p>
    <w:p w:rsidR="00552D55" w:rsidRDefault="00552D55" w14:paraId="5D16D628" w14:textId="77777777" w:rsidP="00C70318" w:rsidRPr="00C70318">
      <w:pPr>
        <w:rPr>
          <w:rFonts w:ascii="Arial" w:cs="Arial" w:hAnsi="Arial"/>
        </w:rPr>
      </w:pPr>
      <w:r w:rsidRPr="00C70318">
        <w:rPr>
          <w:rFonts w:ascii="Arial" w:cs="Arial" w:hAnsi="Arial"/>
        </w:rPr>
        <w:t xml:space="preserve">Participation from employees is beneficial to occupational safety. This benefit is realised </w:t>
      </w:r>
      <w:proofErr w:type="gramStart"/>
      <w:r w:rsidRPr="00C70318">
        <w:rPr>
          <w:rFonts w:ascii="Arial" w:cs="Arial" w:hAnsi="Arial"/>
        </w:rPr>
        <w:t>as a result of</w:t>
      </w:r>
      <w:proofErr w:type="gramEnd"/>
      <w:r w:rsidRPr="00C70318">
        <w:rPr>
          <w:rFonts w:ascii="Arial" w:cs="Arial" w:hAnsi="Arial"/>
        </w:rPr>
        <w:t xml:space="preserve"> the increased commitment to both quality and safety shown by employees who show up to work and engage in workplace activities. When they are not worried or distracted, they are better able to focus on their task and avoid making mistakes there. When they are employed by a firm that is more stable and trustworthy, engaged employees have a 70% lower incidence of safety incidents</w:t>
      </w:r>
      <w:r w:rsidR="008718FE" w:rsidRPr="00C70318">
        <w:rPr>
          <w:rFonts w:ascii="Arial" w:cs="Arial" w:hAnsi="Arial"/>
        </w:rPr>
        <w:t xml:space="preserve"> (</w:t>
      </w:r>
      <w:proofErr w:type="spellStart"/>
      <w:r w:rsidR="008718FE" w:rsidRPr="00C70318">
        <w:rPr>
          <w:rFonts w:ascii="Arial" w:cs="Arial" w:hAnsi="Arial"/>
        </w:rPr>
        <w:t>Kabst</w:t>
      </w:r>
      <w:proofErr w:type="spellEnd"/>
      <w:r w:rsidR="008718FE" w:rsidRPr="00C70318">
        <w:rPr>
          <w:rFonts w:ascii="Arial" w:cs="Arial" w:hAnsi="Arial"/>
        </w:rPr>
        <w:t>, 2020)</w:t>
      </w:r>
      <w:r w:rsidRPr="00C70318">
        <w:rPr>
          <w:rFonts w:ascii="Arial" w:cs="Arial" w:hAnsi="Arial"/>
        </w:rPr>
        <w:t>. Employee involvement in hospitality is best shown by Hilton Hotels, which is often considered to be among the best hotels in the world.</w:t>
      </w:r>
    </w:p>
    <w:p w:rsidR="00552D55" w:rsidRDefault="00552D55" w14:paraId="50229E50" w14:textId="77777777" w:rsidP="00C70318" w:rsidRPr="00C70318">
      <w:pPr>
        <w:rPr>
          <w:rFonts w:ascii="Arial" w:cs="Arial" w:hAnsi="Arial"/>
        </w:rPr>
      </w:pPr>
      <w:r w:rsidRPr="00C70318">
        <w:rPr>
          <w:rFonts w:ascii="Arial" w:cs="Arial" w:hAnsi="Arial"/>
        </w:rPr>
        <w:t>The Hilton Hotels Corporation, which has now evolved into Hilton Worldwide Holdings, is res</w:t>
      </w:r>
      <w:r w:rsidR="008A31CB" w:rsidRPr="00C70318">
        <w:rPr>
          <w:rFonts w:ascii="Arial" w:cs="Arial" w:hAnsi="Arial"/>
        </w:rPr>
        <w:t>ponsible for operating the biggest</w:t>
      </w:r>
      <w:r w:rsidRPr="00C70318">
        <w:rPr>
          <w:rFonts w:ascii="Arial" w:cs="Arial" w:hAnsi="Arial"/>
        </w:rPr>
        <w:t xml:space="preserve"> hotel chain throughout the United Kingdom</w:t>
      </w:r>
      <w:r w:rsidR="008718FE" w:rsidRPr="00C70318">
        <w:rPr>
          <w:rFonts w:ascii="Arial" w:cs="Arial" w:hAnsi="Arial"/>
        </w:rPr>
        <w:t xml:space="preserve"> (Hilton, 2022)</w:t>
      </w:r>
      <w:r w:rsidRPr="00C70318">
        <w:rPr>
          <w:rFonts w:ascii="Arial" w:cs="Arial" w:hAnsi="Arial"/>
        </w:rPr>
        <w:t xml:space="preserve">. There are 162 Hilton Hotels in the UK, which are known for their excellent service. </w:t>
      </w:r>
      <w:r w:rsidRPr="00C70318">
        <w:rPr>
          <w:rFonts w:ascii="Arial" w:cs="Arial" w:hAnsi="Arial"/>
        </w:rPr>
        <w:t>The organisation makes investments to ensure the success of its employees. The company is supportive of workers' professional development throughout the UK. The hotel also provides its staff with training on social issues that are relevant to the g</w:t>
        <w:lastRenderedPageBreak/>
      </w:r>
      <w:r w:rsidR="008718FE" w:rsidRPr="00C70318">
        <w:rPr>
          <w:rFonts w:ascii="Arial" w:cs="Arial" w:hAnsi="Arial"/>
        </w:rPr>
        <w:t>oals it has set for 2030. In 2022</w:t>
      </w:r>
      <w:r w:rsidRPr="00C70318">
        <w:rPr>
          <w:rFonts w:ascii="Arial" w:cs="Arial" w:hAnsi="Arial"/>
        </w:rPr>
        <w:t>, Hilton made a pledge to its team members that they would "help them grow and th</w:t>
      </w:r>
      <w:r w:rsidR="008718FE" w:rsidRPr="00C70318">
        <w:rPr>
          <w:rFonts w:ascii="Arial" w:cs="Arial" w:hAnsi="Arial"/>
        </w:rPr>
        <w:t>rive in body, mind, and spirit” (Hilton, 2022). The company</w:t>
      </w:r>
      <w:r w:rsidRPr="00C70318">
        <w:rPr>
          <w:rFonts w:ascii="Arial" w:cs="Arial" w:hAnsi="Arial"/>
        </w:rPr>
        <w:t xml:space="preserve"> has said that the company believes its workers should be provided with the opportunity to develop both emotionally and professionally since they are deserving of a great career</w:t>
      </w:r>
      <w:r w:rsidR="008718FE" w:rsidRPr="00C70318">
        <w:rPr>
          <w:rFonts w:ascii="Arial" w:cs="Arial" w:hAnsi="Arial"/>
        </w:rPr>
        <w:t xml:space="preserve"> (Hilton, 2022)</w:t>
      </w:r>
      <w:r w:rsidRPr="00C70318">
        <w:rPr>
          <w:rFonts w:ascii="Arial" w:cs="Arial" w:hAnsi="Arial"/>
        </w:rPr>
        <w:t>. Employees have access to complimentary training at Hilton. Because of this, the hotel chain is an exemplary place to work.</w:t>
      </w:r>
    </w:p>
    <w:p w:rsidR="00552D55" w:rsidRDefault="00552D55" w14:paraId="5B203E79" w14:textId="77777777" w:rsidP="00C70318" w:rsidRPr="00C70318">
      <w:pPr>
        <w:rPr>
          <w:rFonts w:ascii="Arial" w:cs="Arial" w:hAnsi="Arial"/>
        </w:rPr>
      </w:pPr>
      <w:proofErr w:type="gramStart"/>
      <w:r w:rsidRPr="00C70318">
        <w:rPr>
          <w:rFonts w:ascii="Arial" w:cs="Arial" w:hAnsi="Arial"/>
        </w:rPr>
        <w:t>In order to</w:t>
      </w:r>
      <w:proofErr w:type="gramEnd"/>
      <w:r w:rsidRPr="00C70318">
        <w:rPr>
          <w:rFonts w:ascii="Arial" w:cs="Arial" w:hAnsi="Arial"/>
        </w:rPr>
        <w:t xml:space="preserve"> comprehend the employee engagement process, Hilton Hotels has </w:t>
      </w:r>
      <w:r w:rsidR="008A31CB" w:rsidRPr="00C70318">
        <w:rPr>
          <w:rFonts w:ascii="Arial" w:cs="Arial" w:hAnsi="Arial"/>
        </w:rPr>
        <w:t>to comprehend the employee lifecycle</w:t>
      </w:r>
      <w:r w:rsidRPr="00C70318">
        <w:rPr>
          <w:rFonts w:ascii="Arial" w:cs="Arial" w:hAnsi="Arial"/>
        </w:rPr>
        <w:t>. The cycle may be used by HR executives to assist employees in realising their full potential. However, being aware of the cycle enables businesses to better control the risk of employee turnover. The model of the employee's connection with the company is broken down into its componen</w:t>
      </w:r>
      <w:r w:rsidR="008A31CB" w:rsidRPr="00C70318">
        <w:rPr>
          <w:rFonts w:ascii="Arial" w:cs="Arial" w:hAnsi="Arial"/>
        </w:rPr>
        <w:t>t parts using the employee life</w:t>
      </w:r>
      <w:r w:rsidRPr="00C70318">
        <w:rPr>
          <w:rFonts w:ascii="Arial" w:cs="Arial" w:hAnsi="Arial"/>
        </w:rPr>
        <w:t>cycle</w:t>
      </w:r>
      <w:r w:rsidR="008718FE" w:rsidRPr="00C70318">
        <w:rPr>
          <w:rFonts w:ascii="Arial" w:cs="Arial" w:hAnsi="Arial"/>
        </w:rPr>
        <w:t xml:space="preserve"> (</w:t>
      </w:r>
      <w:proofErr w:type="spellStart"/>
      <w:r w:rsidR="008718FE" w:rsidRPr="00C70318">
        <w:rPr>
          <w:rFonts w:ascii="Arial" w:cs="Arial" w:hAnsi="Arial"/>
        </w:rPr>
        <w:t>Mazenod</w:t>
      </w:r>
      <w:proofErr w:type="spellEnd"/>
      <w:r w:rsidR="008718FE" w:rsidRPr="00C70318">
        <w:rPr>
          <w:rFonts w:ascii="Arial" w:cs="Arial" w:hAnsi="Arial"/>
        </w:rPr>
        <w:t>, 2019)</w:t>
      </w:r>
      <w:r w:rsidRPr="00C70318">
        <w:rPr>
          <w:rFonts w:ascii="Arial" w:cs="Arial" w:hAnsi="Arial"/>
        </w:rPr>
        <w:t>. At every stage of an employee's career, Hilton strives for excellence.</w:t>
      </w:r>
    </w:p>
    <w:p w:rsidR="00552D55" w:rsidRDefault="00552D55" w14:paraId="7F0998DF" w14:textId="77777777" w:rsidP="00C70318" w:rsidRPr="00C70318">
      <w:pPr>
        <w:rPr>
          <w:rFonts w:ascii="Arial" w:cs="Arial" w:hAnsi="Arial"/>
        </w:rPr>
      </w:pPr>
      <w:r w:rsidRPr="00C70318">
        <w:rPr>
          <w:rFonts w:ascii="Arial" w:cs="Arial" w:hAnsi="Arial"/>
        </w:rPr>
        <w:t>Attraction is the first step in increasing employee exposure to a brand</w:t>
      </w:r>
      <w:r w:rsidR="008718FE" w:rsidRPr="00C70318">
        <w:rPr>
          <w:rFonts w:ascii="Arial" w:cs="Arial" w:hAnsi="Arial"/>
        </w:rPr>
        <w:t xml:space="preserve"> (Tucker, 2021)</w:t>
      </w:r>
      <w:r w:rsidRPr="00C70318">
        <w:rPr>
          <w:rFonts w:ascii="Arial" w:cs="Arial" w:hAnsi="Arial"/>
        </w:rPr>
        <w:t xml:space="preserve">. Because of its standing in the world, Hilton </w:t>
      </w:r>
      <w:proofErr w:type="gramStart"/>
      <w:r w:rsidRPr="00C70318">
        <w:rPr>
          <w:rFonts w:ascii="Arial" w:cs="Arial" w:hAnsi="Arial"/>
        </w:rPr>
        <w:t>is able to</w:t>
      </w:r>
      <w:proofErr w:type="gramEnd"/>
      <w:r w:rsidRPr="00C70318">
        <w:rPr>
          <w:rFonts w:ascii="Arial" w:cs="Arial" w:hAnsi="Arial"/>
        </w:rPr>
        <w:t xml:space="preserve"> draw in talented individuals. The hotel's strategy regarding its finances ensures that the establishment will grow successfully.</w:t>
      </w:r>
    </w:p>
    <w:p w:rsidR="00AE33C6" w:rsidRDefault="00552D55" w14:paraId="2E3A98F3" w14:textId="77777777" w:rsidP="00C70318" w:rsidRPr="00C70318">
      <w:pPr>
        <w:rPr>
          <w:rFonts w:ascii="Arial" w:cs="Arial" w:hAnsi="Arial"/>
        </w:rPr>
      </w:pPr>
      <w:r w:rsidRPr="00C70318">
        <w:rPr>
          <w:rFonts w:ascii="Arial" w:cs="Arial" w:hAnsi="Arial"/>
        </w:rPr>
        <w:t>The subsequent stage is recruitment, which is the process through which an applicant is converted into an employee</w:t>
      </w:r>
      <w:r w:rsidR="008718FE" w:rsidRPr="00C70318">
        <w:rPr>
          <w:rFonts w:ascii="Arial" w:cs="Arial" w:hAnsi="Arial"/>
        </w:rPr>
        <w:t xml:space="preserve"> (Tucker, 2021)</w:t>
      </w:r>
      <w:r w:rsidRPr="00C70318">
        <w:rPr>
          <w:rFonts w:ascii="Arial" w:cs="Arial" w:hAnsi="Arial"/>
        </w:rPr>
        <w:t xml:space="preserve">. The impression that a prospective employee of the company forms </w:t>
      </w:r>
      <w:proofErr w:type="gramStart"/>
      <w:r w:rsidRPr="00C70318">
        <w:rPr>
          <w:rFonts w:ascii="Arial" w:cs="Arial" w:hAnsi="Arial"/>
        </w:rPr>
        <w:t>as a result of</w:t>
      </w:r>
      <w:proofErr w:type="gramEnd"/>
      <w:r w:rsidRPr="00C70318">
        <w:rPr>
          <w:rFonts w:ascii="Arial" w:cs="Arial" w:hAnsi="Arial"/>
        </w:rPr>
        <w:t xml:space="preserve"> this journey is significant. Interviews, psychometric tests, and general evaluations are the primary methods that HR uses to attract and choose Hilton workers. The hiring process at the hotel is carefully controlled to match the hotel's culture and goals, and it makes use of a variety of activities, including role play, group activities, and tray exercises</w:t>
      </w:r>
      <w:r w:rsidR="008718FE" w:rsidRPr="00C70318">
        <w:rPr>
          <w:rFonts w:ascii="Arial" w:cs="Arial" w:hAnsi="Arial"/>
        </w:rPr>
        <w:t xml:space="preserve"> (Hayward, 2019)</w:t>
      </w:r>
      <w:r w:rsidRPr="00C70318">
        <w:rPr>
          <w:rFonts w:ascii="Arial" w:cs="Arial" w:hAnsi="Arial"/>
        </w:rPr>
        <w:t>.</w:t>
      </w:r>
    </w:p>
    <w:p w:rsidR="00AE33C6" w:rsidRDefault="00AE33C6" w14:paraId="190A7886" w14:textId="77777777" w:rsidP="00C70318" w:rsidRPr="00C70318">
      <w:pPr>
        <w:rPr>
          <w:rFonts w:ascii="Arial" w:cs="Arial" w:hAnsi="Arial"/>
        </w:rPr>
      </w:pPr>
      <w:r w:rsidRPr="00C70318">
        <w:rPr>
          <w:rFonts w:ascii="Arial" w:cs="Arial" w:hAnsi="Arial"/>
        </w:rPr>
        <w:t xml:space="preserve">The third step is onboarding. During this phase, employees are instructed on the values and norms of the firm. When done correctly, making new hires feel welcome and at ease </w:t>
      </w:r>
      <w:r w:rsidRPr="00C70318">
        <w:rPr>
          <w:rFonts w:ascii="Arial" w:cs="Arial" w:hAnsi="Arial"/>
        </w:rPr>
        <w:t>at the organisation is one of the best ways to give them the impression that they can have an influence there</w:t>
        <w:lastRenderedPageBreak/>
      </w:r>
      <w:r w:rsidR="008718FE" w:rsidRPr="00C70318">
        <w:rPr>
          <w:rFonts w:ascii="Arial" w:cs="Arial" w:hAnsi="Arial"/>
        </w:rPr>
        <w:t xml:space="preserve"> (</w:t>
      </w:r>
      <w:proofErr w:type="spellStart"/>
      <w:r w:rsidR="008718FE" w:rsidRPr="00C70318">
        <w:rPr>
          <w:rFonts w:ascii="Arial" w:cs="Arial" w:hAnsi="Arial"/>
        </w:rPr>
        <w:t>Yaneva</w:t>
      </w:r>
      <w:proofErr w:type="spellEnd"/>
      <w:r w:rsidR="008718FE" w:rsidRPr="00C70318">
        <w:rPr>
          <w:rFonts w:ascii="Arial" w:cs="Arial" w:hAnsi="Arial"/>
        </w:rPr>
        <w:t>, 2021)</w:t>
      </w:r>
      <w:r w:rsidRPr="00C70318">
        <w:rPr>
          <w:rFonts w:ascii="Arial" w:cs="Arial" w:hAnsi="Arial"/>
        </w:rPr>
        <w:t>. Hilton is organised into divisions, each of which is responsible for a certain set of tasks. During the onboarding process, employees get consistent training on the requirements of the department. To better serve its guests, the hotel employs these and other approaches, among others.</w:t>
      </w:r>
    </w:p>
    <w:p w:rsidR="00AE33C6" w:rsidRDefault="00AE33C6" w14:paraId="41BE62C7" w14:textId="77777777" w:rsidP="00C70318" w:rsidRPr="00C70318">
      <w:pPr>
        <w:rPr>
          <w:rFonts w:ascii="Arial" w:cs="Arial" w:hAnsi="Arial"/>
        </w:rPr>
      </w:pPr>
      <w:r w:rsidRPr="00C70318">
        <w:rPr>
          <w:rFonts w:ascii="Arial" w:cs="Arial" w:hAnsi="Arial"/>
        </w:rPr>
        <w:t>Step five is to maintain top talent retention</w:t>
      </w:r>
      <w:r w:rsidR="008718FE" w:rsidRPr="00C70318">
        <w:rPr>
          <w:rFonts w:ascii="Arial" w:cs="Arial" w:hAnsi="Arial"/>
        </w:rPr>
        <w:t xml:space="preserve"> (Hayward, 2019)</w:t>
      </w:r>
      <w:r w:rsidRPr="00C70318">
        <w:rPr>
          <w:rFonts w:ascii="Arial" w:cs="Arial" w:hAnsi="Arial"/>
        </w:rPr>
        <w:t xml:space="preserve">. It is vital to get to this stage since often companies take their long-term workers for granted. Tough issues, like incentives and recognition, need to be handled as quickly as possible </w:t>
      </w:r>
      <w:proofErr w:type="gramStart"/>
      <w:r w:rsidRPr="00C70318">
        <w:rPr>
          <w:rFonts w:ascii="Arial" w:cs="Arial" w:hAnsi="Arial"/>
        </w:rPr>
        <w:t>in order to</w:t>
      </w:r>
      <w:proofErr w:type="gramEnd"/>
      <w:r w:rsidRPr="00C70318">
        <w:rPr>
          <w:rFonts w:ascii="Arial" w:cs="Arial" w:hAnsi="Arial"/>
        </w:rPr>
        <w:t xml:space="preserve"> assist people in achieving their goals</w:t>
      </w:r>
      <w:r w:rsidR="008718FE" w:rsidRPr="00C70318">
        <w:rPr>
          <w:rFonts w:ascii="Arial" w:cs="Arial" w:hAnsi="Arial"/>
        </w:rPr>
        <w:t xml:space="preserve"> (Allen and Turner, 2018)</w:t>
      </w:r>
      <w:r w:rsidRPr="00C70318">
        <w:rPr>
          <w:rFonts w:ascii="Arial" w:cs="Arial" w:hAnsi="Arial"/>
        </w:rPr>
        <w:t>. The Hilton hotel brand aspires to be the greatest in the world. Hilton provides an in-house awards and recognition programme for employees who consistently perform at a high level. This contributes to the retention of exceptional employees.</w:t>
      </w:r>
    </w:p>
    <w:p w:rsidR="00AE33C6" w:rsidRDefault="00AE33C6" w14:paraId="3FE04BAD" w14:textId="77777777" w:rsidP="00C70318" w:rsidRPr="00C70318">
      <w:pPr>
        <w:rPr>
          <w:rFonts w:ascii="Arial" w:cs="Arial" w:hAnsi="Arial"/>
        </w:rPr>
      </w:pPr>
      <w:r w:rsidRPr="00C70318">
        <w:rPr>
          <w:rFonts w:ascii="Arial" w:cs="Arial" w:hAnsi="Arial"/>
        </w:rPr>
        <w:t>Typically, employees may enhance their careers by participating in a variety of career development events</w:t>
      </w:r>
      <w:r w:rsidR="008718FE" w:rsidRPr="00C70318">
        <w:rPr>
          <w:rFonts w:ascii="Arial" w:cs="Arial" w:hAnsi="Arial"/>
        </w:rPr>
        <w:t xml:space="preserve"> (</w:t>
      </w:r>
      <w:proofErr w:type="spellStart"/>
      <w:r w:rsidR="008718FE" w:rsidRPr="00C70318">
        <w:rPr>
          <w:rFonts w:ascii="Arial" w:cs="Arial" w:hAnsi="Arial"/>
        </w:rPr>
        <w:t>Yaneva</w:t>
      </w:r>
      <w:proofErr w:type="spellEnd"/>
      <w:r w:rsidR="008718FE" w:rsidRPr="00C70318">
        <w:rPr>
          <w:rFonts w:ascii="Arial" w:cs="Arial" w:hAnsi="Arial"/>
        </w:rPr>
        <w:t>, 2021)</w:t>
      </w:r>
      <w:r w:rsidRPr="00C70318">
        <w:rPr>
          <w:rFonts w:ascii="Arial" w:cs="Arial" w:hAnsi="Arial"/>
        </w:rPr>
        <w:t xml:space="preserve">. A firm may maximise the performance of its employees in </w:t>
      </w:r>
      <w:proofErr w:type="gramStart"/>
      <w:r w:rsidRPr="00C70318">
        <w:rPr>
          <w:rFonts w:ascii="Arial" w:cs="Arial" w:hAnsi="Arial"/>
        </w:rPr>
        <w:t>a number of</w:t>
      </w:r>
      <w:proofErr w:type="gramEnd"/>
      <w:r w:rsidRPr="00C70318">
        <w:rPr>
          <w:rFonts w:ascii="Arial" w:cs="Arial" w:hAnsi="Arial"/>
        </w:rPr>
        <w:t xml:space="preserve"> different ways by investing in strategic development.</w:t>
      </w:r>
    </w:p>
    <w:p w:rsidR="00AE33C6" w:rsidRDefault="00AE33C6" w14:paraId="1AC40E75" w14:textId="77777777" w:rsidP="00C70318" w:rsidRPr="00C70318">
      <w:pPr>
        <w:rPr>
          <w:rFonts w:ascii="Arial" w:cs="Arial" w:hAnsi="Arial"/>
        </w:rPr>
      </w:pPr>
      <w:r w:rsidRPr="00C70318">
        <w:rPr>
          <w:rFonts w:ascii="Arial" w:cs="Arial" w:hAnsi="Arial"/>
        </w:rPr>
        <w:t xml:space="preserve">Separation is the last stage of </w:t>
      </w:r>
      <w:r w:rsidR="008718FE" w:rsidRPr="00C70318">
        <w:rPr>
          <w:rFonts w:ascii="Arial" w:cs="Arial" w:hAnsi="Arial"/>
        </w:rPr>
        <w:t xml:space="preserve">the </w:t>
      </w:r>
      <w:r w:rsidRPr="00C70318">
        <w:rPr>
          <w:rFonts w:ascii="Arial" w:cs="Arial" w:hAnsi="Arial"/>
        </w:rPr>
        <w:t>employee lifecycle. There are many various reasons why employees leave their jobs. It is much like other businesses in that it has internal rules that make it simple to fire workers or ask them to quit</w:t>
      </w:r>
      <w:r w:rsidR="008718FE" w:rsidRPr="00C70318">
        <w:rPr>
          <w:rFonts w:ascii="Arial" w:cs="Arial" w:hAnsi="Arial"/>
        </w:rPr>
        <w:t xml:space="preserve"> (Allen and Turner, 2018)</w:t>
      </w:r>
      <w:r w:rsidRPr="00C70318">
        <w:rPr>
          <w:rFonts w:ascii="Arial" w:cs="Arial" w:hAnsi="Arial"/>
        </w:rPr>
        <w:t xml:space="preserve">. Former employees have not mentioned any time-consuming processes when they departed, </w:t>
      </w:r>
      <w:proofErr w:type="gramStart"/>
      <w:r w:rsidRPr="00C70318">
        <w:rPr>
          <w:rFonts w:ascii="Arial" w:cs="Arial" w:hAnsi="Arial"/>
        </w:rPr>
        <w:t>despite the fact that</w:t>
      </w:r>
      <w:proofErr w:type="gramEnd"/>
      <w:r w:rsidRPr="00C70318">
        <w:rPr>
          <w:rFonts w:ascii="Arial" w:cs="Arial" w:hAnsi="Arial"/>
        </w:rPr>
        <w:t xml:space="preserve"> this information is not readily available to the public.</w:t>
      </w:r>
    </w:p>
    <w:p w:rsidR="00AE33C6" w:rsidRDefault="00AE33C6" w14:paraId="6E6B537A" w14:textId="77777777" w:rsidP="00C70318" w:rsidRPr="00C70318">
      <w:pPr>
        <w:rPr>
          <w:rFonts w:ascii="Arial" w:cs="Arial" w:hAnsi="Arial"/>
        </w:rPr>
      </w:pPr>
      <w:r w:rsidRPr="00C70318">
        <w:rPr>
          <w:rFonts w:ascii="Arial" w:cs="Arial" w:hAnsi="Arial"/>
        </w:rPr>
        <w:t>Engaging employe</w:t>
      </w:r>
      <w:r w:rsidR="008A31CB" w:rsidRPr="00C70318">
        <w:rPr>
          <w:rFonts w:ascii="Arial" w:cs="Arial" w:hAnsi="Arial"/>
        </w:rPr>
        <w:t>es across the whole of the life</w:t>
      </w:r>
      <w:r w:rsidRPr="00C70318">
        <w:rPr>
          <w:rFonts w:ascii="Arial" w:cs="Arial" w:hAnsi="Arial"/>
        </w:rPr>
        <w:t xml:space="preserve">cycle helps to ensure a smooth sailing experience, and as a student of hotel management, I want my personnel to take pride in the job that they do. After determining the areas in which the organisation might be improved, I would put these strategies into action </w:t>
      </w:r>
      <w:proofErr w:type="gramStart"/>
      <w:r w:rsidRPr="00C70318">
        <w:rPr>
          <w:rFonts w:ascii="Arial" w:cs="Arial" w:hAnsi="Arial"/>
        </w:rPr>
        <w:t>in order to</w:t>
      </w:r>
      <w:proofErr w:type="gramEnd"/>
      <w:r w:rsidRPr="00C70318">
        <w:rPr>
          <w:rFonts w:ascii="Arial" w:cs="Arial" w:hAnsi="Arial"/>
        </w:rPr>
        <w:t xml:space="preserve"> assist its success. First, the easiest place to start is getting to know the personnel</w:t>
      </w:r>
      <w:r w:rsidR="008718FE" w:rsidRPr="00C70318">
        <w:rPr>
          <w:rFonts w:ascii="Arial" w:cs="Arial" w:hAnsi="Arial"/>
        </w:rPr>
        <w:t xml:space="preserve"> (Tamayo, 2018)</w:t>
      </w:r>
      <w:r w:rsidRPr="00C70318">
        <w:rPr>
          <w:rFonts w:ascii="Arial" w:cs="Arial" w:hAnsi="Arial"/>
        </w:rPr>
        <w:t xml:space="preserve">. Taking the time to talk with employees is both easy and rewarding. </w:t>
      </w:r>
      <w:proofErr w:type="gramStart"/>
      <w:r w:rsidRPr="00C70318">
        <w:rPr>
          <w:rFonts w:ascii="Arial" w:cs="Arial" w:hAnsi="Arial"/>
        </w:rPr>
        <w:t>In order to</w:t>
      </w:r>
      <w:proofErr w:type="gramEnd"/>
      <w:r w:rsidRPr="00C70318">
        <w:rPr>
          <w:rFonts w:ascii="Arial" w:cs="Arial" w:hAnsi="Arial"/>
        </w:rPr>
        <w:t xml:space="preserve"> better connect with the other individual, I would inquire about their personal experiences here. To increase their level of participation, I would make success instruments available to them. I would also let them know where the company is headed, offer them a chance to grow, give them my full </w:t>
      </w:r>
      <w:r w:rsidRPr="00C70318">
        <w:rPr>
          <w:rFonts w:ascii="Arial" w:cs="Arial" w:hAnsi="Arial"/>
        </w:rPr>
        <w:t>backing, recognise their hard work, let them know how much I value them, build a good team spirit for them, and reward them.</w:t>
        <w:lastRenderedPageBreak/>
      </w:r>
    </w:p>
    <w:p w:rsidR="00AE33C6" w:rsidRDefault="00AE33C6" w14:paraId="266E5945" w14:textId="77777777" w:rsidP="00C70318" w:rsidRPr="00C70318">
      <w:pPr>
        <w:rPr>
          <w:rFonts w:ascii="Arial" w:cs="Arial" w:hAnsi="Arial"/>
        </w:rPr>
      </w:pPr>
      <w:r w:rsidRPr="00C70318">
        <w:rPr>
          <w:rFonts w:ascii="Arial" w:cs="Arial" w:hAnsi="Arial"/>
        </w:rPr>
        <w:t>Models of employee engagement provide light on the factors that contribute to the contentment and productivity of employees. The Zinger model may accommodate the initiatives that managers take to encourage employee participation</w:t>
      </w:r>
      <w:r w:rsidR="008718FE" w:rsidRPr="00C70318">
        <w:rPr>
          <w:rFonts w:ascii="Arial" w:cs="Arial" w:hAnsi="Arial"/>
        </w:rPr>
        <w:t xml:space="preserve"> (</w:t>
      </w:r>
      <w:proofErr w:type="spellStart"/>
      <w:r w:rsidR="008718FE" w:rsidRPr="00C70318">
        <w:rPr>
          <w:rFonts w:ascii="Arial" w:cs="Arial" w:hAnsi="Arial"/>
        </w:rPr>
        <w:t>Möller</w:t>
      </w:r>
      <w:proofErr w:type="spellEnd"/>
      <w:r w:rsidR="008718FE" w:rsidRPr="00C70318">
        <w:rPr>
          <w:rFonts w:ascii="Arial" w:cs="Arial" w:hAnsi="Arial"/>
        </w:rPr>
        <w:t>, 2019)</w:t>
      </w:r>
      <w:r w:rsidRPr="00C70318">
        <w:rPr>
          <w:rFonts w:ascii="Arial" w:cs="Arial" w:hAnsi="Arial"/>
        </w:rPr>
        <w:t>. This method of employee</w:t>
      </w:r>
      <w:r w:rsidR="008718FE" w:rsidRPr="00C70318">
        <w:rPr>
          <w:rFonts w:ascii="Arial" w:cs="Arial" w:hAnsi="Arial"/>
        </w:rPr>
        <w:t xml:space="preserve"> involvement is used by Hilton H</w:t>
      </w:r>
      <w:r w:rsidRPr="00C70318">
        <w:rPr>
          <w:rFonts w:ascii="Arial" w:cs="Arial" w:hAnsi="Arial"/>
        </w:rPr>
        <w:t xml:space="preserve">otels </w:t>
      </w:r>
      <w:proofErr w:type="gramStart"/>
      <w:r w:rsidRPr="00C70318">
        <w:rPr>
          <w:rFonts w:ascii="Arial" w:cs="Arial" w:hAnsi="Arial"/>
        </w:rPr>
        <w:t>in order to</w:t>
      </w:r>
      <w:proofErr w:type="gramEnd"/>
      <w:r w:rsidRPr="00C70318">
        <w:rPr>
          <w:rFonts w:ascii="Arial" w:cs="Arial" w:hAnsi="Arial"/>
        </w:rPr>
        <w:t xml:space="preserve"> establish a culture that is long-lasting. The engagement of employees is emphasised using this pyramidal structure. This strategy needs to focus on fundamentals </w:t>
      </w:r>
      <w:proofErr w:type="gramStart"/>
      <w:r w:rsidRPr="00C70318">
        <w:rPr>
          <w:rFonts w:ascii="Arial" w:cs="Arial" w:hAnsi="Arial"/>
        </w:rPr>
        <w:t>in order to</w:t>
      </w:r>
      <w:proofErr w:type="gramEnd"/>
      <w:r w:rsidRPr="00C70318">
        <w:rPr>
          <w:rFonts w:ascii="Arial" w:cs="Arial" w:hAnsi="Arial"/>
        </w:rPr>
        <w:t xml:space="preserve"> produce high-quality work. The next row up is the business unity row, and this is the bottom row. It places a focus on recognising employees and cultivating ties among people. The third row fosters a sense of camaraderie while also enhancing performance. The company would place a primary emphasis on advancement and performance. Results are at the very top of the pyramid. Any effort to engage employees ought to result in increased profits and output from those employees</w:t>
      </w:r>
      <w:r w:rsidR="008718FE" w:rsidRPr="00C70318">
        <w:rPr>
          <w:rFonts w:ascii="Arial" w:cs="Arial" w:hAnsi="Arial"/>
        </w:rPr>
        <w:t xml:space="preserve"> (Cattermole, 2019)</w:t>
      </w:r>
      <w:r w:rsidRPr="00C70318">
        <w:rPr>
          <w:rFonts w:ascii="Arial" w:cs="Arial" w:hAnsi="Arial"/>
        </w:rPr>
        <w:t xml:space="preserve">. A company should begin the process of employee engagement by establishing strategic engagement objectives </w:t>
      </w:r>
      <w:proofErr w:type="gramStart"/>
      <w:r w:rsidRPr="00C70318">
        <w:rPr>
          <w:rFonts w:ascii="Arial" w:cs="Arial" w:hAnsi="Arial"/>
        </w:rPr>
        <w:t>in order to</w:t>
      </w:r>
      <w:proofErr w:type="gramEnd"/>
      <w:r w:rsidRPr="00C70318">
        <w:rPr>
          <w:rFonts w:ascii="Arial" w:cs="Arial" w:hAnsi="Arial"/>
        </w:rPr>
        <w:t xml:space="preserve"> guarantee the desired results.</w:t>
      </w:r>
    </w:p>
    <w:p w:rsidR="00F13686" w:rsidRDefault="00F13686" w14:paraId="72637FE9" w14:textId="77777777" w:rsidP="00C70318" w:rsidRPr="00C70318">
      <w:pPr>
        <w:rPr>
          <w:rFonts w:ascii="Arial" w:cs="Arial" w:hAnsi="Arial"/>
        </w:rPr>
      </w:pPr>
      <w:r w:rsidRPr="00C70318">
        <w:rPr>
          <w:rFonts w:ascii="Arial" w:cs="Arial" w:hAnsi="Arial"/>
        </w:rPr>
        <w:t>Hotels may utilise employee engagement models to improve morale, motivation, and job satisfaction. Two widely used models are the Zinger and the Gallup Model (Warner, 2022). According to the Gallup Model, there are 12 characteristics that contribute to employee engagement, such as strong leadership, career growth opportunities, and recognition from superiors and peers (</w:t>
      </w:r>
      <w:proofErr w:type="spellStart"/>
      <w:r w:rsidRPr="00C70318">
        <w:rPr>
          <w:rFonts w:ascii="Arial" w:cs="Arial" w:hAnsi="Arial"/>
        </w:rPr>
        <w:t>Möller</w:t>
      </w:r>
      <w:proofErr w:type="spellEnd"/>
      <w:r w:rsidRPr="00C70318">
        <w:rPr>
          <w:rFonts w:ascii="Arial" w:cs="Arial" w:hAnsi="Arial"/>
        </w:rPr>
        <w:t>, 2019). In contrast, The Zinger Model is a comprehensive employee engagement paradigm that focuses on employee growth to build a pleasant and productive workplace (Grayson, 2020). The hotel industry may encourage a more dedicated and productive workforce by setting and reviewing results against specific goals. For example, Hilton Hotels &amp; Resorts uses the Zinger method to regularly survey employees and incorporates their feedback into the company's efforts to better meet employees' needs and boost their level of satisfaction. Marriott International has also used the Gallup Model to foster an environment of appreciation and thanksgiving among its staff.</w:t>
      </w:r>
    </w:p>
    <w:p w:rsidR="00D8246C" w:rsidRDefault="00AE33C6" w14:paraId="6E2EF14C" w14:textId="77777777" w:rsidP="00C70318" w:rsidRPr="00C70318">
      <w:pPr>
        <w:rPr>
          <w:rFonts w:ascii="Arial" w:cs="Arial" w:hAnsi="Arial"/>
        </w:rPr>
      </w:pPr>
      <w:r w:rsidRPr="00C70318">
        <w:rPr>
          <w:rFonts w:ascii="Arial" w:cs="Arial" w:hAnsi="Arial"/>
        </w:rPr>
        <w:t>In conclusion, the hotel industry is strongly reliant on employee engagement and the employee lifecycle. Employee engagement is the driving force behind productivity, job satisfaction, and retention, while the employee lifecycle provides a complete view of a person's progress through an organisation</w:t>
        <w:lastRenderedPageBreak/>
      </w:r>
      <w:r w:rsidR="00396D79" w:rsidRPr="00C70318">
        <w:rPr>
          <w:rFonts w:ascii="Arial" w:cs="Arial" w:hAnsi="Arial"/>
        </w:rPr>
        <w:t xml:space="preserve"> (Gupta, 2019)</w:t>
      </w:r>
      <w:r w:rsidRPr="00C70318">
        <w:rPr>
          <w:rFonts w:ascii="Arial" w:cs="Arial" w:hAnsi="Arial"/>
        </w:rPr>
        <w:t xml:space="preserve">. Hotels should concentrate on providing a nice environment, enough opportunities for professional growth, and regular opportunities for two-way communication </w:t>
      </w:r>
      <w:proofErr w:type="gramStart"/>
      <w:r w:rsidRPr="00C70318">
        <w:rPr>
          <w:rFonts w:ascii="Arial" w:cs="Arial" w:hAnsi="Arial"/>
        </w:rPr>
        <w:t>in order to</w:t>
      </w:r>
      <w:proofErr w:type="gramEnd"/>
      <w:r w:rsidRPr="00C70318">
        <w:rPr>
          <w:rFonts w:ascii="Arial" w:cs="Arial" w:hAnsi="Arial"/>
        </w:rPr>
        <w:t xml:space="preserve"> keep their staff happy and productive. In addition, hotels should have a complete personnel lifecycle strategy that supports their overall goals</w:t>
      </w:r>
      <w:r w:rsidR="00396D79" w:rsidRPr="00C70318">
        <w:rPr>
          <w:rFonts w:ascii="Arial" w:cs="Arial" w:hAnsi="Arial"/>
        </w:rPr>
        <w:t xml:space="preserve"> (Collinson, 2021)</w:t>
      </w:r>
      <w:r w:rsidRPr="00C70318">
        <w:rPr>
          <w:rFonts w:ascii="Arial" w:cs="Arial" w:hAnsi="Arial"/>
        </w:rPr>
        <w:t xml:space="preserve">. This area includes activities such as orientation, periodic performance evaluations, and opportunities for professional advancement. A hotel's success is dependent on its workers' satisfaction and loyalty to the </w:t>
      </w:r>
      <w:proofErr w:type="gramStart"/>
      <w:r w:rsidRPr="00C70318">
        <w:rPr>
          <w:rFonts w:ascii="Arial" w:cs="Arial" w:hAnsi="Arial"/>
        </w:rPr>
        <w:t>organisation,</w:t>
      </w:r>
      <w:proofErr w:type="gramEnd"/>
      <w:r w:rsidRPr="00C70318">
        <w:rPr>
          <w:rFonts w:ascii="Arial" w:cs="Arial" w:hAnsi="Arial"/>
        </w:rPr>
        <w:t xml:space="preserve"> thus management should seek to increase both. Investment in employee engagement and the employee lifecycle may offer hotels a competitive advantage and assist them in recruiting and retaining the finest staff.</w:t>
      </w:r>
    </w:p>
    <w:p w:rsidR="00FB4858" w:rsidRDefault="00FB4858" w14:paraId="0C56EDFB" w14:textId="77777777" w:rsidP="00C70318">
      <w:pPr>
        <w:rPr>
          <w:rFonts w:ascii="Arial" w:cs="Arial" w:hAnsi="Arial"/>
          <w:sz w:val="28"/>
        </w:rPr>
      </w:pPr>
      <w:bookmarkStart w:id="0" w:name="_Toc117162788"/>
    </w:p>
    <w:p w:rsidR="00FB4858" w:rsidRDefault="00FB4858" w14:paraId="22BD3EA2" w14:textId="77777777" w:rsidP="00C70318">
      <w:pPr>
        <w:rPr>
          <w:rFonts w:ascii="Arial" w:cs="Arial" w:hAnsi="Arial"/>
          <w:sz w:val="28"/>
        </w:rPr>
      </w:pPr>
    </w:p>
    <w:p w:rsidR="00FB4858" w:rsidRDefault="00FB4858" w14:paraId="34676388" w14:textId="77777777" w:rsidP="00C70318">
      <w:pPr>
        <w:rPr>
          <w:rFonts w:ascii="Arial" w:cs="Arial" w:hAnsi="Arial"/>
          <w:sz w:val="28"/>
        </w:rPr>
      </w:pPr>
    </w:p>
    <w:p w:rsidR="00FB4858" w:rsidRDefault="00FB4858" w14:paraId="3BE0A48A" w14:textId="77777777" w:rsidP="00C70318">
      <w:pPr>
        <w:rPr>
          <w:rFonts w:ascii="Arial" w:cs="Arial" w:hAnsi="Arial"/>
          <w:sz w:val="28"/>
        </w:rPr>
      </w:pPr>
    </w:p>
    <w:p w:rsidR="00FB4858" w:rsidRDefault="00FB4858" w14:paraId="2AC1DB67" w14:textId="77777777" w:rsidP="00C70318">
      <w:pPr>
        <w:rPr>
          <w:rFonts w:ascii="Arial" w:cs="Arial" w:hAnsi="Arial"/>
          <w:sz w:val="28"/>
        </w:rPr>
      </w:pPr>
    </w:p>
    <w:p w:rsidR="00FB4858" w:rsidRDefault="00FB4858" w14:paraId="3CC0F187" w14:textId="77777777" w:rsidP="00C70318">
      <w:pPr>
        <w:rPr>
          <w:rFonts w:ascii="Arial" w:cs="Arial" w:hAnsi="Arial"/>
          <w:sz w:val="28"/>
        </w:rPr>
      </w:pPr>
    </w:p>
    <w:p w:rsidR="00FB4858" w:rsidRDefault="00FB4858" w14:paraId="54CB9ECE" w14:textId="77777777" w:rsidP="00C70318">
      <w:pPr>
        <w:rPr>
          <w:rFonts w:ascii="Arial" w:cs="Arial" w:hAnsi="Arial"/>
          <w:sz w:val="28"/>
        </w:rPr>
      </w:pPr>
    </w:p>
    <w:p w:rsidR="00FB4858" w:rsidRDefault="00FB4858" w14:paraId="4316CAEA" w14:textId="77777777" w:rsidP="00C70318">
      <w:pPr>
        <w:rPr>
          <w:rFonts w:ascii="Arial" w:cs="Arial" w:hAnsi="Arial"/>
          <w:sz w:val="28"/>
        </w:rPr>
      </w:pPr>
    </w:p>
    <w:p w:rsidR="00FB4858" w:rsidRDefault="00FB4858" w14:paraId="4CBA0520" w14:textId="77777777" w:rsidP="00C70318">
      <w:pPr>
        <w:rPr>
          <w:rFonts w:ascii="Arial" w:cs="Arial" w:hAnsi="Arial"/>
          <w:sz w:val="28"/>
        </w:rPr>
      </w:pPr>
    </w:p>
    <w:p w:rsidR="00FB4858" w:rsidRDefault="00FB4858" w14:paraId="606526A3" w14:textId="77777777" w:rsidP="00C70318">
      <w:pPr>
        <w:rPr>
          <w:rFonts w:ascii="Arial" w:cs="Arial" w:hAnsi="Arial"/>
          <w:sz w:val="28"/>
        </w:rPr>
      </w:pPr>
    </w:p>
    <w:p w:rsidR="00FB4858" w:rsidRDefault="00FB4858" w14:paraId="3B81D35F" w14:textId="77777777" w:rsidP="00C70318">
      <w:pPr>
        <w:rPr>
          <w:rFonts w:ascii="Arial" w:cs="Arial" w:hAnsi="Arial"/>
          <w:sz w:val="28"/>
        </w:rPr>
      </w:pPr>
    </w:p>
    <w:p w:rsidR="00FB4858" w:rsidRDefault="00FB4858" w14:paraId="78CB2D47" w14:textId="77777777" w:rsidP="00C70318">
      <w:pPr>
        <w:rPr>
          <w:rFonts w:ascii="Arial" w:cs="Arial" w:hAnsi="Arial"/>
          <w:sz w:val="28"/>
        </w:rPr>
      </w:pPr>
    </w:p>
    <w:p w:rsidR="00D8246C" w:rsidRDefault="00D8246C" w14:paraId="19EBE0EE" w14:textId="2594EE03" w:rsidP="00C70318" w:rsidRPr="00C70318">
      <w:pPr>
        <w:rPr>
          <w:rFonts w:ascii="Arial" w:cs="Arial" w:hAnsi="Arial"/>
          <w:sz w:val="28"/>
        </w:rPr>
      </w:pPr>
      <w:r w:rsidRPr="00C70318">
        <w:rPr>
          <w:rFonts w:ascii="Arial" w:cs="Arial" w:hAnsi="Arial"/>
          <w:sz w:val="28"/>
        </w:rPr>
        <w:t>References</w:t>
      </w:r>
      <w:bookmarkEnd w:id="0"/>
    </w:p>
    <w:p w:rsidR="00E529C3" w:rsidRDefault="00E529C3" w14:paraId="0920C8BB" w14:textId="77777777" w:rsidP="00C70318" w:rsidRPr="00C70318">
      <w:pPr>
        <w:rPr>
          <w:rFonts w:ascii="Arial" w:cs="Arial" w:hAnsi="Arial"/>
        </w:rPr>
      </w:pPr>
      <w:r w:rsidRPr="00C70318">
        <w:rPr>
          <w:rFonts w:ascii="Arial" w:cs="Arial" w:hAnsi="Arial"/>
        </w:rPr>
        <w:t xml:space="preserve">Allen, J. and Turner, A. (2018). Employee Performance and Engagement for Performance Improvement. </w:t>
      </w:r>
      <w:r w:rsidRPr="00C70318">
        <w:rPr>
          <w:iCs/>
          <w:i/>
          <w:rFonts w:ascii="Arial" w:cs="Arial" w:hAnsi="Arial"/>
        </w:rPr>
        <w:t>Performance Improvement Quarterly</w:t>
      </w:r>
      <w:r w:rsidRPr="00C70318">
        <w:rPr>
          <w:rFonts w:ascii="Arial" w:cs="Arial" w:hAnsi="Arial"/>
        </w:rPr>
        <w:t>, 30(4), pp.225–230.</w:t>
      </w:r>
    </w:p>
    <w:p w:rsidR="00E529C3" w:rsidRDefault="00E529C3" w14:paraId="49C15F3C" w14:textId="77777777" w:rsidP="00C70318" w:rsidRPr="00C70318">
      <w:pPr>
        <w:rPr>
          <w:rFonts w:ascii="Arial" w:cs="Arial" w:hAnsi="Arial"/>
        </w:rPr>
      </w:pPr>
      <w:r w:rsidRPr="00C70318">
        <w:rPr>
          <w:rFonts w:ascii="Arial" w:cs="Arial" w:hAnsi="Arial"/>
        </w:rPr>
        <w:t xml:space="preserve">Arslan, M. (2018). Organizational Cynicism and Employee Performance: Moderating Role of Employee Engagement. </w:t>
      </w:r>
      <w:r w:rsidRPr="00C70318">
        <w:rPr>
          <w:iCs/>
          <w:i/>
          <w:rFonts w:ascii="Arial" w:cs="Arial" w:hAnsi="Arial"/>
        </w:rPr>
        <w:t>SSRN Electronic Journal</w:t>
      </w:r>
      <w:r w:rsidRPr="00C70318">
        <w:rPr>
          <w:rFonts w:ascii="Arial" w:cs="Arial" w:hAnsi="Arial"/>
        </w:rPr>
        <w:t xml:space="preserve">, 1(1). </w:t>
      </w:r>
      <w:proofErr w:type="spellStart"/>
      <w:proofErr w:type="gramStart"/>
      <w:r w:rsidRPr="00C70318">
        <w:rPr>
          <w:rFonts w:ascii="Arial" w:cs="Arial" w:hAnsi="Arial"/>
        </w:rPr>
        <w:t>doi:https</w:t>
      </w:r>
      <w:proofErr w:type="spellEnd"/>
      <w:r w:rsidRPr="00C70318">
        <w:rPr>
          <w:rFonts w:ascii="Arial" w:cs="Arial" w:hAnsi="Arial"/>
        </w:rPr>
        <w:t>://doi.org/10.2139/ssrn.3080254</w:t>
      </w:r>
      <w:proofErr w:type="gramEnd"/>
      <w:r w:rsidRPr="00C70318">
        <w:rPr>
          <w:rFonts w:ascii="Arial" w:cs="Arial" w:hAnsi="Arial"/>
        </w:rPr>
        <w:t>.</w:t>
      </w:r>
    </w:p>
    <w:p w:rsidR="00E529C3" w:rsidRDefault="00E529C3" w14:paraId="1A6F6E92" w14:textId="77777777" w:rsidP="00C70318" w:rsidRPr="00C70318">
      <w:pPr>
        <w:rPr>
          <w:rFonts w:ascii="Arial" w:cs="Arial" w:hAnsi="Arial"/>
        </w:rPr>
      </w:pPr>
      <w:r w:rsidRPr="00C70318">
        <w:rPr>
          <w:rFonts w:ascii="Arial" w:cs="Arial" w:hAnsi="Arial"/>
        </w:rPr>
        <w:t xml:space="preserve">Cattermole, G. (2019). Developing the employee lifecycle to keep top talent. </w:t>
      </w:r>
      <w:r w:rsidRPr="00C70318">
        <w:rPr>
          <w:iCs/>
          <w:i/>
          <w:rFonts w:ascii="Arial" w:cs="Arial" w:hAnsi="Arial"/>
        </w:rPr>
        <w:t>Strategic HR Review</w:t>
      </w:r>
      <w:r w:rsidRPr="00C70318">
        <w:rPr>
          <w:rFonts w:ascii="Arial" w:cs="Arial" w:hAnsi="Arial"/>
        </w:rPr>
        <w:t>, 18(6), pp.258–262.</w:t>
      </w:r>
    </w:p>
    <w:p w:rsidR="00E529C3" w:rsidRDefault="00E529C3" w14:paraId="3FF18E7D" w14:textId="77777777" w:rsidP="00C70318" w:rsidRPr="00C70318">
      <w:pPr>
        <w:rPr>
          <w:rFonts w:ascii="Arial" w:cs="Arial" w:hAnsi="Arial"/>
        </w:rPr>
      </w:pPr>
      <w:r w:rsidRPr="00C70318">
        <w:rPr>
          <w:rFonts w:ascii="Arial" w:cs="Arial" w:hAnsi="Arial"/>
        </w:rPr>
        <w:t xml:space="preserve">Collinson, D. (2021). Barriers to employee rights: Gender, selection, and the </w:t>
      </w:r>
      <w:proofErr w:type="spellStart"/>
      <w:r w:rsidRPr="00C70318">
        <w:rPr>
          <w:rFonts w:ascii="Arial" w:cs="Arial" w:hAnsi="Arial"/>
        </w:rPr>
        <w:t>labor</w:t>
      </w:r>
      <w:proofErr w:type="spellEnd"/>
      <w:r w:rsidRPr="00C70318">
        <w:rPr>
          <w:rFonts w:ascii="Arial" w:cs="Arial" w:hAnsi="Arial"/>
        </w:rPr>
        <w:t xml:space="preserve"> process. </w:t>
      </w:r>
      <w:r w:rsidRPr="00C70318">
        <w:rPr>
          <w:iCs/>
          <w:i/>
          <w:rFonts w:ascii="Arial" w:cs="Arial" w:hAnsi="Arial"/>
        </w:rPr>
        <w:t>Employee Responsibilities and Rights Journal</w:t>
      </w:r>
      <w:r w:rsidRPr="00C70318">
        <w:rPr>
          <w:rFonts w:ascii="Arial" w:cs="Arial" w:hAnsi="Arial"/>
        </w:rPr>
        <w:t xml:space="preserve">, 9(3), pp.229–249. </w:t>
      </w:r>
      <w:proofErr w:type="spellStart"/>
      <w:proofErr w:type="gramStart"/>
      <w:r w:rsidRPr="00C70318">
        <w:rPr>
          <w:rFonts w:ascii="Arial" w:cs="Arial" w:hAnsi="Arial"/>
        </w:rPr>
        <w:t>doi:https</w:t>
      </w:r>
      <w:proofErr w:type="spellEnd"/>
      <w:r w:rsidRPr="00C70318">
        <w:rPr>
          <w:rFonts w:ascii="Arial" w:cs="Arial" w:hAnsi="Arial"/>
        </w:rPr>
        <w:t>://doi.org/10.1007/bf02629071</w:t>
      </w:r>
      <w:proofErr w:type="gramEnd"/>
      <w:r w:rsidRPr="00C70318">
        <w:rPr>
          <w:rFonts w:ascii="Arial" w:cs="Arial" w:hAnsi="Arial"/>
        </w:rPr>
        <w:t>.</w:t>
      </w:r>
    </w:p>
    <w:p w:rsidR="00E529C3" w:rsidRDefault="00E529C3" w14:paraId="30F414C6" w14:textId="77777777" w:rsidP="00C70318" w:rsidRPr="00C70318">
      <w:pPr>
        <w:rPr>
          <w:rFonts w:ascii="Arial" w:cs="Arial" w:hAnsi="Arial"/>
        </w:rPr>
      </w:pPr>
      <w:proofErr w:type="spellStart"/>
      <w:r w:rsidRPr="00C70318">
        <w:rPr>
          <w:rFonts w:ascii="Arial" w:cs="Arial" w:hAnsi="Arial"/>
        </w:rPr>
        <w:t>Eaglebarger</w:t>
      </w:r>
      <w:proofErr w:type="spellEnd"/>
      <w:r w:rsidRPr="00C70318">
        <w:rPr>
          <w:rFonts w:ascii="Arial" w:cs="Arial" w:hAnsi="Arial"/>
        </w:rPr>
        <w:t xml:space="preserve">, S. (2021). Engaging employees beyond the office freebies. </w:t>
      </w:r>
      <w:r w:rsidRPr="00C70318">
        <w:rPr>
          <w:iCs/>
          <w:i/>
          <w:rFonts w:ascii="Arial" w:cs="Arial" w:hAnsi="Arial"/>
        </w:rPr>
        <w:t>Strategic HR Review</w:t>
      </w:r>
      <w:r w:rsidRPr="00C70318">
        <w:rPr>
          <w:rFonts w:ascii="Arial" w:cs="Arial" w:hAnsi="Arial"/>
        </w:rPr>
        <w:t xml:space="preserve">, 16(3), pp.112–116. </w:t>
      </w:r>
      <w:proofErr w:type="spellStart"/>
      <w:proofErr w:type="gramStart"/>
      <w:r w:rsidRPr="00C70318">
        <w:rPr>
          <w:rFonts w:ascii="Arial" w:cs="Arial" w:hAnsi="Arial"/>
        </w:rPr>
        <w:t>doi:https</w:t>
      </w:r>
      <w:proofErr w:type="spellEnd"/>
      <w:r w:rsidRPr="00C70318">
        <w:rPr>
          <w:rFonts w:ascii="Arial" w:cs="Arial" w:hAnsi="Arial"/>
        </w:rPr>
        <w:t>://doi.org/10.1108/shr-03-2017-0015</w:t>
      </w:r>
      <w:proofErr w:type="gramEnd"/>
      <w:r w:rsidRPr="00C70318">
        <w:rPr>
          <w:rFonts w:ascii="Arial" w:cs="Arial" w:hAnsi="Arial"/>
        </w:rPr>
        <w:t>.</w:t>
      </w:r>
    </w:p>
    <w:p w:rsidR="00E529C3" w:rsidRDefault="00E529C3" w14:paraId="1ECDAEB9" w14:textId="77777777" w:rsidP="00C70318" w:rsidRPr="00C70318">
      <w:pPr>
        <w:rPr>
          <w:rFonts w:ascii="Arial" w:cs="Arial" w:hAnsi="Arial"/>
        </w:rPr>
      </w:pPr>
      <w:r w:rsidRPr="00C70318">
        <w:rPr>
          <w:rFonts w:ascii="Arial" w:cs="Arial" w:hAnsi="Arial"/>
        </w:rPr>
        <w:t xml:space="preserve">Fisher, C.D. and Southey, G. (2019). International human resource management in the introductory HRM course. </w:t>
      </w:r>
      <w:r w:rsidRPr="00C70318">
        <w:rPr>
          <w:iCs/>
          <w:i/>
          <w:rFonts w:ascii="Arial" w:cs="Arial" w:hAnsi="Arial"/>
        </w:rPr>
        <w:t>The International Journal of Human Resource Management</w:t>
      </w:r>
      <w:r w:rsidRPr="00C70318">
        <w:rPr>
          <w:rFonts w:ascii="Arial" w:cs="Arial" w:hAnsi="Arial"/>
        </w:rPr>
        <w:t xml:space="preserve">, 16(4), pp.599–614. </w:t>
      </w:r>
      <w:proofErr w:type="spellStart"/>
      <w:proofErr w:type="gramStart"/>
      <w:r w:rsidRPr="00C70318">
        <w:rPr>
          <w:rFonts w:ascii="Arial" w:cs="Arial" w:hAnsi="Arial"/>
        </w:rPr>
        <w:t>doi:https</w:t>
      </w:r>
      <w:proofErr w:type="spellEnd"/>
      <w:r w:rsidRPr="00C70318">
        <w:rPr>
          <w:rFonts w:ascii="Arial" w:cs="Arial" w:hAnsi="Arial"/>
        </w:rPr>
        <w:t>://doi.org/10.1080/09585190500051712</w:t>
      </w:r>
      <w:proofErr w:type="gramEnd"/>
      <w:r w:rsidRPr="00C70318">
        <w:rPr>
          <w:rFonts w:ascii="Arial" w:cs="Arial" w:hAnsi="Arial"/>
        </w:rPr>
        <w:t>.</w:t>
      </w:r>
    </w:p>
    <w:p w:rsidR="00E529C3" w:rsidRDefault="00E529C3" w14:paraId="53B4AAED" w14:textId="77777777" w:rsidP="00C70318" w:rsidRPr="00C70318">
      <w:pPr>
        <w:rPr>
          <w:rFonts w:ascii="Arial" w:cs="Arial" w:hAnsi="Arial"/>
        </w:rPr>
      </w:pPr>
      <w:r w:rsidRPr="00C70318">
        <w:rPr>
          <w:rFonts w:ascii="Arial" w:cs="Arial" w:hAnsi="Arial"/>
        </w:rPr>
        <w:t xml:space="preserve">Grayson, D. (2020). Internal marketing for engaging employees on the corporate responsibility journey. </w:t>
      </w:r>
      <w:r w:rsidRPr="00C70318">
        <w:rPr>
          <w:iCs/>
          <w:i/>
          <w:rFonts w:ascii="Arial" w:cs="Arial" w:hAnsi="Arial"/>
        </w:rPr>
        <w:t>Intangible Capital</w:t>
      </w:r>
      <w:r w:rsidRPr="00C70318">
        <w:rPr>
          <w:rFonts w:ascii="Arial" w:cs="Arial" w:hAnsi="Arial"/>
        </w:rPr>
        <w:t xml:space="preserve">, 8(2). </w:t>
      </w:r>
      <w:proofErr w:type="spellStart"/>
      <w:proofErr w:type="gramStart"/>
      <w:r w:rsidRPr="00C70318">
        <w:rPr>
          <w:rFonts w:ascii="Arial" w:cs="Arial" w:hAnsi="Arial"/>
        </w:rPr>
        <w:t>doi:https</w:t>
      </w:r>
      <w:proofErr w:type="spellEnd"/>
      <w:r w:rsidRPr="00C70318">
        <w:rPr>
          <w:rFonts w:ascii="Arial" w:cs="Arial" w:hAnsi="Arial"/>
        </w:rPr>
        <w:t>://doi.org/10.3926/ic.305</w:t>
      </w:r>
      <w:proofErr w:type="gramEnd"/>
      <w:r w:rsidRPr="00C70318">
        <w:rPr>
          <w:rFonts w:ascii="Arial" w:cs="Arial" w:hAnsi="Arial"/>
        </w:rPr>
        <w:t>.</w:t>
      </w:r>
    </w:p>
    <w:p w:rsidR="00E529C3" w:rsidRDefault="00E529C3" w14:paraId="550E1705" w14:textId="77777777" w:rsidP="00C70318" w:rsidRPr="00C70318">
      <w:pPr>
        <w:rPr>
          <w:rFonts w:ascii="Arial" w:cs="Arial" w:hAnsi="Arial"/>
        </w:rPr>
      </w:pPr>
      <w:r w:rsidRPr="00C70318">
        <w:rPr>
          <w:rFonts w:ascii="Arial" w:cs="Arial" w:hAnsi="Arial"/>
        </w:rPr>
        <w:t xml:space="preserve">Gupta, S. (2019). Challenges Faced by Employees in Handling Employee Lifecycle. </w:t>
      </w:r>
      <w:r w:rsidRPr="00C70318">
        <w:rPr>
          <w:iCs/>
          <w:i/>
          <w:rFonts w:ascii="Arial" w:cs="Arial" w:hAnsi="Arial"/>
        </w:rPr>
        <w:t>SSRN Electronic Journal</w:t>
      </w:r>
      <w:r w:rsidRPr="00C70318">
        <w:rPr>
          <w:rFonts w:ascii="Arial" w:cs="Arial" w:hAnsi="Arial"/>
        </w:rPr>
        <w:t xml:space="preserve">, 8(45). </w:t>
      </w:r>
      <w:proofErr w:type="spellStart"/>
      <w:proofErr w:type="gramStart"/>
      <w:r w:rsidRPr="00C70318">
        <w:rPr>
          <w:rFonts w:ascii="Arial" w:cs="Arial" w:hAnsi="Arial"/>
        </w:rPr>
        <w:t>doi:https</w:t>
      </w:r>
      <w:proofErr w:type="spellEnd"/>
      <w:r w:rsidRPr="00C70318">
        <w:rPr>
          <w:rFonts w:ascii="Arial" w:cs="Arial" w:hAnsi="Arial"/>
        </w:rPr>
        <w:t>://doi.org/10.2139/ssrn.3307019</w:t>
      </w:r>
      <w:proofErr w:type="gramEnd"/>
      <w:r w:rsidRPr="00C70318">
        <w:rPr>
          <w:rFonts w:ascii="Arial" w:cs="Arial" w:hAnsi="Arial"/>
        </w:rPr>
        <w:t>.</w:t>
      </w:r>
    </w:p>
    <w:p w:rsidR="00E529C3" w:rsidRDefault="00E529C3" w14:paraId="1895FB40" w14:textId="77777777" w:rsidP="00C70318" w:rsidRPr="00C70318">
      <w:pPr>
        <w:rPr>
          <w:rFonts w:ascii="Arial" w:cs="Arial" w:hAnsi="Arial"/>
        </w:rPr>
      </w:pPr>
      <w:r w:rsidRPr="00C70318">
        <w:rPr>
          <w:rFonts w:ascii="Arial" w:cs="Arial" w:hAnsi="Arial"/>
        </w:rPr>
        <w:t xml:space="preserve">Hayward, S. (2019). Engaging employees through whole leadership. </w:t>
      </w:r>
      <w:r w:rsidRPr="00C70318">
        <w:rPr>
          <w:iCs/>
          <w:i/>
          <w:rFonts w:ascii="Arial" w:cs="Arial" w:hAnsi="Arial"/>
        </w:rPr>
        <w:t>Strategic HR Review</w:t>
      </w:r>
      <w:r w:rsidRPr="00C70318">
        <w:rPr>
          <w:rFonts w:ascii="Arial" w:cs="Arial" w:hAnsi="Arial"/>
        </w:rPr>
        <w:t xml:space="preserve">, 9(3), pp.11–17. </w:t>
      </w:r>
      <w:proofErr w:type="spellStart"/>
      <w:proofErr w:type="gramStart"/>
      <w:r w:rsidRPr="00C70318">
        <w:rPr>
          <w:rFonts w:ascii="Arial" w:cs="Arial" w:hAnsi="Arial"/>
        </w:rPr>
        <w:t>doi:https</w:t>
      </w:r>
      <w:proofErr w:type="spellEnd"/>
      <w:r w:rsidRPr="00C70318">
        <w:rPr>
          <w:rFonts w:ascii="Arial" w:cs="Arial" w:hAnsi="Arial"/>
        </w:rPr>
        <w:t>://doi.org/10.1108/14754391011040028</w:t>
      </w:r>
      <w:proofErr w:type="gramEnd"/>
      <w:r w:rsidRPr="00C70318">
        <w:rPr>
          <w:rFonts w:ascii="Arial" w:cs="Arial" w:hAnsi="Arial"/>
        </w:rPr>
        <w:t>.</w:t>
      </w:r>
    </w:p>
    <w:p w:rsidR="00E529C3" w:rsidRDefault="00E529C3" w14:paraId="4CD49752" w14:textId="77777777" w:rsidP="00C70318" w:rsidRPr="00C70318">
      <w:pPr>
        <w:rPr>
          <w:rFonts w:ascii="Arial" w:cs="Arial" w:hAnsi="Arial"/>
        </w:rPr>
      </w:pPr>
      <w:r w:rsidRPr="00C70318">
        <w:rPr>
          <w:rFonts w:ascii="Arial" w:cs="Arial" w:hAnsi="Arial"/>
        </w:rPr>
        <w:t xml:space="preserve">Hilton (2022). </w:t>
      </w:r>
      <w:r w:rsidRPr="00C70318">
        <w:rPr>
          <w:iCs/>
          <w:i/>
          <w:rFonts w:ascii="Arial" w:cs="Arial" w:hAnsi="Arial"/>
        </w:rPr>
        <w:t>Hotels by Hilton - Book the Best Rates Across All Brands</w:t>
      </w:r>
      <w:r w:rsidRPr="00C70318">
        <w:rPr>
          <w:rFonts w:ascii="Arial" w:cs="Arial" w:hAnsi="Arial"/>
        </w:rPr>
        <w:t>. [online] Hilton. Available at: https://www.hilton.com/en/.</w:t>
      </w:r>
    </w:p>
    <w:p w:rsidR="00E529C3" w:rsidRDefault="00E529C3" w14:paraId="12BE1329" w14:textId="77777777" w:rsidP="00C70318" w:rsidRPr="00C70318">
      <w:pPr>
        <w:rPr>
          <w:rFonts w:ascii="Arial" w:cs="Arial" w:hAnsi="Arial"/>
        </w:rPr>
      </w:pPr>
      <w:proofErr w:type="spellStart"/>
      <w:r w:rsidRPr="00C70318">
        <w:rPr>
          <w:rFonts w:ascii="Arial" w:cs="Arial" w:hAnsi="Arial"/>
        </w:rPr>
        <w:t>Kabst</w:t>
        <w:lastRenderedPageBreak/>
      </w:r>
      <w:proofErr w:type="spellEnd"/>
      <w:r w:rsidRPr="00C70318">
        <w:rPr>
          <w:rFonts w:ascii="Arial" w:cs="Arial" w:hAnsi="Arial"/>
        </w:rPr>
        <w:t xml:space="preserve">, R. (2020). Human resource management for international joint ventures: expatriation and selective control. </w:t>
      </w:r>
      <w:r w:rsidRPr="00C70318">
        <w:rPr>
          <w:iCs/>
          <w:i/>
          <w:rFonts w:ascii="Arial" w:cs="Arial" w:hAnsi="Arial"/>
        </w:rPr>
        <w:t>The International Journal of Human Resource Management</w:t>
      </w:r>
      <w:r w:rsidRPr="00C70318">
        <w:rPr>
          <w:rFonts w:ascii="Arial" w:cs="Arial" w:hAnsi="Arial"/>
        </w:rPr>
        <w:t xml:space="preserve">, 15(1), pp.1–16. </w:t>
      </w:r>
      <w:proofErr w:type="spellStart"/>
      <w:proofErr w:type="gramStart"/>
      <w:r w:rsidRPr="00C70318">
        <w:rPr>
          <w:rFonts w:ascii="Arial" w:cs="Arial" w:hAnsi="Arial"/>
        </w:rPr>
        <w:t>doi:https</w:t>
      </w:r>
      <w:proofErr w:type="spellEnd"/>
      <w:r w:rsidRPr="00C70318">
        <w:rPr>
          <w:rFonts w:ascii="Arial" w:cs="Arial" w:hAnsi="Arial"/>
        </w:rPr>
        <w:t>://doi.org/10.1080/0958819032000157311</w:t>
      </w:r>
      <w:proofErr w:type="gramEnd"/>
      <w:r w:rsidRPr="00C70318">
        <w:rPr>
          <w:rFonts w:ascii="Arial" w:cs="Arial" w:hAnsi="Arial"/>
        </w:rPr>
        <w:t>.</w:t>
      </w:r>
    </w:p>
    <w:p w:rsidR="00E529C3" w:rsidRDefault="00E529C3" w14:paraId="20F1D4BA" w14:textId="77777777" w:rsidP="00C70318" w:rsidRPr="00C70318">
      <w:pPr>
        <w:rPr>
          <w:rFonts w:ascii="Arial" w:cs="Arial" w:hAnsi="Arial"/>
        </w:rPr>
      </w:pPr>
      <w:r w:rsidRPr="00C70318">
        <w:rPr>
          <w:rFonts w:ascii="Arial" w:cs="Arial" w:hAnsi="Arial"/>
        </w:rPr>
        <w:t xml:space="preserve">Mathis, R.L. (2019). </w:t>
      </w:r>
      <w:r w:rsidRPr="00C70318">
        <w:rPr>
          <w:iCs/>
          <w:i/>
          <w:rFonts w:ascii="Arial" w:cs="Arial" w:hAnsi="Arial"/>
        </w:rPr>
        <w:t>Human resource management</w:t>
      </w:r>
      <w:r w:rsidRPr="00C70318">
        <w:rPr>
          <w:rFonts w:ascii="Arial" w:cs="Arial" w:hAnsi="Arial"/>
        </w:rPr>
        <w:t>. Boston, Ma: Cengage Learning.</w:t>
      </w:r>
    </w:p>
    <w:p w:rsidR="00E529C3" w:rsidRDefault="00E529C3" w14:paraId="787AAC53" w14:textId="77777777" w:rsidP="00C70318" w:rsidRPr="00C70318">
      <w:pPr>
        <w:rPr>
          <w:rFonts w:ascii="Arial" w:cs="Arial" w:hAnsi="Arial"/>
        </w:rPr>
      </w:pPr>
      <w:proofErr w:type="spellStart"/>
      <w:r w:rsidRPr="00C70318">
        <w:rPr>
          <w:rFonts w:ascii="Arial" w:cs="Arial" w:hAnsi="Arial"/>
        </w:rPr>
        <w:t>Mazenod</w:t>
      </w:r>
      <w:proofErr w:type="spellEnd"/>
      <w:r w:rsidRPr="00C70318">
        <w:rPr>
          <w:rFonts w:ascii="Arial" w:cs="Arial" w:hAnsi="Arial"/>
        </w:rPr>
        <w:t xml:space="preserve">, A. (2019). Engaging employers in workplace training - lessons from the English Train to Gain programme. </w:t>
      </w:r>
      <w:r w:rsidRPr="00C70318">
        <w:rPr>
          <w:iCs/>
          <w:i/>
          <w:rFonts w:ascii="Arial" w:cs="Arial" w:hAnsi="Arial"/>
        </w:rPr>
        <w:t>International Journal of Training and Development</w:t>
      </w:r>
      <w:r w:rsidRPr="00C70318">
        <w:rPr>
          <w:rFonts w:ascii="Arial" w:cs="Arial" w:hAnsi="Arial"/>
        </w:rPr>
        <w:t xml:space="preserve">, 18(1), pp.53–65. </w:t>
      </w:r>
      <w:proofErr w:type="spellStart"/>
      <w:proofErr w:type="gramStart"/>
      <w:r w:rsidRPr="00C70318">
        <w:rPr>
          <w:rFonts w:ascii="Arial" w:cs="Arial" w:hAnsi="Arial"/>
        </w:rPr>
        <w:t>doi:https</w:t>
      </w:r>
      <w:proofErr w:type="spellEnd"/>
      <w:r w:rsidRPr="00C70318">
        <w:rPr>
          <w:rFonts w:ascii="Arial" w:cs="Arial" w:hAnsi="Arial"/>
        </w:rPr>
        <w:t>://doi.org/10.1111/ijtd.12020</w:t>
      </w:r>
      <w:proofErr w:type="gramEnd"/>
      <w:r w:rsidRPr="00C70318">
        <w:rPr>
          <w:rFonts w:ascii="Arial" w:cs="Arial" w:hAnsi="Arial"/>
        </w:rPr>
        <w:t>.</w:t>
      </w:r>
    </w:p>
    <w:p w:rsidR="00E529C3" w:rsidRDefault="00E529C3" w14:paraId="1531D44E" w14:textId="77777777" w:rsidP="00C70318" w:rsidRPr="00C70318">
      <w:pPr>
        <w:rPr>
          <w:rFonts w:ascii="Arial" w:cs="Arial" w:hAnsi="Arial"/>
        </w:rPr>
      </w:pPr>
      <w:proofErr w:type="spellStart"/>
      <w:r w:rsidRPr="00C70318">
        <w:rPr>
          <w:rFonts w:ascii="Arial" w:cs="Arial" w:hAnsi="Arial"/>
        </w:rPr>
        <w:t>Möller</w:t>
      </w:r>
      <w:proofErr w:type="spellEnd"/>
      <w:r w:rsidRPr="00C70318">
        <w:rPr>
          <w:rFonts w:ascii="Arial" w:cs="Arial" w:hAnsi="Arial"/>
        </w:rPr>
        <w:t xml:space="preserve">, K. (2019). Lifecycle models of data-centric systems and domains. </w:t>
      </w:r>
      <w:r w:rsidRPr="00C70318">
        <w:rPr>
          <w:iCs/>
          <w:i/>
          <w:rFonts w:ascii="Arial" w:cs="Arial" w:hAnsi="Arial"/>
        </w:rPr>
        <w:t>Semantic Web</w:t>
      </w:r>
      <w:r w:rsidRPr="00C70318">
        <w:rPr>
          <w:rFonts w:ascii="Arial" w:cs="Arial" w:hAnsi="Arial"/>
        </w:rPr>
        <w:t xml:space="preserve">, 4(1), pp.67–88. </w:t>
      </w:r>
      <w:proofErr w:type="spellStart"/>
      <w:proofErr w:type="gramStart"/>
      <w:r w:rsidRPr="00C70318">
        <w:rPr>
          <w:rFonts w:ascii="Arial" w:cs="Arial" w:hAnsi="Arial"/>
        </w:rPr>
        <w:t>doi:https</w:t>
      </w:r>
      <w:proofErr w:type="spellEnd"/>
      <w:r w:rsidRPr="00C70318">
        <w:rPr>
          <w:rFonts w:ascii="Arial" w:cs="Arial" w:hAnsi="Arial"/>
        </w:rPr>
        <w:t>://doi.org/10.3233/sw-2012-0060</w:t>
      </w:r>
      <w:proofErr w:type="gramEnd"/>
      <w:r w:rsidRPr="00C70318">
        <w:rPr>
          <w:rFonts w:ascii="Arial" w:cs="Arial" w:hAnsi="Arial"/>
        </w:rPr>
        <w:t>.</w:t>
      </w:r>
    </w:p>
    <w:p w:rsidR="00E529C3" w:rsidRDefault="00E529C3" w14:paraId="33AA7A65" w14:textId="77777777" w:rsidP="00C70318" w:rsidRPr="00C70318">
      <w:pPr>
        <w:rPr>
          <w:rFonts w:ascii="Arial" w:cs="Arial" w:hAnsi="Arial"/>
        </w:rPr>
      </w:pPr>
      <w:proofErr w:type="spellStart"/>
      <w:r w:rsidRPr="00C70318">
        <w:rPr>
          <w:rFonts w:ascii="Arial" w:cs="Arial" w:hAnsi="Arial"/>
        </w:rPr>
        <w:t>Opayemi</w:t>
      </w:r>
      <w:proofErr w:type="spellEnd"/>
      <w:r w:rsidRPr="00C70318">
        <w:rPr>
          <w:rFonts w:ascii="Arial" w:cs="Arial" w:hAnsi="Arial"/>
        </w:rPr>
        <w:t xml:space="preserve">, O. (2020). Perception of selection interview, selection test and employee performance: An empirical analysis. </w:t>
      </w:r>
      <w:r w:rsidRPr="00C70318">
        <w:rPr>
          <w:iCs/>
          <w:i/>
          <w:rFonts w:ascii="Arial" w:cs="Arial" w:hAnsi="Arial"/>
        </w:rPr>
        <w:t>Journal of Public Administration and Policy Research</w:t>
      </w:r>
      <w:r w:rsidRPr="00C70318">
        <w:rPr>
          <w:rFonts w:ascii="Arial" w:cs="Arial" w:hAnsi="Arial"/>
        </w:rPr>
        <w:t xml:space="preserve">, 5(4), pp.95–101. </w:t>
      </w:r>
      <w:proofErr w:type="spellStart"/>
      <w:proofErr w:type="gramStart"/>
      <w:r w:rsidRPr="00C70318">
        <w:rPr>
          <w:rFonts w:ascii="Arial" w:cs="Arial" w:hAnsi="Arial"/>
        </w:rPr>
        <w:t>doi:https</w:t>
      </w:r>
      <w:proofErr w:type="spellEnd"/>
      <w:r w:rsidRPr="00C70318">
        <w:rPr>
          <w:rFonts w:ascii="Arial" w:cs="Arial" w:hAnsi="Arial"/>
        </w:rPr>
        <w:t>://doi.org/10.5897/jpapr12.006</w:t>
      </w:r>
      <w:proofErr w:type="gramEnd"/>
      <w:r w:rsidRPr="00C70318">
        <w:rPr>
          <w:rFonts w:ascii="Arial" w:cs="Arial" w:hAnsi="Arial"/>
        </w:rPr>
        <w:t>.</w:t>
      </w:r>
    </w:p>
    <w:p w:rsidR="00E529C3" w:rsidRDefault="00E529C3" w14:paraId="2E26482A" w14:textId="77777777" w:rsidP="00C70318" w:rsidRPr="00C70318">
      <w:pPr>
        <w:rPr>
          <w:rFonts w:ascii="Arial" w:cs="Arial" w:hAnsi="Arial"/>
        </w:rPr>
      </w:pPr>
      <w:proofErr w:type="spellStart"/>
      <w:r w:rsidRPr="00C70318">
        <w:rPr>
          <w:rFonts w:ascii="Arial" w:cs="Arial" w:hAnsi="Arial"/>
        </w:rPr>
        <w:t>Swaney</w:t>
      </w:r>
      <w:proofErr w:type="spellEnd"/>
      <w:r w:rsidRPr="00C70318">
        <w:rPr>
          <w:rFonts w:ascii="Arial" w:cs="Arial" w:hAnsi="Arial"/>
        </w:rPr>
        <w:t xml:space="preserve">, A. (2019). Employee Selection Practices and Performance Pay. </w:t>
      </w:r>
      <w:r w:rsidRPr="00C70318">
        <w:rPr>
          <w:iCs/>
          <w:i/>
          <w:rFonts w:ascii="Arial" w:cs="Arial" w:hAnsi="Arial"/>
        </w:rPr>
        <w:t>SSRN Electronic Journal</w:t>
      </w:r>
      <w:r w:rsidRPr="00C70318">
        <w:rPr>
          <w:rFonts w:ascii="Arial" w:cs="Arial" w:hAnsi="Arial"/>
        </w:rPr>
        <w:t xml:space="preserve">, 34(9). </w:t>
      </w:r>
      <w:proofErr w:type="spellStart"/>
      <w:proofErr w:type="gramStart"/>
      <w:r w:rsidRPr="00C70318">
        <w:rPr>
          <w:rFonts w:ascii="Arial" w:cs="Arial" w:hAnsi="Arial"/>
        </w:rPr>
        <w:t>doi:https</w:t>
      </w:r>
      <w:proofErr w:type="spellEnd"/>
      <w:r w:rsidRPr="00C70318">
        <w:rPr>
          <w:rFonts w:ascii="Arial" w:cs="Arial" w:hAnsi="Arial"/>
        </w:rPr>
        <w:t>://doi.org/10.2139/ssrn.2481074</w:t>
      </w:r>
      <w:proofErr w:type="gramEnd"/>
      <w:r w:rsidRPr="00C70318">
        <w:rPr>
          <w:rFonts w:ascii="Arial" w:cs="Arial" w:hAnsi="Arial"/>
        </w:rPr>
        <w:t>.</w:t>
      </w:r>
    </w:p>
    <w:p w:rsidR="00E529C3" w:rsidRDefault="00E529C3" w14:paraId="0DAB3413" w14:textId="77777777" w:rsidP="00C70318" w:rsidRPr="00C70318">
      <w:pPr>
        <w:rPr>
          <w:rFonts w:ascii="Arial" w:cs="Arial" w:hAnsi="Arial"/>
        </w:rPr>
      </w:pPr>
      <w:r w:rsidRPr="00C70318">
        <w:rPr>
          <w:rFonts w:ascii="Arial" w:cs="Arial" w:hAnsi="Arial"/>
        </w:rPr>
        <w:t xml:space="preserve">Tamayo, A. (2018). Employee Engagement in Higher Learning Institution. </w:t>
      </w:r>
      <w:r w:rsidRPr="00C70318">
        <w:rPr>
          <w:iCs/>
          <w:i/>
          <w:rFonts w:ascii="Arial" w:cs="Arial" w:hAnsi="Arial"/>
        </w:rPr>
        <w:t>SSRN Electronic Journal</w:t>
      </w:r>
      <w:r w:rsidRPr="00C70318">
        <w:rPr>
          <w:rFonts w:ascii="Arial" w:cs="Arial" w:hAnsi="Arial"/>
        </w:rPr>
        <w:t xml:space="preserve">, 54(7). </w:t>
      </w:r>
      <w:proofErr w:type="spellStart"/>
      <w:proofErr w:type="gramStart"/>
      <w:r w:rsidRPr="00C70318">
        <w:rPr>
          <w:rFonts w:ascii="Arial" w:cs="Arial" w:hAnsi="Arial"/>
        </w:rPr>
        <w:t>doi:https</w:t>
      </w:r>
      <w:proofErr w:type="spellEnd"/>
      <w:r w:rsidRPr="00C70318">
        <w:rPr>
          <w:rFonts w:ascii="Arial" w:cs="Arial" w:hAnsi="Arial"/>
        </w:rPr>
        <w:t>://doi.org/10.2139/ssrn.2789282</w:t>
      </w:r>
      <w:proofErr w:type="gramEnd"/>
      <w:r w:rsidRPr="00C70318">
        <w:rPr>
          <w:rFonts w:ascii="Arial" w:cs="Arial" w:hAnsi="Arial"/>
        </w:rPr>
        <w:t>.</w:t>
      </w:r>
    </w:p>
    <w:p w:rsidR="00E529C3" w:rsidRDefault="00E529C3" w14:paraId="7BF974F2" w14:textId="77777777" w:rsidP="00C70318" w:rsidRPr="00C70318">
      <w:pPr>
        <w:rPr>
          <w:rFonts w:ascii="Arial" w:cs="Arial" w:hAnsi="Arial"/>
        </w:rPr>
      </w:pPr>
      <w:r w:rsidRPr="00C70318">
        <w:rPr>
          <w:rFonts w:ascii="Arial" w:cs="Arial" w:hAnsi="Arial"/>
        </w:rPr>
        <w:t xml:space="preserve">Tucker, E. (2021). Engaging employees: three critical roles for managers. </w:t>
      </w:r>
      <w:r w:rsidRPr="00C70318">
        <w:rPr>
          <w:iCs/>
          <w:i/>
          <w:rFonts w:ascii="Arial" w:cs="Arial" w:hAnsi="Arial"/>
        </w:rPr>
        <w:t>Strategic HR Review</w:t>
      </w:r>
      <w:r w:rsidRPr="00C70318">
        <w:rPr>
          <w:rFonts w:ascii="Arial" w:cs="Arial" w:hAnsi="Arial"/>
        </w:rPr>
        <w:t xml:space="preserve">, 16(3), pp.107–111. </w:t>
      </w:r>
      <w:proofErr w:type="spellStart"/>
      <w:proofErr w:type="gramStart"/>
      <w:r w:rsidRPr="00C70318">
        <w:rPr>
          <w:rFonts w:ascii="Arial" w:cs="Arial" w:hAnsi="Arial"/>
        </w:rPr>
        <w:t>doi:https</w:t>
      </w:r>
      <w:proofErr w:type="spellEnd"/>
      <w:r w:rsidRPr="00C70318">
        <w:rPr>
          <w:rFonts w:ascii="Arial" w:cs="Arial" w:hAnsi="Arial"/>
        </w:rPr>
        <w:t>://doi.org/10.1108/shr-03-2017-0018</w:t>
      </w:r>
      <w:proofErr w:type="gramEnd"/>
      <w:r w:rsidRPr="00C70318">
        <w:rPr>
          <w:rFonts w:ascii="Arial" w:cs="Arial" w:hAnsi="Arial"/>
        </w:rPr>
        <w:t>.</w:t>
      </w:r>
    </w:p>
    <w:p w:rsidR="00E529C3" w:rsidRDefault="00E529C3" w14:paraId="2C086306" w14:textId="77777777" w:rsidP="00C70318" w:rsidRPr="00C70318">
      <w:pPr>
        <w:rPr>
          <w:rFonts w:ascii="Arial" w:cs="Arial" w:hAnsi="Arial"/>
        </w:rPr>
      </w:pPr>
      <w:r w:rsidRPr="00C70318">
        <w:rPr>
          <w:rFonts w:ascii="Arial" w:cs="Arial" w:hAnsi="Arial"/>
        </w:rPr>
        <w:t xml:space="preserve">Warner, M. (2022). Recent contributions on international human resource management. </w:t>
      </w:r>
      <w:r w:rsidRPr="00C70318">
        <w:rPr>
          <w:iCs/>
          <w:i/>
          <w:rFonts w:ascii="Arial" w:cs="Arial" w:hAnsi="Arial"/>
        </w:rPr>
        <w:t>The International Journal of Human Resource Management</w:t>
      </w:r>
      <w:r w:rsidRPr="00C70318">
        <w:rPr>
          <w:rFonts w:ascii="Arial" w:cs="Arial" w:hAnsi="Arial"/>
        </w:rPr>
        <w:t xml:space="preserve">, 5(2), pp.491–494. </w:t>
      </w:r>
      <w:proofErr w:type="spellStart"/>
      <w:proofErr w:type="gramStart"/>
      <w:r w:rsidRPr="00C70318">
        <w:rPr>
          <w:rFonts w:ascii="Arial" w:cs="Arial" w:hAnsi="Arial"/>
        </w:rPr>
        <w:t>doi:https</w:t>
      </w:r>
      <w:proofErr w:type="spellEnd"/>
      <w:r w:rsidRPr="00C70318">
        <w:rPr>
          <w:rFonts w:ascii="Arial" w:cs="Arial" w:hAnsi="Arial"/>
        </w:rPr>
        <w:t>://doi.org/10.1080/09585199400000028</w:t>
      </w:r>
      <w:proofErr w:type="gramEnd"/>
      <w:r w:rsidRPr="00C70318">
        <w:rPr>
          <w:rFonts w:ascii="Arial" w:cs="Arial" w:hAnsi="Arial"/>
        </w:rPr>
        <w:t>.</w:t>
      </w:r>
    </w:p>
    <w:p w:rsidR="00E529C3" w:rsidRDefault="00E529C3" w14:paraId="58CBA170" w14:textId="77777777" w:rsidP="00C70318" w:rsidRPr="00C70318">
      <w:pPr>
        <w:rPr>
          <w:rFonts w:ascii="Arial" w:cs="Arial" w:hAnsi="Arial"/>
        </w:rPr>
      </w:pPr>
      <w:proofErr w:type="spellStart"/>
      <w:r w:rsidRPr="00C70318">
        <w:rPr>
          <w:rFonts w:ascii="Arial" w:cs="Arial" w:hAnsi="Arial"/>
        </w:rPr>
        <w:t>Yaneva</w:t>
      </w:r>
      <w:proofErr w:type="spellEnd"/>
      <w:r w:rsidRPr="00C70318">
        <w:rPr>
          <w:rFonts w:ascii="Arial" w:cs="Arial" w:hAnsi="Arial"/>
        </w:rPr>
        <w:t xml:space="preserve">, M. (2021). Employee Satisfaction vs. Employee Engagement vs. Employee NPS. </w:t>
      </w:r>
      <w:r w:rsidRPr="00C70318">
        <w:rPr>
          <w:iCs/>
          <w:i/>
          <w:rFonts w:ascii="Arial" w:cs="Arial" w:hAnsi="Arial"/>
        </w:rPr>
        <w:t>European Journal of Economics and Business Studies</w:t>
      </w:r>
      <w:r w:rsidRPr="00C70318">
        <w:rPr>
          <w:rFonts w:ascii="Arial" w:cs="Arial" w:hAnsi="Arial"/>
        </w:rPr>
        <w:t>, 4(1), pp.221–227.</w:t>
      </w:r>
    </w:p>
    <w:p w:rsidR="00D8246C" w:rsidRDefault="00D8246C" w14:paraId="16FD31BD" w14:textId="77777777" w:rsidP="00C70318" w:rsidRPr="00C70318">
      <w:pPr>
        <w:rPr>
          <w:rFonts w:ascii="Arial" w:cs="Arial" w:hAnsi="Arial"/>
        </w:rPr>
      </w:pPr>
    </w:p>
    <w:sectPr w:rsidR="00D8246C" w:rsidRPr="00C70318">
      <w:docGrid w:linePitch="360"/>
      <w:footerReference r:id="rId8"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E61F6C" w14:textId="77777777" w:rsidR="001806F9" w:rsidRDefault="001806F9" w:rsidP="00A5230E">
      <w:pPr>
        <w:spacing w:after="0" w:line="240" w:lineRule="auto"/>
      </w:pPr>
      <w:r>
        <w:separator/>
      </w:r>
    </w:p>
  </w:endnote>
  <w:endnote w:type="continuationSeparator" w:id="0">
    <w:p w14:paraId="1D8C68B8" w14:textId="77777777" w:rsidR="001806F9" w:rsidRDefault="001806F9" w:rsidP="00A5230E">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34ED7BA4" w14:textId="77777777" w:rsidR="005B4C21" w:rsidRDefault="005B4C21">
        <w:pPr>
          <w:pStyle w:val="Footer"/>
          <w:jc w:val="right"/>
        </w:pPr>
        <w:r>
          <w:fldChar w:fldCharType="begin"/>
        </w:r>
        <w:r>
          <w:instrText xml:space="preserve"> PAGE   \* MERGEFORMAT </w:instrText>
        </w:r>
        <w:r>
          <w:fldChar w:fldCharType="separate"/>
        </w:r>
        <w:r w:rsidR="00C70318">
          <w:rPr>
            <w:noProof/>
          </w:rPr>
          <w:t>1</w:t>
        </w:r>
        <w:r>
          <w:rPr>
            <w:noProof/>
          </w:rPr>
          <w:fldChar w:fldCharType="end"/>
        </w:r>
      </w:p>
    </w:sdtContent>
  </w:sdt>
  <w:p w14:paraId="15AD00FF" w14:textId="77777777" w:rsidR="00A5230E" w:rsidRDefault="00A5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2EBEC" w14:textId="77777777" w:rsidR="001806F9" w:rsidRDefault="001806F9" w:rsidP="00A5230E">
      <w:pPr>
        <w:spacing w:after="0" w:line="240" w:lineRule="auto"/>
      </w:pPr>
      <w:r>
        <w:separator/>
      </w:r>
    </w:p>
  </w:footnote>
  <w:footnote w:type="continuationSeparator" w:id="0">
    <w:p w14:paraId="643C18D4" w14:textId="77777777" w:rsidR="001806F9" w:rsidRDefault="001806F9" w:rsidP="00A5230E">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D030A97"/>
    <w:tmpl w:val="FEF0D498"/>
    <w:lvl w:ilvl="0" w:tplc="0409000F">
      <w:numFmt w:val="decimal"/>
      <w:lvlText w:val="%1."/>
      <w:start w:val="1"/>
      <w:pPr>
        <w:ind w:left="720"/>
        <w:ind w:hanging="360"/>
      </w:pPr>
      <w:lvlJc w:val="left"/>
    </w:lvl>
    <w:lvl w:ilvl="1" w:tentative="1" w:tplc="04090019">
      <w:numFmt w:val="lowerLetter"/>
      <w:lvlText w:val="%2."/>
      <w:start w:val="1"/>
      <w:pPr>
        <w:ind w:left="1440"/>
        <w:ind w:hanging="360"/>
      </w:pPr>
      <w:lvlJc w:val="left"/>
    </w:lvl>
    <w:lvl w:ilvl="2" w:tentative="1" w:tplc="0409001B">
      <w:numFmt w:val="lowerRoman"/>
      <w:lvlText w:val="%3."/>
      <w:start w:val="1"/>
      <w:pPr>
        <w:ind w:left="2160"/>
        <w:ind w:hanging="180"/>
      </w:pPr>
      <w:lvlJc w:val="right"/>
    </w:lvl>
    <w:lvl w:ilvl="3" w:tentative="1" w:tplc="0409000F">
      <w:numFmt w:val="decimal"/>
      <w:lvlText w:val="%4."/>
      <w:start w:val="1"/>
      <w:pPr>
        <w:ind w:left="2880"/>
        <w:ind w:hanging="360"/>
      </w:pPr>
      <w:lvlJc w:val="left"/>
    </w:lvl>
    <w:lvl w:ilvl="4" w:tentative="1" w:tplc="04090019">
      <w:numFmt w:val="lowerLetter"/>
      <w:lvlText w:val="%5."/>
      <w:start w:val="1"/>
      <w:pPr>
        <w:ind w:left="3600"/>
        <w:ind w:hanging="360"/>
      </w:pPr>
      <w:lvlJc w:val="left"/>
    </w:lvl>
    <w:lvl w:ilvl="5" w:tentative="1" w:tplc="0409001B">
      <w:numFmt w:val="lowerRoman"/>
      <w:lvlText w:val="%6."/>
      <w:start w:val="1"/>
      <w:pPr>
        <w:ind w:left="4320"/>
        <w:ind w:hanging="180"/>
      </w:pPr>
      <w:lvlJc w:val="right"/>
    </w:lvl>
    <w:lvl w:ilvl="6" w:tentative="1" w:tplc="0409000F">
      <w:numFmt w:val="decimal"/>
      <w:lvlText w:val="%7."/>
      <w:start w:val="1"/>
      <w:pPr>
        <w:ind w:left="5040"/>
        <w:ind w:hanging="360"/>
      </w:pPr>
      <w:lvlJc w:val="left"/>
    </w:lvl>
    <w:lvl w:ilvl="7" w:tentative="1" w:tplc="04090019">
      <w:numFmt w:val="lowerLetter"/>
      <w:lvlText w:val="%8."/>
      <w:start w:val="1"/>
      <w:pPr>
        <w:ind w:left="5760"/>
        <w:ind w:hanging="360"/>
      </w:pPr>
      <w:lvlJc w:val="left"/>
    </w:lvl>
    <w:lvl w:ilvl="8" w:tentative="1" w:tplc="04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03A600"/>
  <w15:chartTrackingRefBased/>
  <w:rsids>
    <w:rsidRoot val="009E7770"/>
    <w:rsid val="000319E8"/>
    <w:rsid val="0007562B"/>
    <w:rsid val="00134EE8"/>
    <w:rsid val="001806F9"/>
    <w:rsid val="001E34FB"/>
    <w:rsid val="00220140"/>
    <w:rsid val="00221892"/>
    <w:rsid val="0024533C"/>
    <w:rsid val="002D3482"/>
    <w:rsid val="00396D79"/>
    <w:rsid val="003A0BA9"/>
    <w:rsid val="00473E57"/>
    <w:rsid val="004A45F8"/>
    <w:rsid val="004A6039"/>
    <w:rsid val="004C3B16"/>
    <w:rsid val="004C666A"/>
    <w:rsid val="00526E06"/>
    <w:rsid val="00552D55"/>
    <w:rsid val="005B4C21"/>
    <w:rsid val="0061321B"/>
    <w:rsid val="00613C4E"/>
    <w:rsid val="00664A56"/>
    <w:rsid val="00863D4E"/>
    <w:rsid val="008718FE"/>
    <w:rsid val="008A31CB"/>
    <w:rsid val="008D2C3E"/>
    <w:rsid val="00953559"/>
    <w:rsid val="009E7770"/>
    <w:rsid val="00A15A20"/>
    <w:rsid val="00A41834"/>
    <w:rsid val="00A5230E"/>
    <w:rsid val="00AC7BBE"/>
    <w:rsid val="00AE33C6"/>
    <w:rsid val="00B06A1A"/>
    <w:rsid val="00B16479"/>
    <w:rsid val="00B461AC"/>
    <w:rsid val="00B972E4"/>
    <w:rsid val="00BB6562"/>
    <w:rsid val="00C70318"/>
    <w:rsid val="00C908AB"/>
    <w:rsid val="00CB76EB"/>
    <w:rsid val="00CF5A96"/>
    <w:rsid val="00D41C55"/>
    <w:rsid val="00D8246C"/>
    <w:rsid val="00D84E6E"/>
    <w:rsid val="00D97AD7"/>
    <w:rsid val="00E529C3"/>
    <w:rsid val="00E64D97"/>
    <w:rsid val="00EA24B1"/>
    <w:rsid val="00F1092C"/>
    <w:rsid val="00F13686"/>
    <w:rsid val="00FB485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US"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jc w:val="both"/>
      <w:spacing w:after="200" w:line="360" w:lineRule="auto"/>
    </w:pPr>
    <w:rPr>
      <w:lang w:val="en-GB"/>
      <w:rFonts w:ascii="Times New Roman" w:hAnsi="Times New Roman"/>
      <w:sz w:val="24"/>
    </w:rPr>
  </w:style>
  <w:style w:type="paragraph" w:styleId="Heading1">
    <w:name w:val="Heading 1"/>
    <w:qFormat/>
    <w:basedOn w:val="Normal"/>
    <w:next w:val="Normal"/>
    <w:link w:val="Heading1Char"/>
    <w:uiPriority w:val="9"/>
    <w:rsid w:val="00220140"/>
    <w:pPr>
      <w:keepNext/>
      <w:keepLines/>
      <w:outlineLvl w:val="0"/>
      <w:spacing w:before="240" w:after="0"/>
    </w:pPr>
    <w:rPr>
      <w:b/>
      <w:rFonts w:eastAsiaTheme="majorEastAsia" w:cstheme="majorBidi"/>
      <w:sz w:val="32"/>
      <w:szCs w:val="32"/>
    </w:rPr>
  </w:style>
  <w:style w:type="paragraph" w:styleId="Heading2">
    <w:name w:val="Heading 2"/>
    <w:qFormat/>
    <w:basedOn w:val="Normal"/>
    <w:next w:val="Normal"/>
    <w:link w:val="Heading2Char"/>
    <w:uiPriority w:val="9"/>
    <w:unhideWhenUsed/>
    <w:rsid w:val="00220140"/>
    <w:pPr>
      <w:keepNext/>
      <w:keepLines/>
      <w:outlineLvl w:val="1"/>
      <w:spacing w:before="40" w:after="0"/>
    </w:pPr>
    <w:rPr>
      <w:b/>
      <w:rFonts w:eastAsiaTheme="majorEastAsia" w:cstheme="majorBidi"/>
      <w:sz w:val="28"/>
      <w:szCs w:val="26"/>
    </w:rPr>
  </w:style>
  <w:style w:type="paragraph" w:styleId="Heading3">
    <w:name w:val="Heading 3"/>
    <w:qFormat/>
    <w:basedOn w:val="Normal"/>
    <w:next w:val="Normal"/>
    <w:link w:val="Heading3Char"/>
    <w:uiPriority w:val="9"/>
    <w:semiHidden/>
    <w:unhideWhenUsed/>
    <w:rsid w:val="004A45F8"/>
    <w:pPr>
      <w:keepNext/>
      <w:keepLines/>
      <w:outlineLvl w:val="2"/>
      <w:spacing w:before="40" w:after="0"/>
    </w:pPr>
    <w:rPr>
      <w:b/>
      <w:rFonts w:eastAsiaTheme="majorEastAsia" w:cstheme="majorBidi"/>
      <w:sz w:val="26"/>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220140"/>
    <w:rPr>
      <w:lang w:val="en-GB"/>
      <w:b/>
      <w:rFonts w:ascii="Times New Roman" w:hAnsi="Times New Roman" w:eastAsiaTheme="majorEastAsia" w:cstheme="majorBidi"/>
      <w:sz w:val="32"/>
      <w:szCs w:val="32"/>
    </w:rPr>
  </w:style>
  <w:style w:type="character" w:styleId="Heading2Char">
    <w:name w:val="Heading 2 Char"/>
    <w:basedOn w:val="DefaultParagraphFont"/>
    <w:link w:val="Heading2"/>
    <w:uiPriority w:val="9"/>
    <w:rsid w:val="00220140"/>
    <w:rPr>
      <w:lang w:val="en-GB"/>
      <w:b/>
      <w:rFonts w:ascii="Times New Roman" w:hAnsi="Times New Roman" w:eastAsiaTheme="majorEastAsia" w:cstheme="majorBidi"/>
      <w:sz w:val="28"/>
      <w:szCs w:val="26"/>
    </w:rPr>
  </w:style>
  <w:style w:type="paragraph" w:styleId="TOCHeading">
    <w:name w:val="TOC Heading"/>
    <w:qFormat/>
    <w:basedOn w:val="Heading1"/>
    <w:next w:val="Normal"/>
    <w:uiPriority w:val="39"/>
    <w:unhideWhenUsed/>
    <w:rsid w:val="00D8246C"/>
    <w:pPr>
      <w:outlineLvl w:val="9"/>
      <w:jc w:val="left"/>
      <w:spacing w:line="259" w:lineRule="auto"/>
    </w:pPr>
    <w:rPr>
      <w:lang w:val="en-US"/>
      <w:b w:val="0"/>
      <w:color w:val="2E74B5"/>
      <w:rFonts w:ascii="Calibri Light" w:hAnsiTheme="majorHAnsi"/>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u w:val="single"/>
      <w:color w:val="0563C1"/>
    </w:rPr>
  </w:style>
  <w:style w:type="paragraph" w:styleId="Header">
    <w:name w:val="header"/>
    <w:basedOn w:val="Normal"/>
    <w:link w:val="HeaderChar"/>
    <w:uiPriority w:val="99"/>
    <w:unhideWhenUsed/>
    <w:rsid w:val="00A5230E"/>
    <w:pPr>
      <w:spacing w:after="0" w:line="240" w:lineRule="auto"/>
      <w:tabs>
        <w:tab w:val="center" w:pos="4513"/>
        <w:tab w:val="right" w:pos="9026"/>
      </w:tabs>
    </w:pPr>
  </w:style>
  <w:style w:type="character" w:styleId="HeaderChar">
    <w:name w:val="Header Char"/>
    <w:basedOn w:val="DefaultParagraphFont"/>
    <w:link w:val="Header"/>
    <w:uiPriority w:val="99"/>
    <w:rsid w:val="00A5230E"/>
    <w:rPr>
      <w:lang w:val="en-GB"/>
      <w:rFonts w:ascii="Times New Roman" w:hAnsi="Times New Roman"/>
      <w:sz w:val="24"/>
    </w:rPr>
  </w:style>
  <w:style w:type="paragraph" w:styleId="Footer">
    <w:name w:val="footer"/>
    <w:basedOn w:val="Normal"/>
    <w:link w:val="FooterChar"/>
    <w:uiPriority w:val="99"/>
    <w:unhideWhenUsed/>
    <w:rsid w:val="00A5230E"/>
    <w:pPr>
      <w:spacing w:after="0" w:line="240" w:lineRule="auto"/>
      <w:tabs>
        <w:tab w:val="center" w:pos="4513"/>
        <w:tab w:val="right" w:pos="9026"/>
      </w:tabs>
    </w:pPr>
  </w:style>
  <w:style w:type="character" w:styleId="FooterChar">
    <w:name w:val="Footer Char"/>
    <w:basedOn w:val="DefaultParagraphFont"/>
    <w:link w:val="Footer"/>
    <w:uiPriority w:val="99"/>
    <w:rsid w:val="00A5230E"/>
    <w:rPr>
      <w:lang w:val="en-GB"/>
      <w:rFonts w:ascii="Times New Roman" w:hAnsi="Times New Roman"/>
      <w:sz w:val="24"/>
    </w:rPr>
  </w:style>
  <w:style w:type="character" w:styleId="Heading3Char">
    <w:name w:val="Heading 3 Char"/>
    <w:basedOn w:val="DefaultParagraphFont"/>
    <w:link w:val="Heading3"/>
    <w:uiPriority w:val="9"/>
    <w:semiHidden/>
    <w:rsid w:val="004A45F8"/>
    <w:rPr>
      <w:lang w:val="en-GB"/>
      <w:b/>
      <w:rFonts w:ascii="Times New Roman" w:hAnsi="Times New Roman" w:eastAsiaTheme="majorEastAsia" w:cstheme="majorBidi"/>
      <w:sz w:val="26"/>
      <w:szCs w:val="24"/>
    </w:rPr>
  </w:style>
  <w:style w:type="paragraph" w:styleId="ListParagraph">
    <w:name w:val="List Paragraph"/>
    <w:qFormat/>
    <w:basedOn w:val="Normal"/>
    <w:uiPriority w:val="34"/>
    <w:rsid w:val="0024533C"/>
    <w:pPr>
      <w:ind w:left="720"/>
      <w:contextualSpacing/>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1284310057">
      <w:bodyDiv w:val="1"/>
      <w:marLeft w:val="0"/>
      <w:marRight w:val="0"/>
      <w:marTop w:val="0"/>
      <w:marBottom w:val="0"/>
      <w:divBdr>
        <w:top w:val="none" w:sz="0" w:space="0" w:color="auto"/>
        <w:left w:val="none" w:sz="0" w:space="0" w:color="auto"/>
        <w:bottom w:val="none" w:sz="0" w:space="0" w:color="auto"/>
        <w:right w:val="none" w:sz="0" w:space="0" w:color="auto"/>
      </w:divBdr>
      <w:divsChild>
        <w:div w:id="16880254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DF5E4C-F692-4A1A-829A-7DBCF9060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2443</Words>
  <Characters>14175</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2023-02-12T12:30:00Z</dcterms:created>
  <dcterms:modified xsi:type="dcterms:W3CDTF">2023-02-12T12:30:00Z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