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5204220"/>
        <w:docPartObj>
          <w:docPartGallery w:val="Cover Pages"/>
          <w:docPartUnique/>
        </w:docPartObj>
      </w:sdtPr>
      <w:sdtEndPr>
        <w:rPr>
          <w:rStyle w:val="normaltextrun"/>
          <w:rFonts w:cstheme="minorHAnsi"/>
        </w:rPr>
      </w:sdtEndPr>
      <w:sdtContent>
        <w:p w14:paraId="7191A55F" w14:textId="5147BEA6" w:rsidR="007E29A5" w:rsidRDefault="007E29A5">
          <w:r>
            <w:rPr>
              <w:noProof/>
            </w:rPr>
            <mc:AlternateContent>
              <mc:Choice Requires="wpg">
                <w:drawing>
                  <wp:anchor distT="0" distB="0" distL="114300" distR="114300" simplePos="0" relativeHeight="251658240" behindDoc="1" locked="0" layoutInCell="1" allowOverlap="1" wp14:anchorId="7B8230B5" wp14:editId="4C93920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A2245FA" w14:textId="56976120" w:rsidR="007E29A5" w:rsidRDefault="007E29A5">
                                      <w:pPr>
                                        <w:pStyle w:val="NoSpacing"/>
                                        <w:spacing w:before="120"/>
                                        <w:jc w:val="center"/>
                                        <w:rPr>
                                          <w:color w:val="FFFFFF" w:themeColor="background1"/>
                                        </w:rPr>
                                      </w:pPr>
                                      <w:r>
                                        <w:rPr>
                                          <w:color w:val="FFFFFF" w:themeColor="background1"/>
                                        </w:rPr>
                                        <w:t>Courtney</w:t>
                                      </w:r>
                                      <w:r w:rsidR="00540DB7">
                                        <w:rPr>
                                          <w:color w:val="FFFFFF" w:themeColor="background1"/>
                                        </w:rPr>
                                        <w:t xml:space="preserve"> </w:t>
                                      </w:r>
                                      <w:r w:rsidR="001A0F9A">
                                        <w:rPr>
                                          <w:color w:val="FFFFFF" w:themeColor="background1"/>
                                        </w:rPr>
                                        <w:t>Curtis - 2204829</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F043AA3" w14:textId="36E67BA7" w:rsidR="007E29A5" w:rsidRDefault="00F97F95" w:rsidP="00D32DE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Scenario question criminal law</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8230B5"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">
                    <v:rect id="Rectangle 194" o:spid="_x0000_s1027" style="position:absolute;width:68580;height:13716;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" fillcolor="#4472c4 [3204]" stroked="f" strokeweight="1pt"/>
                    <v:rect id="Rectangle 195" o:spid="_x0000_s1028" style="position:absolute;top:40943;width:68580;height:50292;visibility:visible;mso-wrap-style:square;v-text-anchor:bottom"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A2245FA" w14:textId="56976120" w:rsidR="007E29A5" w:rsidRDefault="007E29A5">
                                <w:pPr>
                                  <w:pStyle w:val="NoSpacing"/>
                                  <w:spacing w:before="120"/>
                                  <w:jc w:val="center"/>
                                  <w:rPr>
                                    <w:color w:val="FFFFFF" w:themeColor="background1"/>
                                  </w:rPr>
                                </w:pPr>
                                <w:r>
                                  <w:rPr>
                                    <w:color w:val="FFFFFF" w:themeColor="background1"/>
                                  </w:rPr>
                                  <w:t>Courtney</w:t>
                                </w:r>
                                <w:r w:rsidR="00540DB7">
                                  <w:rPr>
                                    <w:color w:val="FFFFFF" w:themeColor="background1"/>
                                  </w:rPr>
                                  <w:t xml:space="preserve"> </w:t>
                                </w:r>
                                <w:r w:rsidR="001A0F9A">
                                  <w:rPr>
                                    <w:color w:val="FFFFFF" w:themeColor="background1"/>
                                  </w:rPr>
                                  <w:t>Curtis - 2204829</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F043AA3" w14:textId="36E67BA7" w:rsidR="007E29A5" w:rsidRDefault="00F97F95" w:rsidP="00D32DE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Scenario question criminal law</w:t>
                                </w:r>
                              </w:p>
                            </w:sdtContent>
                          </w:sdt>
                        </w:txbxContent>
                      </v:textbox>
                    </v:shape>
                    <w10:wrap anchorx="page" anchory="page"/>
                  </v:group>
                </w:pict>
              </mc:Fallback>
            </mc:AlternateContent>
          </w:r>
        </w:p>
        <w:p w14:paraId="7DAE8D1A" w14:textId="5456F821" w:rsidR="007E29A5" w:rsidRDefault="007E29A5">
          <w:pPr>
            <w:rPr>
              <w:rStyle w:val="normaltextrun"/>
              <w:rFonts w:eastAsia="Times New Roman" w:cstheme="minorHAnsi"/>
              <w:kern w:val="0"/>
              <w:sz w:val="24"/>
              <w:szCs w:val="24"/>
              <w:lang w:eastAsia="en-GB"/>
              <w14:ligatures w14:val="none"/>
            </w:rPr>
          </w:pPr>
          <w:r>
            <w:rPr>
              <w:rStyle w:val="normaltextrun"/>
              <w:rFonts w:cstheme="minorHAnsi"/>
            </w:rPr>
            <w:br w:type="page"/>
          </w:r>
        </w:p>
      </w:sdtContent>
    </w:sdt>
    <w:p w14:paraId="2E0B54D1" w14:textId="3A879010"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This assignment will show what offences Polly could have committed and what defences that could be used in her case. It will state all the offences that she might have committed first and then the defences that could help her afterwards.</w:t>
      </w:r>
      <w:r w:rsidRPr="00737E27">
        <w:rPr>
          <w:rStyle w:val="eop"/>
          <w:rFonts w:asciiTheme="minorHAnsi" w:eastAsiaTheme="minorEastAsia" w:hAnsiTheme="minorHAnsi" w:cstheme="minorHAnsi"/>
        </w:rPr>
        <w:t> </w:t>
      </w:r>
    </w:p>
    <w:p w14:paraId="03C190C0"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33DAB96B"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The Criminal Damage Act (CDA) 1971 Section 1(1) is defined as when a person without lawful excuse intends or recklessly destroys or damages any property belonging to another. Criminal damage act section 10 (1) defines property as tangible items real or personal, this shows that Roxanne’s moped is property. The actus reus of the criminal damage act is to destroy or damage property (‘Roe v. Kingerlee’, 1986). In the scenario, Polly uses broken glass to sever Roxanne’s mopeds brake cables, thereby criminally damaging Roxanne’s moped. This suggests that the actus reus has been met because she damages Roxanne’s moped. The men’s rea includes intentionally or recklessly damaging or destroying property with either direct or indirect intention. The scenario suggests that Polly had the direct intention to damage Roxanne’s moped as she had noticed it and used shattered glass to damage the brake cables causing criminal damage. This also suggests that the men’s rea has been met, concluding that she had committed criminal damage.</w:t>
      </w:r>
      <w:r w:rsidRPr="00737E27">
        <w:rPr>
          <w:rStyle w:val="eop"/>
          <w:rFonts w:asciiTheme="minorHAnsi" w:eastAsiaTheme="minorEastAsia" w:hAnsiTheme="minorHAnsi" w:cstheme="minorHAnsi"/>
        </w:rPr>
        <w:t> </w:t>
      </w:r>
    </w:p>
    <w:p w14:paraId="69080307"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Aggravated criminal damage act section 1 (2) is very similar to the Criminal Damage Act Section 1(1) however it also must prove the men’s rea that the defendant had the intention or recklessness of endangering life. It must prove that Polly had intentionally or recklessly endangered Roxanne’s life by cutting the brake cables off her moped. In the scenario, it states that Polly had severed the brake cables of Roxanne’s moped which suggests that she had intended to endanger Roxanne’s life by doing so. Severing the brake cables on Roxanne’s moped would have ended up damaging the moped and destroying the brake cables which would lead to an accident, which shows that Polly wanted to hurt Roxanne. This concludes that Polly also committed aggravated criminal damage.</w:t>
      </w:r>
      <w:r w:rsidRPr="00737E27">
        <w:rPr>
          <w:rStyle w:val="eop"/>
          <w:rFonts w:asciiTheme="minorHAnsi" w:eastAsiaTheme="minorEastAsia" w:hAnsiTheme="minorHAnsi" w:cstheme="minorHAnsi"/>
        </w:rPr>
        <w:t> </w:t>
      </w:r>
    </w:p>
    <w:p w14:paraId="7369167B"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21905EF4"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Section 39 of the criminal justice act is an assault is any act by which a person intentionally or recklessly causes another person to suffer or apprehend immediate unlawful violence that may be used against them. It must be proved that the defendant had caused the victim to be feared due to immediate unlawful violence (</w:t>
      </w:r>
      <w:r w:rsidRPr="00737E27">
        <w:rPr>
          <w:rStyle w:val="normaltextrun"/>
          <w:rFonts w:asciiTheme="minorHAnsi" w:hAnsiTheme="minorHAnsi" w:cstheme="minorHAnsi"/>
          <w:i/>
          <w:iCs/>
        </w:rPr>
        <w:t>Criminal justice act</w:t>
      </w:r>
      <w:r w:rsidRPr="00737E27">
        <w:rPr>
          <w:rStyle w:val="normaltextrun"/>
          <w:rFonts w:asciiTheme="minorHAnsi" w:hAnsiTheme="minorHAnsi" w:cstheme="minorHAnsi"/>
        </w:rPr>
        <w:t>, S. 39, 1988). The actus reus of section 39 includes the act of committing an assault and the immediate violence of the act. In the scenario, Polly verbally assaults Roxanne by calling her “a bitch” and Polly gestures her middle finger at her. This shows that the actus reus of this offence has been met because Polly had walked up to Roxanne and immediately acted violently and verbally assaulted Roxanne. The men’s rea includes intentionally or recklessly committing the offence, having the aim or purpose to cause somebody to be feared due to immediate unlawful violence and where it is virtually certain that the defendant’s conduct causes this and that they are aware of it. This has been met because the scenario states that Polly was upset by what she saw, so she walks up to Roxanne and commits the offences intentionally, this is probable that it was her aim or purpose to cause Roxanne to be feared because Polly had verbally assaulted her and gestured her middle finger at her (‘R v Constanza’, 1997). Assault does not always have to be physical. After Polly had committed the offences towards Roxanne, it states that Polly is asked to leave the pub, this may be because Roxanne feared that Polly was going to act with immediate unlawful violence towards her. Whether or not Roxanne feared that Polly may act with immediate unlawful violence towards her, this would prove that Polly committed the offence of assault and S39 of the Criminal and justice act.</w:t>
      </w:r>
      <w:r w:rsidRPr="00737E27">
        <w:rPr>
          <w:rStyle w:val="eop"/>
          <w:rFonts w:asciiTheme="minorHAnsi" w:eastAsiaTheme="minorEastAsia" w:hAnsiTheme="minorHAnsi" w:cstheme="minorHAnsi"/>
        </w:rPr>
        <w:t> </w:t>
      </w:r>
    </w:p>
    <w:p w14:paraId="3A976A44"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5DD4924F"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The definition of murder is the unlawful killing of another person under the King’s and Queen’s peace with the intention to kill or to cause grievous bodily harm. The actus reus includes proving that the defendant killed the victim unlawfully. Polly had smashed Mohammed over the head with a glass ashtray causing him to die instantly from the head injury, this shows that Polly had met the actus reus of this offence. The men’s rea of murder is to show that the defendant committed the act intentionally, by omission or with malice. In the scenario, Polly notices the ashtray and picks it up before smashing it over Mohammed’s head. This suggests that the men’s rea had been met because Polly intended to hurt Mohammed with grievous bodily harm by picking the ashtray up and using it to hurt him. The definition of a human being is one that must be fully delivered alive from the womb (R v Poulton’, 1832). This shows that Mohammed is a human being and so Polly did commit murder. This proves that Polly committed murder by GBH.</w:t>
      </w:r>
      <w:r w:rsidRPr="00737E27">
        <w:rPr>
          <w:rStyle w:val="eop"/>
          <w:rFonts w:asciiTheme="minorHAnsi" w:eastAsiaTheme="minorEastAsia" w:hAnsiTheme="minorHAnsi" w:cstheme="minorHAnsi"/>
        </w:rPr>
        <w:t> </w:t>
      </w:r>
    </w:p>
    <w:p w14:paraId="3EFDD836"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2B5C5E98"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A defence that could be considered includes loss of control, section 54(1). Loss of control is defined as a partial defence that could reduce liability for murder to manslaughter if it is proven that the defendant has lost self-control (</w:t>
      </w:r>
      <w:r w:rsidRPr="00737E27">
        <w:rPr>
          <w:rStyle w:val="normaltextrun"/>
          <w:rFonts w:asciiTheme="minorHAnsi" w:hAnsiTheme="minorHAnsi" w:cstheme="minorHAnsi"/>
          <w:i/>
          <w:iCs/>
        </w:rPr>
        <w:t>loss of control</w:t>
      </w:r>
      <w:r w:rsidRPr="00737E27">
        <w:rPr>
          <w:rStyle w:val="normaltextrun"/>
          <w:rFonts w:asciiTheme="minorHAnsi" w:hAnsiTheme="minorHAnsi" w:cstheme="minorHAnsi"/>
        </w:rPr>
        <w:t>, section 54, 2009). The points to prove include that the defendant’s act of killing resulted from their loss of self-control, the loss of self-control had a qualifying trigger and that a person of their age, and sex with a normal amount of tolerance and self-restraint might have reacted similarly if they were in that situation. Polly had a qualifying trigger because her boyfriend Mohammed had stated that he had been having an affair with another woman. Polly noticed that he was flirting with another woman called Roxanne, so she had become angry and paranoid, Mohammed had told her that he loves Roxanne more and that they are going to be together instead. A person of Polly’s sex and age, who was in her situation, with a normal amount of tolerance and self-restraint would be less likely to react the way Polly did. This could suggest that Polly met the loss of control, section 54 (1) requirements and could use it in her defence (‘R v. Dawes, Hatter, and Bowyer’, 2013).</w:t>
      </w:r>
      <w:r w:rsidRPr="00737E27">
        <w:rPr>
          <w:rStyle w:val="eop"/>
          <w:rFonts w:asciiTheme="minorHAnsi" w:eastAsiaTheme="minorEastAsia" w:hAnsiTheme="minorHAnsi" w:cstheme="minorHAnsi"/>
        </w:rPr>
        <w:t> </w:t>
      </w:r>
    </w:p>
    <w:p w14:paraId="11A5B1EE"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1CA7C098"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Diminished responsibility (DR) can reduce a murder conviction to manslaughter if the defendant suffers from an abnormality of the mind or a recognised medical condition that impacts their mind. It aids to reduce the responsibility for the defendant’s actions (</w:t>
      </w:r>
      <w:r w:rsidRPr="00737E27">
        <w:rPr>
          <w:rStyle w:val="normaltextrun"/>
          <w:rFonts w:asciiTheme="minorHAnsi" w:hAnsiTheme="minorHAnsi" w:cstheme="minorHAnsi"/>
          <w:i/>
          <w:iCs/>
        </w:rPr>
        <w:t>Coroners and justice act</w:t>
      </w:r>
      <w:r w:rsidRPr="00737E27">
        <w:rPr>
          <w:rStyle w:val="normaltextrun"/>
          <w:rFonts w:asciiTheme="minorHAnsi" w:hAnsiTheme="minorHAnsi" w:cstheme="minorHAnsi"/>
        </w:rPr>
        <w:t>, section 52 (1A), 2009). The points to prove include that the defendant must be able to understand the nature of the conduct, form a rational judgement and exercise self-control. They should also have a recognised medical condition. Polly was not able to exercise self-control or form rational judgement because in the scenario it stated she had committed many offences including criminal damage and GBH that caused serious harm, this is because she was angry at the situation. It is not stated whether she understood the nature of her conduct, however, it states that she has schizophrenia which is a recognised medical condition that affects the mind, it affects emotions, behaviour thoughts and actions. Because Polly has schizophrenia, this shows that she has a medical condition that can help Polly use diminished responsibility as a defence (‘R v. Moyle’, 2008). This shows that Polly had met most of the requirements to use diminished responsibility as a defence. If Polly also did not understand the nature of her conduct, she could use diminished responsibility as a defence because she would have met all the elements.</w:t>
      </w:r>
      <w:r w:rsidRPr="00737E27">
        <w:rPr>
          <w:rStyle w:val="eop"/>
          <w:rFonts w:asciiTheme="minorHAnsi" w:eastAsiaTheme="minorEastAsia" w:hAnsiTheme="minorHAnsi" w:cstheme="minorHAnsi"/>
        </w:rPr>
        <w:t> </w:t>
      </w:r>
    </w:p>
    <w:p w14:paraId="6A94457B"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553A7DB6"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Insanity could be used as a defence if it is proven that the defendant had a mental illness that stopped them from being able to distinguish fantasy from reality and that they show uncontrollable impulsive behaviour (</w:t>
      </w:r>
      <w:r w:rsidRPr="00737E27">
        <w:rPr>
          <w:rStyle w:val="normaltextrun"/>
          <w:rFonts w:asciiTheme="minorHAnsi" w:hAnsiTheme="minorHAnsi" w:cstheme="minorHAnsi"/>
          <w:i/>
          <w:iCs/>
        </w:rPr>
        <w:t>Criminal Procedure (Insanity) Act</w:t>
      </w:r>
      <w:r w:rsidRPr="00737E27">
        <w:rPr>
          <w:rStyle w:val="normaltextrun"/>
          <w:rFonts w:asciiTheme="minorHAnsi" w:hAnsiTheme="minorHAnsi" w:cstheme="minorHAnsi"/>
        </w:rPr>
        <w:t>, 1964). It must be proved that the defendant was suffering from a mental illness that affected their behaviour at the time of the incident. Polly has schizophrenia which could have affected her behaviour which could suggest that she could use insanity as a defence (R v. Burgess’, 1991).</w:t>
      </w:r>
      <w:r w:rsidRPr="00737E27">
        <w:rPr>
          <w:rStyle w:val="eop"/>
          <w:rFonts w:asciiTheme="minorHAnsi" w:eastAsiaTheme="minorEastAsia" w:hAnsiTheme="minorHAnsi" w:cstheme="minorHAnsi"/>
        </w:rPr>
        <w:t> </w:t>
      </w:r>
    </w:p>
    <w:p w14:paraId="3FF59CE3"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4C908E46"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This shows that Polly has committed criminal damage, aggravated criminal damage, assault, and murder from grievous bodily harm. The defences she could use include insanity, loss of control and possibly diminished responsibility because of the situation she was in and because she is schizophrenic. All of these offences and defences have been proven because she met all the criteria for the offences and defences.</w:t>
      </w:r>
      <w:r w:rsidRPr="00737E27">
        <w:rPr>
          <w:rStyle w:val="eop"/>
          <w:rFonts w:asciiTheme="minorHAnsi" w:eastAsiaTheme="minorEastAsia" w:hAnsiTheme="minorHAnsi" w:cstheme="minorHAnsi"/>
        </w:rPr>
        <w:t> </w:t>
      </w:r>
    </w:p>
    <w:p w14:paraId="60AEFD27"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3432A652"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i/>
          <w:iCs/>
          <w:u w:val="single"/>
        </w:rPr>
        <w:t>Case law</w:t>
      </w:r>
      <w:r w:rsidRPr="00737E27">
        <w:rPr>
          <w:rStyle w:val="eop"/>
          <w:rFonts w:asciiTheme="minorHAnsi" w:eastAsiaTheme="minorEastAsia" w:hAnsiTheme="minorHAnsi" w:cstheme="minorHAnsi"/>
        </w:rPr>
        <w:t> </w:t>
      </w:r>
    </w:p>
    <w:p w14:paraId="162379E0"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‘Roe v Kingerlee’ 1986 Crim LR 735</w:t>
      </w:r>
      <w:r w:rsidRPr="00737E27">
        <w:rPr>
          <w:rStyle w:val="eop"/>
          <w:rFonts w:asciiTheme="minorHAnsi" w:eastAsiaTheme="minorEastAsia" w:hAnsiTheme="minorHAnsi" w:cstheme="minorHAnsi"/>
        </w:rPr>
        <w:t> </w:t>
      </w:r>
    </w:p>
    <w:p w14:paraId="6A0730EF"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‘R v Moyle’ 2008 EWCA Crim 3059</w:t>
      </w:r>
      <w:r w:rsidRPr="00737E27">
        <w:rPr>
          <w:rStyle w:val="eop"/>
          <w:rFonts w:asciiTheme="minorHAnsi" w:eastAsiaTheme="minorEastAsia" w:hAnsiTheme="minorHAnsi" w:cstheme="minorHAnsi"/>
        </w:rPr>
        <w:t> </w:t>
      </w:r>
    </w:p>
    <w:p w14:paraId="30ED2142"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‘R v Dawes, Hatter, and Bowyer’ 2013 EWCA Crim 322</w:t>
      </w:r>
      <w:r w:rsidRPr="00737E27">
        <w:rPr>
          <w:rStyle w:val="eop"/>
          <w:rFonts w:asciiTheme="minorHAnsi" w:eastAsiaTheme="minorEastAsia" w:hAnsiTheme="minorHAnsi" w:cstheme="minorHAnsi"/>
        </w:rPr>
        <w:t> </w:t>
      </w:r>
    </w:p>
    <w:p w14:paraId="1421B20D"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‘R v Burgess’ 1991 2 QB 92</w:t>
      </w:r>
      <w:r w:rsidRPr="00737E27">
        <w:rPr>
          <w:rStyle w:val="eop"/>
          <w:rFonts w:asciiTheme="minorHAnsi" w:eastAsiaTheme="minorEastAsia" w:hAnsiTheme="minorHAnsi" w:cstheme="minorHAnsi"/>
        </w:rPr>
        <w:t> </w:t>
      </w:r>
    </w:p>
    <w:p w14:paraId="6BB864BA"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‘R v Constanza’ 1997 Crim LR 576</w:t>
      </w:r>
      <w:r w:rsidRPr="00737E27">
        <w:rPr>
          <w:rStyle w:val="eop"/>
          <w:rFonts w:asciiTheme="minorHAnsi" w:eastAsiaTheme="minorEastAsia" w:hAnsiTheme="minorHAnsi" w:cstheme="minorHAnsi"/>
        </w:rPr>
        <w:t> </w:t>
      </w:r>
    </w:p>
    <w:p w14:paraId="1BFD22C4"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‘R v Poulton’ 1832 5 C &amp; P 329</w:t>
      </w:r>
      <w:r w:rsidRPr="00737E27">
        <w:rPr>
          <w:rStyle w:val="eop"/>
          <w:rFonts w:asciiTheme="minorHAnsi" w:eastAsiaTheme="minorEastAsia" w:hAnsiTheme="minorHAnsi" w:cstheme="minorHAnsi"/>
        </w:rPr>
        <w:t> </w:t>
      </w:r>
    </w:p>
    <w:p w14:paraId="592B81F5"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75257C27"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u w:val="single"/>
        </w:rPr>
        <w:t>Legislation</w:t>
      </w:r>
      <w:r w:rsidRPr="00737E27">
        <w:rPr>
          <w:rStyle w:val="eop"/>
          <w:rFonts w:asciiTheme="minorHAnsi" w:eastAsiaTheme="minorEastAsia" w:hAnsiTheme="minorHAnsi" w:cstheme="minorHAnsi"/>
        </w:rPr>
        <w:t> </w:t>
      </w:r>
    </w:p>
    <w:p w14:paraId="3A18D071"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650144A8" w14:textId="7054C98D"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i/>
          <w:iCs/>
        </w:rPr>
        <w:t>Assault occasioning actual bodily harm</w:t>
      </w:r>
      <w:r w:rsidRPr="00737E27">
        <w:rPr>
          <w:rStyle w:val="normaltextrun"/>
          <w:rFonts w:asciiTheme="minorHAnsi" w:hAnsiTheme="minorHAnsi" w:cstheme="minorHAnsi"/>
        </w:rPr>
        <w:t xml:space="preserve">, S. 47 1861, c 100. Available at: </w:t>
      </w:r>
      <w:hyperlink r:id="rId10" w:anchor="commentary-c1844523" w:tgtFrame="_blank" w:history="1">
        <w:r w:rsidRPr="00737E27">
          <w:rPr>
            <w:rStyle w:val="normaltextrun"/>
            <w:rFonts w:asciiTheme="minorHAnsi" w:hAnsiTheme="minorHAnsi" w:cstheme="minorHAnsi"/>
            <w:color w:val="0563C1"/>
            <w:u w:val="single"/>
          </w:rPr>
          <w:t>https://www.legislation.gov.uk/ukpga/Vict/24-25/100/section/47#commentary-c1844523</w:t>
        </w:r>
      </w:hyperlink>
      <w:r w:rsidRPr="00737E27">
        <w:rPr>
          <w:rStyle w:val="normaltextrun"/>
          <w:rFonts w:asciiTheme="minorHAnsi" w:hAnsiTheme="minorHAnsi" w:cstheme="minorHAnsi"/>
        </w:rPr>
        <w:t xml:space="preserve"> (Accessed:17/04/23).</w:t>
      </w:r>
      <w:r w:rsidRPr="00737E27">
        <w:rPr>
          <w:rStyle w:val="eop"/>
          <w:rFonts w:asciiTheme="minorHAnsi" w:eastAsiaTheme="minorEastAsia" w:hAnsiTheme="minorHAnsi" w:cstheme="minorHAnsi"/>
        </w:rPr>
        <w:t> </w:t>
      </w:r>
    </w:p>
    <w:p w14:paraId="7CB3D76A" w14:textId="7FC5149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i/>
          <w:iCs/>
        </w:rPr>
        <w:t>Criminal damage act</w:t>
      </w:r>
      <w:r w:rsidRPr="00737E27">
        <w:rPr>
          <w:rStyle w:val="normaltextrun"/>
          <w:rFonts w:asciiTheme="minorHAnsi" w:hAnsiTheme="minorHAnsi" w:cstheme="minorHAnsi"/>
        </w:rPr>
        <w:t xml:space="preserve">, S. 1 1971, c 48. Available at: </w:t>
      </w:r>
      <w:hyperlink r:id="rId11" w:tgtFrame="_blank" w:history="1">
        <w:r w:rsidRPr="00737E27">
          <w:rPr>
            <w:rStyle w:val="normaltextrun"/>
            <w:rFonts w:asciiTheme="minorHAnsi" w:hAnsiTheme="minorHAnsi" w:cstheme="minorHAnsi"/>
            <w:color w:val="0563C1"/>
            <w:u w:val="single"/>
          </w:rPr>
          <w:t>https://www.legislation.gov.uk/ukpga/1971/48/section/1</w:t>
        </w:r>
      </w:hyperlink>
      <w:r w:rsidRPr="00737E27">
        <w:rPr>
          <w:rStyle w:val="normaltextrun"/>
          <w:rFonts w:asciiTheme="minorHAnsi" w:hAnsiTheme="minorHAnsi" w:cstheme="minorHAnsi"/>
        </w:rPr>
        <w:t xml:space="preserve"> (Accessed:21/04/23).</w:t>
      </w:r>
      <w:r w:rsidRPr="00737E27">
        <w:rPr>
          <w:rStyle w:val="eop"/>
          <w:rFonts w:asciiTheme="minorHAnsi" w:eastAsiaTheme="minorEastAsia" w:hAnsiTheme="minorHAnsi" w:cstheme="minorHAnsi"/>
        </w:rPr>
        <w:t> </w:t>
      </w:r>
    </w:p>
    <w:p w14:paraId="1A5BFD6A" w14:textId="46B3D420"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i/>
          <w:iCs/>
        </w:rPr>
        <w:t>Common assault and battery of the Criminal justice act</w:t>
      </w:r>
      <w:r w:rsidRPr="00737E27">
        <w:rPr>
          <w:rStyle w:val="normaltextrun"/>
          <w:rFonts w:asciiTheme="minorHAnsi" w:hAnsiTheme="minorHAnsi" w:cstheme="minorHAnsi"/>
        </w:rPr>
        <w:t xml:space="preserve">, S. 39 1988, c 33. Available at: </w:t>
      </w:r>
      <w:hyperlink r:id="rId12" w:anchor=":~:text=39Common%20assault%20and%20battery,six%20months%2C%20or%20to%20both" w:tgtFrame="_blank" w:history="1">
        <w:r w:rsidRPr="00737E27">
          <w:rPr>
            <w:rStyle w:val="normaltextrun"/>
            <w:rFonts w:asciiTheme="minorHAnsi" w:hAnsiTheme="minorHAnsi" w:cstheme="minorHAnsi"/>
            <w:color w:val="0563C1"/>
            <w:u w:val="single"/>
          </w:rPr>
          <w:t>https://www.legislation.gov.uk/ukpga/1988/33/section/39/enacted#:~:text=39Common%20assault%20and%20battery,six%20months%2C%20or%20to%20both</w:t>
        </w:r>
      </w:hyperlink>
      <w:r w:rsidRPr="00737E27">
        <w:rPr>
          <w:rStyle w:val="normaltextrun"/>
          <w:rFonts w:asciiTheme="minorHAnsi" w:hAnsiTheme="minorHAnsi" w:cstheme="minorHAnsi"/>
        </w:rPr>
        <w:t>. (Accessed:17/04/23).</w:t>
      </w:r>
      <w:r w:rsidRPr="00737E27">
        <w:rPr>
          <w:rStyle w:val="eop"/>
          <w:rFonts w:asciiTheme="minorHAnsi" w:eastAsiaTheme="minorEastAsia" w:hAnsiTheme="minorHAnsi" w:cstheme="minorHAnsi"/>
        </w:rPr>
        <w:t> </w:t>
      </w:r>
    </w:p>
    <w:p w14:paraId="56158161" w14:textId="7BDD9F6C"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i/>
          <w:iCs/>
        </w:rPr>
        <w:t>Coroners and justice act</w:t>
      </w:r>
      <w:r w:rsidRPr="00737E27">
        <w:rPr>
          <w:rStyle w:val="normaltextrun"/>
          <w:rFonts w:asciiTheme="minorHAnsi" w:hAnsiTheme="minorHAnsi" w:cstheme="minorHAnsi"/>
        </w:rPr>
        <w:t xml:space="preserve">, S. 52 2009, c 25. Available at: </w:t>
      </w:r>
      <w:hyperlink r:id="rId13" w:tgtFrame="_blank" w:history="1">
        <w:r w:rsidRPr="00737E27">
          <w:rPr>
            <w:rStyle w:val="normaltextrun"/>
            <w:rFonts w:asciiTheme="minorHAnsi" w:hAnsiTheme="minorHAnsi" w:cstheme="minorHAnsi"/>
            <w:color w:val="0563C1"/>
            <w:u w:val="single"/>
          </w:rPr>
          <w:t>https://www.legislation.gov.uk/ukpga/2009/25/part/2/chapter/1/crossheading/partial-defence-to-murder-diminished-responsibility</w:t>
        </w:r>
      </w:hyperlink>
      <w:r w:rsidRPr="00737E27">
        <w:rPr>
          <w:rStyle w:val="normaltextrun"/>
          <w:rFonts w:asciiTheme="minorHAnsi" w:hAnsiTheme="minorHAnsi" w:cstheme="minorHAnsi"/>
        </w:rPr>
        <w:t xml:space="preserve"> (Accessed:21/04/23).</w:t>
      </w:r>
      <w:r w:rsidRPr="00737E27">
        <w:rPr>
          <w:rStyle w:val="eop"/>
          <w:rFonts w:asciiTheme="minorHAnsi" w:eastAsiaTheme="minorEastAsia" w:hAnsiTheme="minorHAnsi" w:cstheme="minorHAnsi"/>
        </w:rPr>
        <w:t> </w:t>
      </w:r>
    </w:p>
    <w:p w14:paraId="12115715" w14:textId="0039DD3C"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i/>
          <w:iCs/>
        </w:rPr>
        <w:t>Criminal Procedure (Insanity) Act</w:t>
      </w:r>
      <w:r w:rsidRPr="00737E27">
        <w:rPr>
          <w:rStyle w:val="normaltextrun"/>
          <w:rFonts w:asciiTheme="minorHAnsi" w:hAnsiTheme="minorHAnsi" w:cstheme="minorHAnsi"/>
        </w:rPr>
        <w:t xml:space="preserve">, 1964, c 84. Available at: </w:t>
      </w:r>
      <w:hyperlink r:id="rId14" w:tgtFrame="_blank" w:history="1">
        <w:r w:rsidRPr="00737E27">
          <w:rPr>
            <w:rStyle w:val="normaltextrun"/>
            <w:rFonts w:asciiTheme="minorHAnsi" w:hAnsiTheme="minorHAnsi" w:cstheme="minorHAnsi"/>
            <w:color w:val="0563C1"/>
            <w:u w:val="single"/>
          </w:rPr>
          <w:t>https://www.legislation.gov.uk/ukpga/1964/84</w:t>
        </w:r>
      </w:hyperlink>
      <w:r w:rsidRPr="00737E27">
        <w:rPr>
          <w:rStyle w:val="normaltextrun"/>
          <w:rFonts w:asciiTheme="minorHAnsi" w:hAnsiTheme="minorHAnsi" w:cstheme="minorHAnsi"/>
        </w:rPr>
        <w:t xml:space="preserve"> (Accessed:22/04/23).</w:t>
      </w:r>
      <w:r w:rsidRPr="00737E27">
        <w:rPr>
          <w:rStyle w:val="eop"/>
          <w:rFonts w:asciiTheme="minorHAnsi" w:eastAsiaTheme="minorEastAsia" w:hAnsiTheme="minorHAnsi" w:cstheme="minorHAnsi"/>
        </w:rPr>
        <w:t> </w:t>
      </w:r>
    </w:p>
    <w:p w14:paraId="3E46893C" w14:textId="46E908F5"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i/>
          <w:iCs/>
        </w:rPr>
        <w:t>Loss of control</w:t>
      </w:r>
      <w:r w:rsidRPr="00737E27">
        <w:rPr>
          <w:rStyle w:val="normaltextrun"/>
          <w:rFonts w:asciiTheme="minorHAnsi" w:hAnsiTheme="minorHAnsi" w:cstheme="minorHAnsi"/>
        </w:rPr>
        <w:t xml:space="preserve">, S. 54 2009, c 25. Available at: </w:t>
      </w:r>
      <w:hyperlink r:id="rId15" w:tgtFrame="_blank" w:history="1">
        <w:r w:rsidRPr="00737E27">
          <w:rPr>
            <w:rStyle w:val="normaltextrun"/>
            <w:rFonts w:asciiTheme="minorHAnsi" w:hAnsiTheme="minorHAnsi" w:cstheme="minorHAnsi"/>
            <w:color w:val="0563C1"/>
            <w:u w:val="single"/>
          </w:rPr>
          <w:t>https://www.legislation.gov.uk/ukpga/2009/25/part/2/chapter/1/crossheading/partial-defence-to-murder-loss-of-control</w:t>
        </w:r>
      </w:hyperlink>
      <w:r w:rsidRPr="00737E27">
        <w:rPr>
          <w:rStyle w:val="normaltextrun"/>
          <w:rFonts w:asciiTheme="minorHAnsi" w:hAnsiTheme="minorHAnsi" w:cstheme="minorHAnsi"/>
        </w:rPr>
        <w:t xml:space="preserve"> (Accessed:21/04/23).</w:t>
      </w:r>
      <w:r w:rsidRPr="00737E27">
        <w:rPr>
          <w:rStyle w:val="eop"/>
          <w:rFonts w:asciiTheme="minorHAnsi" w:eastAsiaTheme="minorEastAsia" w:hAnsiTheme="minorHAnsi" w:cstheme="minorHAnsi"/>
        </w:rPr>
        <w:t> </w:t>
      </w:r>
    </w:p>
    <w:p w14:paraId="330B9D03" w14:textId="750987C1"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rPr>
        <w:t xml:space="preserve">Wounding and causing grievous bodily harm (GBH) with intent, S. 18 1861, c 100. Available at: </w:t>
      </w:r>
      <w:hyperlink r:id="rId16" w:tgtFrame="_blank" w:history="1">
        <w:r w:rsidRPr="00737E27">
          <w:rPr>
            <w:rStyle w:val="normaltextrun"/>
            <w:rFonts w:asciiTheme="minorHAnsi" w:hAnsiTheme="minorHAnsi" w:cstheme="minorHAnsi"/>
            <w:color w:val="0563C1"/>
            <w:u w:val="single"/>
          </w:rPr>
          <w:t>https://www.legislation.gov.uk/ukpga/Vict/24-25/100/section/18</w:t>
        </w:r>
      </w:hyperlink>
      <w:r w:rsidRPr="00737E27">
        <w:rPr>
          <w:rStyle w:val="normaltextrun"/>
          <w:rFonts w:asciiTheme="minorHAnsi" w:hAnsiTheme="minorHAnsi" w:cstheme="minorHAnsi"/>
        </w:rPr>
        <w:t xml:space="preserve"> (Accessed:20/04/23).</w:t>
      </w:r>
      <w:r w:rsidRPr="00737E27">
        <w:rPr>
          <w:rStyle w:val="eop"/>
          <w:rFonts w:asciiTheme="minorHAnsi" w:eastAsiaTheme="minorEastAsia" w:hAnsiTheme="minorHAnsi" w:cstheme="minorHAnsi"/>
        </w:rPr>
        <w:t> </w:t>
      </w:r>
    </w:p>
    <w:p w14:paraId="5F934A3D" w14:textId="09A9DCCB"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normaltextrun"/>
          <w:rFonts w:asciiTheme="minorHAnsi" w:hAnsiTheme="minorHAnsi" w:cstheme="minorHAnsi"/>
          <w:i/>
          <w:iCs/>
        </w:rPr>
        <w:t xml:space="preserve">Wounding </w:t>
      </w:r>
      <w:r w:rsidRPr="00737E27">
        <w:rPr>
          <w:rStyle w:val="normaltextrun"/>
          <w:rFonts w:asciiTheme="minorHAnsi" w:hAnsiTheme="minorHAnsi" w:cstheme="minorHAnsi"/>
        </w:rPr>
        <w:t xml:space="preserve">and inflicting grievous bodily harm without intent, S. 20, 1861, c 100. Available at: </w:t>
      </w:r>
      <w:hyperlink r:id="rId17" w:tgtFrame="_blank" w:history="1">
        <w:r w:rsidRPr="00737E27">
          <w:rPr>
            <w:rStyle w:val="normaltextrun"/>
            <w:rFonts w:asciiTheme="minorHAnsi" w:hAnsiTheme="minorHAnsi" w:cstheme="minorHAnsi"/>
            <w:color w:val="0563C1"/>
            <w:u w:val="single"/>
          </w:rPr>
          <w:t>https://www.legislation.gov.uk/ukpga/Vict/24-25/100/section/20</w:t>
        </w:r>
      </w:hyperlink>
      <w:r w:rsidRPr="00737E27">
        <w:rPr>
          <w:rStyle w:val="normaltextrun"/>
          <w:rFonts w:asciiTheme="minorHAnsi" w:hAnsiTheme="minorHAnsi" w:cstheme="minorHAnsi"/>
        </w:rPr>
        <w:t xml:space="preserve"> (Accessed:20/04/23).</w:t>
      </w:r>
      <w:r w:rsidRPr="00737E27">
        <w:rPr>
          <w:rStyle w:val="eop"/>
          <w:rFonts w:asciiTheme="minorHAnsi" w:eastAsiaTheme="minorEastAsia" w:hAnsiTheme="minorHAnsi" w:cstheme="minorHAnsi"/>
        </w:rPr>
        <w:t> </w:t>
      </w:r>
    </w:p>
    <w:p w14:paraId="3093F14F"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369D33CC" w14:textId="77777777" w:rsidR="00737E27" w:rsidRPr="00737E27" w:rsidRDefault="00737E27" w:rsidP="008A4FC4">
      <w:pPr>
        <w:pStyle w:val="paragraph"/>
        <w:spacing w:before="0" w:beforeAutospacing="0" w:after="0" w:afterAutospacing="0" w:line="360" w:lineRule="auto"/>
        <w:textAlignment w:val="baseline"/>
        <w:rPr>
          <w:rFonts w:asciiTheme="minorHAnsi" w:hAnsiTheme="minorHAnsi" w:cstheme="minorHAnsi"/>
        </w:rPr>
      </w:pPr>
      <w:r w:rsidRPr="00737E27">
        <w:rPr>
          <w:rStyle w:val="eop"/>
          <w:rFonts w:asciiTheme="minorHAnsi" w:eastAsiaTheme="minorEastAsia" w:hAnsiTheme="minorHAnsi" w:cstheme="minorHAnsi"/>
        </w:rPr>
        <w:t> </w:t>
      </w:r>
    </w:p>
    <w:p w14:paraId="727F7302" w14:textId="58A178F9" w:rsidR="00D23D4F" w:rsidRPr="00737E27" w:rsidRDefault="00D23D4F">
      <w:pPr>
        <w:rPr>
          <w:rFonts w:cstheme="minorHAnsi"/>
          <w:sz w:val="24"/>
          <w:szCs w:val="24"/>
        </w:rPr>
      </w:pPr>
    </w:p>
    <w:sectPr w:rsidR="00D23D4F" w:rsidRPr="00737E27" w:rsidSect="007E29A5">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04D1F" w14:textId="77777777" w:rsidR="00BE6B45" w:rsidRDefault="00BE6B45" w:rsidP="001A0F9A">
      <w:pPr>
        <w:spacing w:after="0" w:line="240" w:lineRule="auto"/>
      </w:pPr>
      <w:r>
        <w:separator/>
      </w:r>
    </w:p>
  </w:endnote>
  <w:endnote w:type="continuationSeparator" w:id="0">
    <w:p w14:paraId="5DFF5968" w14:textId="77777777" w:rsidR="00BE6B45" w:rsidRDefault="00BE6B45" w:rsidP="001A0F9A">
      <w:pPr>
        <w:spacing w:after="0" w:line="240" w:lineRule="auto"/>
      </w:pPr>
      <w:r>
        <w:continuationSeparator/>
      </w:r>
    </w:p>
  </w:endnote>
  <w:endnote w:type="continuationNotice" w:id="1">
    <w:p w14:paraId="66CE71CD" w14:textId="77777777" w:rsidR="00211E3B" w:rsidRDefault="00211E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923298"/>
      <w:docPartObj>
        <w:docPartGallery w:val="Page Numbers (Bottom of Page)"/>
        <w:docPartUnique/>
      </w:docPartObj>
    </w:sdtPr>
    <w:sdtEndPr>
      <w:rPr>
        <w:noProof/>
      </w:rPr>
    </w:sdtEndPr>
    <w:sdtContent>
      <w:p w14:paraId="00448716" w14:textId="55C8C312" w:rsidR="001A0F9A" w:rsidRDefault="001A0F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E572DD" w14:textId="77777777" w:rsidR="001A0F9A" w:rsidRDefault="001A0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E50DC" w14:textId="77777777" w:rsidR="00BE6B45" w:rsidRDefault="00BE6B45" w:rsidP="001A0F9A">
      <w:pPr>
        <w:spacing w:after="0" w:line="240" w:lineRule="auto"/>
      </w:pPr>
      <w:r>
        <w:separator/>
      </w:r>
    </w:p>
  </w:footnote>
  <w:footnote w:type="continuationSeparator" w:id="0">
    <w:p w14:paraId="4C37F327" w14:textId="77777777" w:rsidR="00BE6B45" w:rsidRDefault="00BE6B45" w:rsidP="001A0F9A">
      <w:pPr>
        <w:spacing w:after="0" w:line="240" w:lineRule="auto"/>
      </w:pPr>
      <w:r>
        <w:continuationSeparator/>
      </w:r>
    </w:p>
  </w:footnote>
  <w:footnote w:type="continuationNotice" w:id="1">
    <w:p w14:paraId="2BBAE657" w14:textId="77777777" w:rsidR="00211E3B" w:rsidRDefault="00211E3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164DB" w14:textId="2BBA6985" w:rsidR="001A0F9A" w:rsidRDefault="00097781">
    <w:pPr>
      <w:pStyle w:val="Header"/>
    </w:pPr>
    <w:r>
      <w:t>Courtney Curtis - 2204829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B29"/>
    <w:rsid w:val="00097781"/>
    <w:rsid w:val="000E386E"/>
    <w:rsid w:val="0016043B"/>
    <w:rsid w:val="001A0F9A"/>
    <w:rsid w:val="001D4DA0"/>
    <w:rsid w:val="00211E3B"/>
    <w:rsid w:val="003A69F3"/>
    <w:rsid w:val="00435B29"/>
    <w:rsid w:val="0052208F"/>
    <w:rsid w:val="00540DB7"/>
    <w:rsid w:val="00737E27"/>
    <w:rsid w:val="007C2C0F"/>
    <w:rsid w:val="007E29A5"/>
    <w:rsid w:val="00872C0E"/>
    <w:rsid w:val="008A4FC4"/>
    <w:rsid w:val="00991359"/>
    <w:rsid w:val="009A20D8"/>
    <w:rsid w:val="009F62E0"/>
    <w:rsid w:val="00A40A48"/>
    <w:rsid w:val="00AE260C"/>
    <w:rsid w:val="00B27792"/>
    <w:rsid w:val="00BE6B45"/>
    <w:rsid w:val="00BF6537"/>
    <w:rsid w:val="00C05095"/>
    <w:rsid w:val="00D23D4F"/>
    <w:rsid w:val="00D32DE2"/>
    <w:rsid w:val="00DA76D5"/>
    <w:rsid w:val="00F97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C8DC2"/>
  <w15:chartTrackingRefBased/>
  <w15:docId w15:val="{35D563BF-FCBF-D340-9CDC-BE8198227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37E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37E27"/>
  </w:style>
  <w:style w:type="character" w:customStyle="1" w:styleId="eop">
    <w:name w:val="eop"/>
    <w:basedOn w:val="DefaultParagraphFont"/>
    <w:rsid w:val="00737E27"/>
  </w:style>
  <w:style w:type="paragraph" w:styleId="NoSpacing">
    <w:name w:val="No Spacing"/>
    <w:link w:val="NoSpacingChar"/>
    <w:uiPriority w:val="1"/>
    <w:qFormat/>
    <w:rsid w:val="007E29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29A5"/>
    <w:rPr>
      <w:rFonts w:eastAsiaTheme="minorEastAsia"/>
      <w:kern w:val="0"/>
      <w:lang w:val="en-US"/>
      <w14:ligatures w14:val="none"/>
    </w:rPr>
  </w:style>
  <w:style w:type="paragraph" w:styleId="Header">
    <w:name w:val="header"/>
    <w:basedOn w:val="Normal"/>
    <w:link w:val="HeaderChar"/>
    <w:uiPriority w:val="99"/>
    <w:unhideWhenUsed/>
    <w:rsid w:val="00C050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F9A"/>
  </w:style>
  <w:style w:type="paragraph" w:styleId="Footer">
    <w:name w:val="footer"/>
    <w:basedOn w:val="Normal"/>
    <w:link w:val="FooterChar"/>
    <w:uiPriority w:val="99"/>
    <w:unhideWhenUsed/>
    <w:rsid w:val="00C050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F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686749">
      <w:bodyDiv w:val="1"/>
      <w:marLeft w:val="0"/>
      <w:marRight w:val="0"/>
      <w:marTop w:val="0"/>
      <w:marBottom w:val="0"/>
      <w:divBdr>
        <w:top w:val="none" w:sz="0" w:space="0" w:color="auto"/>
        <w:left w:val="none" w:sz="0" w:space="0" w:color="auto"/>
        <w:bottom w:val="none" w:sz="0" w:space="0" w:color="auto"/>
        <w:right w:val="none" w:sz="0" w:space="0" w:color="auto"/>
      </w:divBdr>
      <w:divsChild>
        <w:div w:id="27144794">
          <w:marLeft w:val="0"/>
          <w:marRight w:val="0"/>
          <w:marTop w:val="0"/>
          <w:marBottom w:val="0"/>
          <w:divBdr>
            <w:top w:val="none" w:sz="0" w:space="0" w:color="auto"/>
            <w:left w:val="none" w:sz="0" w:space="0" w:color="auto"/>
            <w:bottom w:val="none" w:sz="0" w:space="0" w:color="auto"/>
            <w:right w:val="none" w:sz="0" w:space="0" w:color="auto"/>
          </w:divBdr>
        </w:div>
        <w:div w:id="31078907">
          <w:marLeft w:val="0"/>
          <w:marRight w:val="0"/>
          <w:marTop w:val="0"/>
          <w:marBottom w:val="0"/>
          <w:divBdr>
            <w:top w:val="none" w:sz="0" w:space="0" w:color="auto"/>
            <w:left w:val="none" w:sz="0" w:space="0" w:color="auto"/>
            <w:bottom w:val="none" w:sz="0" w:space="0" w:color="auto"/>
            <w:right w:val="none" w:sz="0" w:space="0" w:color="auto"/>
          </w:divBdr>
        </w:div>
        <w:div w:id="60562143">
          <w:marLeft w:val="0"/>
          <w:marRight w:val="0"/>
          <w:marTop w:val="0"/>
          <w:marBottom w:val="0"/>
          <w:divBdr>
            <w:top w:val="none" w:sz="0" w:space="0" w:color="auto"/>
            <w:left w:val="none" w:sz="0" w:space="0" w:color="auto"/>
            <w:bottom w:val="none" w:sz="0" w:space="0" w:color="auto"/>
            <w:right w:val="none" w:sz="0" w:space="0" w:color="auto"/>
          </w:divBdr>
        </w:div>
        <w:div w:id="80413429">
          <w:marLeft w:val="0"/>
          <w:marRight w:val="0"/>
          <w:marTop w:val="0"/>
          <w:marBottom w:val="0"/>
          <w:divBdr>
            <w:top w:val="none" w:sz="0" w:space="0" w:color="auto"/>
            <w:left w:val="none" w:sz="0" w:space="0" w:color="auto"/>
            <w:bottom w:val="none" w:sz="0" w:space="0" w:color="auto"/>
            <w:right w:val="none" w:sz="0" w:space="0" w:color="auto"/>
          </w:divBdr>
        </w:div>
        <w:div w:id="110244528">
          <w:marLeft w:val="0"/>
          <w:marRight w:val="0"/>
          <w:marTop w:val="0"/>
          <w:marBottom w:val="0"/>
          <w:divBdr>
            <w:top w:val="none" w:sz="0" w:space="0" w:color="auto"/>
            <w:left w:val="none" w:sz="0" w:space="0" w:color="auto"/>
            <w:bottom w:val="none" w:sz="0" w:space="0" w:color="auto"/>
            <w:right w:val="none" w:sz="0" w:space="0" w:color="auto"/>
          </w:divBdr>
        </w:div>
        <w:div w:id="159392869">
          <w:marLeft w:val="0"/>
          <w:marRight w:val="0"/>
          <w:marTop w:val="0"/>
          <w:marBottom w:val="0"/>
          <w:divBdr>
            <w:top w:val="none" w:sz="0" w:space="0" w:color="auto"/>
            <w:left w:val="none" w:sz="0" w:space="0" w:color="auto"/>
            <w:bottom w:val="none" w:sz="0" w:space="0" w:color="auto"/>
            <w:right w:val="none" w:sz="0" w:space="0" w:color="auto"/>
          </w:divBdr>
        </w:div>
        <w:div w:id="212816403">
          <w:marLeft w:val="0"/>
          <w:marRight w:val="0"/>
          <w:marTop w:val="0"/>
          <w:marBottom w:val="0"/>
          <w:divBdr>
            <w:top w:val="none" w:sz="0" w:space="0" w:color="auto"/>
            <w:left w:val="none" w:sz="0" w:space="0" w:color="auto"/>
            <w:bottom w:val="none" w:sz="0" w:space="0" w:color="auto"/>
            <w:right w:val="none" w:sz="0" w:space="0" w:color="auto"/>
          </w:divBdr>
        </w:div>
        <w:div w:id="220755540">
          <w:marLeft w:val="0"/>
          <w:marRight w:val="0"/>
          <w:marTop w:val="0"/>
          <w:marBottom w:val="0"/>
          <w:divBdr>
            <w:top w:val="none" w:sz="0" w:space="0" w:color="auto"/>
            <w:left w:val="none" w:sz="0" w:space="0" w:color="auto"/>
            <w:bottom w:val="none" w:sz="0" w:space="0" w:color="auto"/>
            <w:right w:val="none" w:sz="0" w:space="0" w:color="auto"/>
          </w:divBdr>
        </w:div>
        <w:div w:id="291639203">
          <w:marLeft w:val="0"/>
          <w:marRight w:val="0"/>
          <w:marTop w:val="0"/>
          <w:marBottom w:val="0"/>
          <w:divBdr>
            <w:top w:val="none" w:sz="0" w:space="0" w:color="auto"/>
            <w:left w:val="none" w:sz="0" w:space="0" w:color="auto"/>
            <w:bottom w:val="none" w:sz="0" w:space="0" w:color="auto"/>
            <w:right w:val="none" w:sz="0" w:space="0" w:color="auto"/>
          </w:divBdr>
        </w:div>
        <w:div w:id="333189229">
          <w:marLeft w:val="0"/>
          <w:marRight w:val="0"/>
          <w:marTop w:val="0"/>
          <w:marBottom w:val="0"/>
          <w:divBdr>
            <w:top w:val="none" w:sz="0" w:space="0" w:color="auto"/>
            <w:left w:val="none" w:sz="0" w:space="0" w:color="auto"/>
            <w:bottom w:val="none" w:sz="0" w:space="0" w:color="auto"/>
            <w:right w:val="none" w:sz="0" w:space="0" w:color="auto"/>
          </w:divBdr>
        </w:div>
        <w:div w:id="356002322">
          <w:marLeft w:val="0"/>
          <w:marRight w:val="0"/>
          <w:marTop w:val="0"/>
          <w:marBottom w:val="0"/>
          <w:divBdr>
            <w:top w:val="none" w:sz="0" w:space="0" w:color="auto"/>
            <w:left w:val="none" w:sz="0" w:space="0" w:color="auto"/>
            <w:bottom w:val="none" w:sz="0" w:space="0" w:color="auto"/>
            <w:right w:val="none" w:sz="0" w:space="0" w:color="auto"/>
          </w:divBdr>
        </w:div>
        <w:div w:id="481696190">
          <w:marLeft w:val="0"/>
          <w:marRight w:val="0"/>
          <w:marTop w:val="0"/>
          <w:marBottom w:val="0"/>
          <w:divBdr>
            <w:top w:val="none" w:sz="0" w:space="0" w:color="auto"/>
            <w:left w:val="none" w:sz="0" w:space="0" w:color="auto"/>
            <w:bottom w:val="none" w:sz="0" w:space="0" w:color="auto"/>
            <w:right w:val="none" w:sz="0" w:space="0" w:color="auto"/>
          </w:divBdr>
        </w:div>
        <w:div w:id="487937635">
          <w:marLeft w:val="0"/>
          <w:marRight w:val="0"/>
          <w:marTop w:val="0"/>
          <w:marBottom w:val="0"/>
          <w:divBdr>
            <w:top w:val="none" w:sz="0" w:space="0" w:color="auto"/>
            <w:left w:val="none" w:sz="0" w:space="0" w:color="auto"/>
            <w:bottom w:val="none" w:sz="0" w:space="0" w:color="auto"/>
            <w:right w:val="none" w:sz="0" w:space="0" w:color="auto"/>
          </w:divBdr>
        </w:div>
        <w:div w:id="514272777">
          <w:marLeft w:val="0"/>
          <w:marRight w:val="0"/>
          <w:marTop w:val="0"/>
          <w:marBottom w:val="0"/>
          <w:divBdr>
            <w:top w:val="none" w:sz="0" w:space="0" w:color="auto"/>
            <w:left w:val="none" w:sz="0" w:space="0" w:color="auto"/>
            <w:bottom w:val="none" w:sz="0" w:space="0" w:color="auto"/>
            <w:right w:val="none" w:sz="0" w:space="0" w:color="auto"/>
          </w:divBdr>
        </w:div>
        <w:div w:id="534463638">
          <w:marLeft w:val="0"/>
          <w:marRight w:val="0"/>
          <w:marTop w:val="0"/>
          <w:marBottom w:val="0"/>
          <w:divBdr>
            <w:top w:val="none" w:sz="0" w:space="0" w:color="auto"/>
            <w:left w:val="none" w:sz="0" w:space="0" w:color="auto"/>
            <w:bottom w:val="none" w:sz="0" w:space="0" w:color="auto"/>
            <w:right w:val="none" w:sz="0" w:space="0" w:color="auto"/>
          </w:divBdr>
        </w:div>
        <w:div w:id="562914448">
          <w:marLeft w:val="0"/>
          <w:marRight w:val="0"/>
          <w:marTop w:val="0"/>
          <w:marBottom w:val="0"/>
          <w:divBdr>
            <w:top w:val="none" w:sz="0" w:space="0" w:color="auto"/>
            <w:left w:val="none" w:sz="0" w:space="0" w:color="auto"/>
            <w:bottom w:val="none" w:sz="0" w:space="0" w:color="auto"/>
            <w:right w:val="none" w:sz="0" w:space="0" w:color="auto"/>
          </w:divBdr>
        </w:div>
        <w:div w:id="621502431">
          <w:marLeft w:val="0"/>
          <w:marRight w:val="0"/>
          <w:marTop w:val="0"/>
          <w:marBottom w:val="0"/>
          <w:divBdr>
            <w:top w:val="none" w:sz="0" w:space="0" w:color="auto"/>
            <w:left w:val="none" w:sz="0" w:space="0" w:color="auto"/>
            <w:bottom w:val="none" w:sz="0" w:space="0" w:color="auto"/>
            <w:right w:val="none" w:sz="0" w:space="0" w:color="auto"/>
          </w:divBdr>
        </w:div>
        <w:div w:id="796413078">
          <w:marLeft w:val="0"/>
          <w:marRight w:val="0"/>
          <w:marTop w:val="0"/>
          <w:marBottom w:val="0"/>
          <w:divBdr>
            <w:top w:val="none" w:sz="0" w:space="0" w:color="auto"/>
            <w:left w:val="none" w:sz="0" w:space="0" w:color="auto"/>
            <w:bottom w:val="none" w:sz="0" w:space="0" w:color="auto"/>
            <w:right w:val="none" w:sz="0" w:space="0" w:color="auto"/>
          </w:divBdr>
        </w:div>
        <w:div w:id="875778578">
          <w:marLeft w:val="0"/>
          <w:marRight w:val="0"/>
          <w:marTop w:val="0"/>
          <w:marBottom w:val="0"/>
          <w:divBdr>
            <w:top w:val="none" w:sz="0" w:space="0" w:color="auto"/>
            <w:left w:val="none" w:sz="0" w:space="0" w:color="auto"/>
            <w:bottom w:val="none" w:sz="0" w:space="0" w:color="auto"/>
            <w:right w:val="none" w:sz="0" w:space="0" w:color="auto"/>
          </w:divBdr>
        </w:div>
        <w:div w:id="975794992">
          <w:marLeft w:val="0"/>
          <w:marRight w:val="0"/>
          <w:marTop w:val="0"/>
          <w:marBottom w:val="0"/>
          <w:divBdr>
            <w:top w:val="none" w:sz="0" w:space="0" w:color="auto"/>
            <w:left w:val="none" w:sz="0" w:space="0" w:color="auto"/>
            <w:bottom w:val="none" w:sz="0" w:space="0" w:color="auto"/>
            <w:right w:val="none" w:sz="0" w:space="0" w:color="auto"/>
          </w:divBdr>
        </w:div>
        <w:div w:id="1012876323">
          <w:marLeft w:val="0"/>
          <w:marRight w:val="0"/>
          <w:marTop w:val="0"/>
          <w:marBottom w:val="0"/>
          <w:divBdr>
            <w:top w:val="none" w:sz="0" w:space="0" w:color="auto"/>
            <w:left w:val="none" w:sz="0" w:space="0" w:color="auto"/>
            <w:bottom w:val="none" w:sz="0" w:space="0" w:color="auto"/>
            <w:right w:val="none" w:sz="0" w:space="0" w:color="auto"/>
          </w:divBdr>
        </w:div>
        <w:div w:id="1052921213">
          <w:marLeft w:val="0"/>
          <w:marRight w:val="0"/>
          <w:marTop w:val="0"/>
          <w:marBottom w:val="0"/>
          <w:divBdr>
            <w:top w:val="none" w:sz="0" w:space="0" w:color="auto"/>
            <w:left w:val="none" w:sz="0" w:space="0" w:color="auto"/>
            <w:bottom w:val="none" w:sz="0" w:space="0" w:color="auto"/>
            <w:right w:val="none" w:sz="0" w:space="0" w:color="auto"/>
          </w:divBdr>
        </w:div>
        <w:div w:id="1062026469">
          <w:marLeft w:val="0"/>
          <w:marRight w:val="0"/>
          <w:marTop w:val="0"/>
          <w:marBottom w:val="0"/>
          <w:divBdr>
            <w:top w:val="none" w:sz="0" w:space="0" w:color="auto"/>
            <w:left w:val="none" w:sz="0" w:space="0" w:color="auto"/>
            <w:bottom w:val="none" w:sz="0" w:space="0" w:color="auto"/>
            <w:right w:val="none" w:sz="0" w:space="0" w:color="auto"/>
          </w:divBdr>
        </w:div>
        <w:div w:id="1153790009">
          <w:marLeft w:val="0"/>
          <w:marRight w:val="0"/>
          <w:marTop w:val="0"/>
          <w:marBottom w:val="0"/>
          <w:divBdr>
            <w:top w:val="none" w:sz="0" w:space="0" w:color="auto"/>
            <w:left w:val="none" w:sz="0" w:space="0" w:color="auto"/>
            <w:bottom w:val="none" w:sz="0" w:space="0" w:color="auto"/>
            <w:right w:val="none" w:sz="0" w:space="0" w:color="auto"/>
          </w:divBdr>
        </w:div>
        <w:div w:id="1173031626">
          <w:marLeft w:val="0"/>
          <w:marRight w:val="0"/>
          <w:marTop w:val="0"/>
          <w:marBottom w:val="0"/>
          <w:divBdr>
            <w:top w:val="none" w:sz="0" w:space="0" w:color="auto"/>
            <w:left w:val="none" w:sz="0" w:space="0" w:color="auto"/>
            <w:bottom w:val="none" w:sz="0" w:space="0" w:color="auto"/>
            <w:right w:val="none" w:sz="0" w:space="0" w:color="auto"/>
          </w:divBdr>
        </w:div>
        <w:div w:id="1326276177">
          <w:marLeft w:val="0"/>
          <w:marRight w:val="0"/>
          <w:marTop w:val="0"/>
          <w:marBottom w:val="0"/>
          <w:divBdr>
            <w:top w:val="none" w:sz="0" w:space="0" w:color="auto"/>
            <w:left w:val="none" w:sz="0" w:space="0" w:color="auto"/>
            <w:bottom w:val="none" w:sz="0" w:space="0" w:color="auto"/>
            <w:right w:val="none" w:sz="0" w:space="0" w:color="auto"/>
          </w:divBdr>
        </w:div>
        <w:div w:id="1333025133">
          <w:marLeft w:val="0"/>
          <w:marRight w:val="0"/>
          <w:marTop w:val="0"/>
          <w:marBottom w:val="0"/>
          <w:divBdr>
            <w:top w:val="none" w:sz="0" w:space="0" w:color="auto"/>
            <w:left w:val="none" w:sz="0" w:space="0" w:color="auto"/>
            <w:bottom w:val="none" w:sz="0" w:space="0" w:color="auto"/>
            <w:right w:val="none" w:sz="0" w:space="0" w:color="auto"/>
          </w:divBdr>
        </w:div>
        <w:div w:id="1357661359">
          <w:marLeft w:val="0"/>
          <w:marRight w:val="0"/>
          <w:marTop w:val="0"/>
          <w:marBottom w:val="0"/>
          <w:divBdr>
            <w:top w:val="none" w:sz="0" w:space="0" w:color="auto"/>
            <w:left w:val="none" w:sz="0" w:space="0" w:color="auto"/>
            <w:bottom w:val="none" w:sz="0" w:space="0" w:color="auto"/>
            <w:right w:val="none" w:sz="0" w:space="0" w:color="auto"/>
          </w:divBdr>
        </w:div>
        <w:div w:id="1452241402">
          <w:marLeft w:val="0"/>
          <w:marRight w:val="0"/>
          <w:marTop w:val="0"/>
          <w:marBottom w:val="0"/>
          <w:divBdr>
            <w:top w:val="none" w:sz="0" w:space="0" w:color="auto"/>
            <w:left w:val="none" w:sz="0" w:space="0" w:color="auto"/>
            <w:bottom w:val="none" w:sz="0" w:space="0" w:color="auto"/>
            <w:right w:val="none" w:sz="0" w:space="0" w:color="auto"/>
          </w:divBdr>
        </w:div>
        <w:div w:id="1512722815">
          <w:marLeft w:val="0"/>
          <w:marRight w:val="0"/>
          <w:marTop w:val="0"/>
          <w:marBottom w:val="0"/>
          <w:divBdr>
            <w:top w:val="none" w:sz="0" w:space="0" w:color="auto"/>
            <w:left w:val="none" w:sz="0" w:space="0" w:color="auto"/>
            <w:bottom w:val="none" w:sz="0" w:space="0" w:color="auto"/>
            <w:right w:val="none" w:sz="0" w:space="0" w:color="auto"/>
          </w:divBdr>
        </w:div>
        <w:div w:id="1623657329">
          <w:marLeft w:val="0"/>
          <w:marRight w:val="0"/>
          <w:marTop w:val="0"/>
          <w:marBottom w:val="0"/>
          <w:divBdr>
            <w:top w:val="none" w:sz="0" w:space="0" w:color="auto"/>
            <w:left w:val="none" w:sz="0" w:space="0" w:color="auto"/>
            <w:bottom w:val="none" w:sz="0" w:space="0" w:color="auto"/>
            <w:right w:val="none" w:sz="0" w:space="0" w:color="auto"/>
          </w:divBdr>
        </w:div>
        <w:div w:id="1816607304">
          <w:marLeft w:val="0"/>
          <w:marRight w:val="0"/>
          <w:marTop w:val="0"/>
          <w:marBottom w:val="0"/>
          <w:divBdr>
            <w:top w:val="none" w:sz="0" w:space="0" w:color="auto"/>
            <w:left w:val="none" w:sz="0" w:space="0" w:color="auto"/>
            <w:bottom w:val="none" w:sz="0" w:space="0" w:color="auto"/>
            <w:right w:val="none" w:sz="0" w:space="0" w:color="auto"/>
          </w:divBdr>
        </w:div>
        <w:div w:id="1849979019">
          <w:marLeft w:val="0"/>
          <w:marRight w:val="0"/>
          <w:marTop w:val="0"/>
          <w:marBottom w:val="0"/>
          <w:divBdr>
            <w:top w:val="none" w:sz="0" w:space="0" w:color="auto"/>
            <w:left w:val="none" w:sz="0" w:space="0" w:color="auto"/>
            <w:bottom w:val="none" w:sz="0" w:space="0" w:color="auto"/>
            <w:right w:val="none" w:sz="0" w:space="0" w:color="auto"/>
          </w:divBdr>
        </w:div>
        <w:div w:id="1854999181">
          <w:marLeft w:val="0"/>
          <w:marRight w:val="0"/>
          <w:marTop w:val="0"/>
          <w:marBottom w:val="0"/>
          <w:divBdr>
            <w:top w:val="none" w:sz="0" w:space="0" w:color="auto"/>
            <w:left w:val="none" w:sz="0" w:space="0" w:color="auto"/>
            <w:bottom w:val="none" w:sz="0" w:space="0" w:color="auto"/>
            <w:right w:val="none" w:sz="0" w:space="0" w:color="auto"/>
          </w:divBdr>
        </w:div>
        <w:div w:id="1922593871">
          <w:marLeft w:val="0"/>
          <w:marRight w:val="0"/>
          <w:marTop w:val="0"/>
          <w:marBottom w:val="0"/>
          <w:divBdr>
            <w:top w:val="none" w:sz="0" w:space="0" w:color="auto"/>
            <w:left w:val="none" w:sz="0" w:space="0" w:color="auto"/>
            <w:bottom w:val="none" w:sz="0" w:space="0" w:color="auto"/>
            <w:right w:val="none" w:sz="0" w:space="0" w:color="auto"/>
          </w:divBdr>
        </w:div>
        <w:div w:id="2041004504">
          <w:marLeft w:val="0"/>
          <w:marRight w:val="0"/>
          <w:marTop w:val="0"/>
          <w:marBottom w:val="0"/>
          <w:divBdr>
            <w:top w:val="none" w:sz="0" w:space="0" w:color="auto"/>
            <w:left w:val="none" w:sz="0" w:space="0" w:color="auto"/>
            <w:bottom w:val="none" w:sz="0" w:space="0" w:color="auto"/>
            <w:right w:val="none" w:sz="0" w:space="0" w:color="auto"/>
          </w:divBdr>
        </w:div>
        <w:div w:id="20919229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yperlink" Target="https://www.legislation.gov.uk/ukpga/2009/25/part/2/chapter/1/crossheading/partial-defence-to-murder-diminished-responsibility" TargetMode="External" /><Relationship Id="rId18" Type="http://schemas.openxmlformats.org/officeDocument/2006/relationships/header" Target="header1.xml"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webSettings" Target="webSettings.xml" /><Relationship Id="rId12" Type="http://schemas.openxmlformats.org/officeDocument/2006/relationships/hyperlink" Target="https://www.legislation.gov.uk/ukpga/1988/33/section/39/enacted" TargetMode="External" /><Relationship Id="rId17" Type="http://schemas.openxmlformats.org/officeDocument/2006/relationships/hyperlink" Target="https://www.legislation.gov.uk/ukpga/Vict/24-25/100/section/20" TargetMode="External" /><Relationship Id="rId2" Type="http://schemas.openxmlformats.org/officeDocument/2006/relationships/customXml" Target="../customXml/item2.xml" /><Relationship Id="rId16" Type="http://schemas.openxmlformats.org/officeDocument/2006/relationships/hyperlink" Target="https://www.legislation.gov.uk/ukpga/Vict/24-25/100/section/18"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www.legislation.gov.uk/ukpga/1971/48/section/1" TargetMode="External" /><Relationship Id="rId5" Type="http://schemas.openxmlformats.org/officeDocument/2006/relationships/styles" Target="styles.xml" /><Relationship Id="rId15" Type="http://schemas.openxmlformats.org/officeDocument/2006/relationships/hyperlink" Target="https://www.legislation.gov.uk/ukpga/2009/25/part/2/chapter/1/crossheading/partial-defence-to-murder-loss-of-control" TargetMode="External" /><Relationship Id="rId10" Type="http://schemas.openxmlformats.org/officeDocument/2006/relationships/hyperlink" Target="https://www.legislation.gov.uk/ukpga/Vict/24-25/100/section/47" TargetMode="External" /><Relationship Id="rId19" Type="http://schemas.openxmlformats.org/officeDocument/2006/relationships/footer" Target="footer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hyperlink" Target="https://www.legislation.gov.uk/ukpga/1964/8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a6600568302d7b4ee6fa9b86b77c14a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bc46ce0187c8b66e5abeefb22a533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BA831A-55F6-4102-B3E7-170ACA73422B}">
  <ds:schemaRefs>
    <ds:schemaRef ds:uri="http://schemas.microsoft.com/office/2006/metadata/properties"/>
    <ds:schemaRef ds:uri="http://www.w3.org/2000/xmlns/"/>
    <ds:schemaRef ds:uri="4055ddc6-ee7b-4b5b-b8fb-52871646f80e"/>
    <ds:schemaRef ds:uri="http://www.w3.org/2001/XMLSchema-instance"/>
  </ds:schemaRefs>
</ds:datastoreItem>
</file>

<file path=customXml/itemProps2.xml><?xml version="1.0" encoding="utf-8"?>
<ds:datastoreItem xmlns:ds="http://schemas.openxmlformats.org/officeDocument/2006/customXml" ds:itemID="{15D382CB-DDC7-4198-9F39-F5A02AB75E22}">
  <ds:schemaRefs>
    <ds:schemaRef ds:uri="http://schemas.microsoft.com/sharepoint/v3/contenttype/forms"/>
  </ds:schemaRefs>
</ds:datastoreItem>
</file>

<file path=customXml/itemProps3.xml><?xml version="1.0" encoding="utf-8"?>
<ds:datastoreItem xmlns:ds="http://schemas.openxmlformats.org/officeDocument/2006/customXml" ds:itemID="{9C7B80EE-D4E8-45F4-A809-D783E60D977D}">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1659</Words>
  <Characters>9459</Characters>
  <Application>Microsoft Office Word</Application>
  <DocSecurity>4</DocSecurity>
  <Lines>78</Lines>
  <Paragraphs>22</Paragraphs>
  <ScaleCrop>false</ScaleCrop>
  <Company/>
  <LinksUpToDate>false</LinksUpToDate>
  <CharactersWithSpaces>11096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 criminal law</dc:title>
  <dc:subject/>
  <dc:creator>Courtney Curtis - 2204829</dc:creator>
  <cp:keywords/>
  <dc:description/>
  <cp:lastModifiedBy>Courtney Curtis</cp:lastModifiedBy>
  <cp:revision>14</cp:revision>
  <dcterms:created xsi:type="dcterms:W3CDTF">2023-04-24T15:36:00Z</dcterms:created>
  <dcterms:modified xsi:type="dcterms:W3CDTF">2023-05-04T11:08:00Z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90cb0331c8a6c37a58531bd41d6c08caf2fd2ad5ce195b8957e4c5cf7dcc7990</vt:lpwstr>
  </property>
</Properties>
</file>