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714B7" w14:textId="77777777" w:rsidR="00B90F05" w:rsidRDefault="00B90F05" w:rsidP="00DE60CD">
      <w:pPr>
        <w:ind w:left="720" w:hanging="360"/>
      </w:pPr>
    </w:p>
    <w:p w14:paraId="15D71567" w14:textId="142FF75B" w:rsidR="00590E0A" w:rsidRPr="00590E0A" w:rsidRDefault="00590E0A" w:rsidP="00590E0A">
      <w:pPr>
        <w:pStyle w:val="ListParagraph"/>
        <w:numPr>
          <w:ilvl w:val="0"/>
          <w:numId w:val="6"/>
        </w:numPr>
        <w:rPr>
          <w:rFonts w:ascii="Times" w:hAnsi="Times"/>
          <w:lang w:val="en-US"/>
        </w:rPr>
      </w:pPr>
      <w:r w:rsidRPr="00590E0A">
        <w:rPr>
          <w:rFonts w:ascii="Times" w:hAnsi="Times"/>
          <w:lang w:val="en-US"/>
        </w:rPr>
        <w:t xml:space="preserve">Elliott and Quinn (2011) and Poole (2016) explain the rule of privity as only the parties to a contract are bound by it and a person who is other than the parties to a contract cannot bring a court action to enforce a contract. </w:t>
      </w:r>
    </w:p>
    <w:p w14:paraId="775CD520" w14:textId="2D21C70A" w:rsidR="00590E0A" w:rsidRPr="00590E0A" w:rsidRDefault="00590E0A" w:rsidP="00590E0A">
      <w:pPr>
        <w:pStyle w:val="ListParagraph"/>
        <w:rPr>
          <w:rFonts w:ascii="Times" w:hAnsi="Times"/>
          <w:lang w:val="en-US"/>
        </w:rPr>
      </w:pPr>
      <w:r w:rsidRPr="00590E0A">
        <w:rPr>
          <w:rFonts w:ascii="Times" w:hAnsi="Times"/>
          <w:lang w:val="en-US"/>
        </w:rPr>
        <w:t xml:space="preserve">Dunlop Pneumatic </w:t>
      </w:r>
      <w:proofErr w:type="spellStart"/>
      <w:r w:rsidRPr="00590E0A">
        <w:rPr>
          <w:rFonts w:ascii="Times" w:hAnsi="Times"/>
          <w:lang w:val="en-US"/>
        </w:rPr>
        <w:t>Tyre</w:t>
      </w:r>
      <w:proofErr w:type="spellEnd"/>
      <w:r w:rsidRPr="00590E0A">
        <w:rPr>
          <w:rFonts w:ascii="Times" w:hAnsi="Times"/>
          <w:lang w:val="en-US"/>
        </w:rPr>
        <w:t xml:space="preserve"> Co. Ltd v Selfridge &amp; Co. Ltd </w:t>
      </w:r>
      <w:r w:rsidR="00AB1F2F">
        <w:rPr>
          <w:rFonts w:ascii="Times" w:hAnsi="Times"/>
          <w:lang w:val="en-US"/>
        </w:rPr>
        <w:t>(</w:t>
      </w:r>
      <w:r w:rsidRPr="00590E0A">
        <w:rPr>
          <w:rFonts w:ascii="Times" w:hAnsi="Times"/>
          <w:lang w:val="en-US"/>
        </w:rPr>
        <w:t>1915</w:t>
      </w:r>
      <w:r w:rsidR="00AB1F2F">
        <w:rPr>
          <w:rFonts w:ascii="Times" w:hAnsi="Times"/>
          <w:lang w:val="en-US"/>
        </w:rPr>
        <w:t>)</w:t>
      </w:r>
      <w:r w:rsidRPr="00590E0A">
        <w:rPr>
          <w:rFonts w:ascii="Times" w:hAnsi="Times"/>
          <w:lang w:val="en-US"/>
        </w:rPr>
        <w:t xml:space="preserve"> and Tweddle v Atkinson </w:t>
      </w:r>
      <w:r w:rsidR="00AB1F2F">
        <w:rPr>
          <w:rFonts w:ascii="Times" w:hAnsi="Times"/>
          <w:lang w:val="en-US"/>
        </w:rPr>
        <w:t>(</w:t>
      </w:r>
      <w:r w:rsidRPr="00590E0A">
        <w:rPr>
          <w:rFonts w:ascii="Times" w:hAnsi="Times"/>
          <w:lang w:val="en-US"/>
        </w:rPr>
        <w:t>1861</w:t>
      </w:r>
      <w:r w:rsidR="00AB1F2F">
        <w:rPr>
          <w:rFonts w:ascii="Times" w:hAnsi="Times"/>
          <w:lang w:val="en-US"/>
        </w:rPr>
        <w:t>)</w:t>
      </w:r>
      <w:r w:rsidRPr="00590E0A">
        <w:rPr>
          <w:rFonts w:ascii="Times" w:hAnsi="Times"/>
          <w:lang w:val="en-US"/>
        </w:rPr>
        <w:t xml:space="preserve"> both are a </w:t>
      </w:r>
      <w:r w:rsidR="00AB1F2F" w:rsidRPr="00590E0A">
        <w:rPr>
          <w:rFonts w:ascii="Times" w:hAnsi="Times"/>
          <w:lang w:val="en-US"/>
        </w:rPr>
        <w:t>key case</w:t>
      </w:r>
      <w:r w:rsidRPr="00590E0A">
        <w:rPr>
          <w:rFonts w:ascii="Times" w:hAnsi="Times"/>
          <w:lang w:val="en-US"/>
        </w:rPr>
        <w:t xml:space="preserve"> to privity of contract and its relationship with the consideration requirement, where consideration must move from the promisee.</w:t>
      </w:r>
    </w:p>
    <w:p w14:paraId="504FD884" w14:textId="62A0120D" w:rsidR="00087314" w:rsidRDefault="00590E0A" w:rsidP="00590E0A">
      <w:pPr>
        <w:pStyle w:val="ListParagraph"/>
        <w:rPr>
          <w:rFonts w:ascii="Times" w:hAnsi="Times"/>
          <w:lang w:val="en-US"/>
        </w:rPr>
      </w:pPr>
      <w:r w:rsidRPr="00590E0A">
        <w:rPr>
          <w:rFonts w:ascii="Times" w:hAnsi="Times"/>
          <w:lang w:val="en-US"/>
        </w:rPr>
        <w:t>Over the years, s11 Married Women’s Property Act 1882 and under the s1 C(RTP)A 1999 number of exceptions have been made on a case-by-case basis.</w:t>
      </w:r>
    </w:p>
    <w:p w14:paraId="31E15E5B" w14:textId="77777777" w:rsidR="00590E0A" w:rsidRPr="00590E0A" w:rsidRDefault="00590E0A" w:rsidP="00590E0A">
      <w:pPr>
        <w:pStyle w:val="ListParagraph"/>
        <w:rPr>
          <w:rFonts w:ascii="Times" w:hAnsi="Times"/>
          <w:lang w:val="en-US"/>
        </w:rPr>
      </w:pPr>
    </w:p>
    <w:p w14:paraId="7E4B9104" w14:textId="0B432D75" w:rsidR="00010470" w:rsidRPr="00590E0A" w:rsidRDefault="00010470" w:rsidP="00590E0A">
      <w:pPr>
        <w:pStyle w:val="ListParagraph"/>
        <w:numPr>
          <w:ilvl w:val="0"/>
          <w:numId w:val="6"/>
        </w:numPr>
        <w:rPr>
          <w:rFonts w:ascii="Times" w:hAnsi="Times"/>
          <w:lang w:val="en-US"/>
        </w:rPr>
      </w:pPr>
      <w:r w:rsidRPr="00590E0A">
        <w:rPr>
          <w:rFonts w:ascii="Times" w:hAnsi="Times"/>
          <w:lang w:val="en-US"/>
        </w:rPr>
        <w:t xml:space="preserve">A valuable consideration according to Currie v Misa </w:t>
      </w:r>
      <w:r w:rsidR="00AB1F2F">
        <w:rPr>
          <w:rFonts w:ascii="Times" w:hAnsi="Times"/>
          <w:lang w:val="en-US"/>
        </w:rPr>
        <w:t>(</w:t>
      </w:r>
      <w:r w:rsidRPr="00590E0A">
        <w:rPr>
          <w:rFonts w:ascii="Times" w:hAnsi="Times"/>
          <w:lang w:val="en-US"/>
        </w:rPr>
        <w:t>1875</w:t>
      </w:r>
      <w:r w:rsidR="00AB1F2F">
        <w:rPr>
          <w:rFonts w:ascii="Times" w:hAnsi="Times"/>
          <w:lang w:val="en-US"/>
        </w:rPr>
        <w:t>)</w:t>
      </w:r>
      <w:r w:rsidRPr="00590E0A">
        <w:rPr>
          <w:rFonts w:ascii="Times" w:hAnsi="Times"/>
          <w:lang w:val="en-US"/>
        </w:rPr>
        <w:t xml:space="preserve"> </w:t>
      </w:r>
      <w:r w:rsidR="002240C9" w:rsidRPr="00590E0A">
        <w:rPr>
          <w:rFonts w:ascii="Times" w:hAnsi="Times"/>
          <w:lang w:val="en-US"/>
        </w:rPr>
        <w:t xml:space="preserve">has the </w:t>
      </w:r>
      <w:r w:rsidRPr="00590E0A">
        <w:rPr>
          <w:rFonts w:ascii="Times" w:hAnsi="Times"/>
          <w:lang w:val="en-US"/>
        </w:rPr>
        <w:t xml:space="preserve">idea of benefit and detriment, whereby consideration is what contains a value to two promises in a valid contract by both parties being a promisor and a promisee. In terms of purchase and sale, Dunlop v Selfridge </w:t>
      </w:r>
      <w:r w:rsidR="00AB1F2F">
        <w:rPr>
          <w:rFonts w:ascii="Times" w:hAnsi="Times"/>
          <w:lang w:val="en-US"/>
        </w:rPr>
        <w:t>(</w:t>
      </w:r>
      <w:r w:rsidRPr="00590E0A">
        <w:rPr>
          <w:rFonts w:ascii="Times" w:hAnsi="Times"/>
          <w:lang w:val="en-US"/>
        </w:rPr>
        <w:t>1915</w:t>
      </w:r>
      <w:r w:rsidR="00AB1F2F">
        <w:rPr>
          <w:rFonts w:ascii="Times" w:hAnsi="Times"/>
          <w:lang w:val="en-US"/>
        </w:rPr>
        <w:t>)</w:t>
      </w:r>
      <w:r w:rsidRPr="00590E0A">
        <w:rPr>
          <w:rFonts w:ascii="Times" w:hAnsi="Times"/>
          <w:lang w:val="en-US"/>
        </w:rPr>
        <w:t xml:space="preserve">, the claimant must show that he/she has bought the defendant's promise by promising something for return. </w:t>
      </w:r>
    </w:p>
    <w:p w14:paraId="3407332D" w14:textId="77777777" w:rsidR="00010470" w:rsidRPr="00010470" w:rsidRDefault="00010470" w:rsidP="00010470">
      <w:pPr>
        <w:pStyle w:val="ListParagraph"/>
        <w:rPr>
          <w:rFonts w:ascii="Times" w:hAnsi="Times"/>
          <w:lang w:val="en-US"/>
        </w:rPr>
      </w:pPr>
      <w:r w:rsidRPr="00010470">
        <w:rPr>
          <w:rFonts w:ascii="Times" w:hAnsi="Times"/>
          <w:lang w:val="en-US"/>
        </w:rPr>
        <w:t>In terms of parties to contract the exchange in value must be sufficient but not to be adequate (Elliot and Quinn 2011).</w:t>
      </w:r>
    </w:p>
    <w:p w14:paraId="13430E68" w14:textId="77777777" w:rsidR="00010470" w:rsidRPr="00010470" w:rsidRDefault="00010470" w:rsidP="00010470">
      <w:pPr>
        <w:pStyle w:val="ListParagraph"/>
        <w:rPr>
          <w:rFonts w:ascii="Times" w:hAnsi="Times"/>
          <w:lang w:val="en-US"/>
        </w:rPr>
      </w:pPr>
    </w:p>
    <w:p w14:paraId="0E8C6315" w14:textId="258B7A2C" w:rsidR="00010470" w:rsidRPr="00010470" w:rsidRDefault="00010470" w:rsidP="00010470">
      <w:pPr>
        <w:pStyle w:val="ListParagraph"/>
        <w:rPr>
          <w:rFonts w:ascii="Times" w:hAnsi="Times"/>
          <w:lang w:val="en-US"/>
        </w:rPr>
      </w:pPr>
      <w:proofErr w:type="spellStart"/>
      <w:r w:rsidRPr="00010470">
        <w:rPr>
          <w:rFonts w:ascii="Times" w:hAnsi="Times"/>
          <w:lang w:val="en-US"/>
        </w:rPr>
        <w:t>Roscorla</w:t>
      </w:r>
      <w:proofErr w:type="spellEnd"/>
      <w:r w:rsidRPr="00010470">
        <w:rPr>
          <w:rFonts w:ascii="Times" w:hAnsi="Times"/>
          <w:lang w:val="en-US"/>
        </w:rPr>
        <w:t xml:space="preserve"> v Thomas </w:t>
      </w:r>
      <w:r w:rsidR="00AB1F2F">
        <w:rPr>
          <w:rFonts w:ascii="Times" w:hAnsi="Times"/>
          <w:lang w:val="en-US"/>
        </w:rPr>
        <w:t>(</w:t>
      </w:r>
      <w:r w:rsidRPr="00010470">
        <w:rPr>
          <w:rFonts w:ascii="Times" w:hAnsi="Times"/>
          <w:lang w:val="en-US"/>
        </w:rPr>
        <w:t>1842</w:t>
      </w:r>
      <w:r w:rsidR="00AB1F2F">
        <w:rPr>
          <w:rFonts w:ascii="Times" w:hAnsi="Times"/>
          <w:lang w:val="en-US"/>
        </w:rPr>
        <w:t>)</w:t>
      </w:r>
      <w:r w:rsidRPr="00010470">
        <w:rPr>
          <w:rFonts w:ascii="Times" w:hAnsi="Times"/>
          <w:lang w:val="en-US"/>
        </w:rPr>
        <w:t xml:space="preserve"> and Re McArdle</w:t>
      </w:r>
      <w:r w:rsidR="00AB1F2F">
        <w:rPr>
          <w:rFonts w:ascii="Times" w:hAnsi="Times"/>
          <w:lang w:val="en-US"/>
        </w:rPr>
        <w:t xml:space="preserve"> (</w:t>
      </w:r>
      <w:r w:rsidRPr="00010470">
        <w:rPr>
          <w:rFonts w:ascii="Times" w:hAnsi="Times"/>
          <w:lang w:val="en-US"/>
        </w:rPr>
        <w:t>1951</w:t>
      </w:r>
      <w:r w:rsidR="00AB1F2F">
        <w:rPr>
          <w:rFonts w:ascii="Times" w:hAnsi="Times"/>
          <w:lang w:val="en-US"/>
        </w:rPr>
        <w:t>)</w:t>
      </w:r>
      <w:r w:rsidRPr="00010470">
        <w:rPr>
          <w:rFonts w:ascii="Times" w:hAnsi="Times"/>
          <w:lang w:val="en-US"/>
        </w:rPr>
        <w:t xml:space="preserve"> both illustrates why past consideration doesn't amount to good consideration, without a prior agreement between two people a valid consideration doesn't exist therefore, there wouldn’t be any obligation between the two people. Thus, past consideration does</w:t>
      </w:r>
      <w:r>
        <w:rPr>
          <w:rFonts w:ascii="Times" w:hAnsi="Times"/>
          <w:lang w:val="en-US"/>
        </w:rPr>
        <w:t>n’</w:t>
      </w:r>
      <w:r w:rsidRPr="00010470">
        <w:rPr>
          <w:rFonts w:ascii="Times" w:hAnsi="Times"/>
          <w:lang w:val="en-US"/>
        </w:rPr>
        <w:t>t benefit the promisor or promisee</w:t>
      </w:r>
      <w:r>
        <w:rPr>
          <w:rFonts w:ascii="Times" w:hAnsi="Times"/>
          <w:lang w:val="en-US"/>
        </w:rPr>
        <w:t xml:space="preserve"> which</w:t>
      </w:r>
      <w:r w:rsidRPr="00010470">
        <w:rPr>
          <w:rFonts w:ascii="Times" w:hAnsi="Times"/>
          <w:lang w:val="en-US"/>
        </w:rPr>
        <w:t xml:space="preserve"> therefore is the opposite of the meaning of a consideration. </w:t>
      </w:r>
    </w:p>
    <w:p w14:paraId="3AC1D20E" w14:textId="77777777" w:rsidR="00010470" w:rsidRPr="00010470" w:rsidRDefault="00010470" w:rsidP="00010470">
      <w:pPr>
        <w:pStyle w:val="ListParagraph"/>
        <w:rPr>
          <w:rFonts w:ascii="Times" w:hAnsi="Times"/>
          <w:lang w:val="en-US"/>
        </w:rPr>
      </w:pPr>
    </w:p>
    <w:p w14:paraId="27946947" w14:textId="65743C84" w:rsidR="000B7C4F" w:rsidRPr="00483827" w:rsidRDefault="00010470" w:rsidP="00483827">
      <w:pPr>
        <w:pStyle w:val="ListParagraph"/>
        <w:rPr>
          <w:rFonts w:ascii="Times" w:hAnsi="Times" w:cs="Arial"/>
        </w:rPr>
      </w:pPr>
      <w:r w:rsidRPr="00010470">
        <w:rPr>
          <w:rFonts w:ascii="Times" w:hAnsi="Times"/>
          <w:lang w:val="en-US"/>
        </w:rPr>
        <w:t xml:space="preserve">However, Elliott and Quinn (2011), states two major exceptions to the past consideration. </w:t>
      </w:r>
      <w:proofErr w:type="spellStart"/>
      <w:r w:rsidRPr="00010470">
        <w:rPr>
          <w:rFonts w:ascii="Times" w:hAnsi="Times"/>
          <w:lang w:val="en-US"/>
        </w:rPr>
        <w:t>Lampleigh</w:t>
      </w:r>
      <w:proofErr w:type="spellEnd"/>
      <w:r w:rsidRPr="00010470">
        <w:rPr>
          <w:rFonts w:ascii="Times" w:hAnsi="Times"/>
          <w:lang w:val="en-US"/>
        </w:rPr>
        <w:t xml:space="preserve"> v Brathwait </w:t>
      </w:r>
      <w:r w:rsidR="00922057">
        <w:rPr>
          <w:rFonts w:ascii="Times" w:hAnsi="Times"/>
          <w:lang w:val="en-US"/>
        </w:rPr>
        <w:t>(</w:t>
      </w:r>
      <w:r w:rsidRPr="00010470">
        <w:rPr>
          <w:rFonts w:ascii="Times" w:hAnsi="Times"/>
          <w:lang w:val="en-US"/>
        </w:rPr>
        <w:t>1615</w:t>
      </w:r>
      <w:r w:rsidR="00922057">
        <w:rPr>
          <w:rFonts w:ascii="Times" w:hAnsi="Times"/>
          <w:lang w:val="en-US"/>
        </w:rPr>
        <w:t>)</w:t>
      </w:r>
      <w:r w:rsidRPr="00010470">
        <w:rPr>
          <w:rFonts w:ascii="Times" w:hAnsi="Times"/>
          <w:lang w:val="en-US"/>
        </w:rPr>
        <w:t xml:space="preserve"> and under s. 27 of the Bills of Exchange Act 1882 “antecedent debt or liability</w:t>
      </w:r>
      <w:r w:rsidR="00590E0A">
        <w:rPr>
          <w:rFonts w:ascii="Times" w:hAnsi="Times"/>
          <w:lang w:val="en-US"/>
        </w:rPr>
        <w:t>”</w:t>
      </w:r>
      <w:r w:rsidRPr="00010470">
        <w:rPr>
          <w:rFonts w:ascii="Times" w:hAnsi="Times"/>
          <w:lang w:val="en-US"/>
        </w:rPr>
        <w:t xml:space="preserve">. Pao On v Lau </w:t>
      </w:r>
      <w:proofErr w:type="spellStart"/>
      <w:r w:rsidRPr="00010470">
        <w:rPr>
          <w:rFonts w:ascii="Times" w:hAnsi="Times"/>
          <w:lang w:val="en-US"/>
        </w:rPr>
        <w:t>Yiu</w:t>
      </w:r>
      <w:proofErr w:type="spellEnd"/>
      <w:r w:rsidRPr="00010470">
        <w:rPr>
          <w:rFonts w:ascii="Times" w:hAnsi="Times"/>
          <w:lang w:val="en-US"/>
        </w:rPr>
        <w:t xml:space="preserve"> Long </w:t>
      </w:r>
      <w:r w:rsidR="00922057">
        <w:rPr>
          <w:rFonts w:ascii="Times" w:hAnsi="Times"/>
          <w:lang w:val="en-US"/>
        </w:rPr>
        <w:t>(</w:t>
      </w:r>
      <w:r w:rsidRPr="00010470">
        <w:rPr>
          <w:rFonts w:ascii="Times" w:hAnsi="Times"/>
          <w:lang w:val="en-US"/>
        </w:rPr>
        <w:t>1980</w:t>
      </w:r>
      <w:r w:rsidR="00922057">
        <w:rPr>
          <w:rFonts w:ascii="Times" w:hAnsi="Times"/>
          <w:lang w:val="en-US"/>
        </w:rPr>
        <w:t>)</w:t>
      </w:r>
      <w:r w:rsidRPr="00010470">
        <w:rPr>
          <w:rFonts w:ascii="Times" w:hAnsi="Times"/>
          <w:lang w:val="en-US"/>
        </w:rPr>
        <w:t xml:space="preserve"> confirmed the principle where the act was performed at a request of a party, it was understood that some reward could be expected, and the later payment promise, or other benefit received, </w:t>
      </w:r>
      <w:r w:rsidR="002240C9">
        <w:rPr>
          <w:rFonts w:ascii="Times" w:hAnsi="Times"/>
          <w:lang w:val="en-US"/>
        </w:rPr>
        <w:t xml:space="preserve">would be lawful. </w:t>
      </w:r>
    </w:p>
    <w:p w14:paraId="6023D838" w14:textId="0F821B2A" w:rsidR="00B73ACD" w:rsidRPr="00483827" w:rsidRDefault="00B73ACD" w:rsidP="00483827">
      <w:pPr>
        <w:rPr>
          <w:rFonts w:ascii="Times" w:hAnsi="Times"/>
          <w:lang w:val="en-US"/>
        </w:rPr>
      </w:pPr>
    </w:p>
    <w:p w14:paraId="1F4C2DC2" w14:textId="4F38E8EF" w:rsidR="00263859" w:rsidRPr="00263859" w:rsidRDefault="00263859" w:rsidP="00263859">
      <w:pPr>
        <w:pStyle w:val="ListParagraph"/>
        <w:numPr>
          <w:ilvl w:val="0"/>
          <w:numId w:val="6"/>
        </w:numPr>
        <w:rPr>
          <w:rFonts w:ascii="Times" w:hAnsi="Times"/>
          <w:lang w:val="en-US"/>
        </w:rPr>
      </w:pPr>
      <w:r w:rsidRPr="00263859">
        <w:rPr>
          <w:rFonts w:ascii="Times" w:hAnsi="Times"/>
          <w:lang w:val="en-US"/>
        </w:rPr>
        <w:t xml:space="preserve">The entire performance rule is that performance must match its requirement written in the contract and if either of the parties fails to perform an entire obligation, the other party isn’t obliged to perform any act of pay (Poole, 2016). Cutter v Powell (1795) is shown to cause injustice where the court required the entire performance. The three exceptions to the entire performance rule from Cutter v Powell (1795) are substantial performance, severable contracts, and breach of terms concerning time. </w:t>
      </w:r>
    </w:p>
    <w:p w14:paraId="48842027" w14:textId="77777777" w:rsidR="00263859" w:rsidRPr="00263859" w:rsidRDefault="00263859" w:rsidP="00263859">
      <w:pPr>
        <w:rPr>
          <w:rFonts w:ascii="Times" w:hAnsi="Times"/>
          <w:lang w:val="en-US"/>
        </w:rPr>
      </w:pPr>
    </w:p>
    <w:p w14:paraId="0FD2463F" w14:textId="747863C1" w:rsidR="00263859" w:rsidRPr="00263859" w:rsidRDefault="00263859" w:rsidP="00263859">
      <w:pPr>
        <w:pStyle w:val="ListParagraph"/>
        <w:rPr>
          <w:rFonts w:ascii="Times" w:hAnsi="Times"/>
          <w:lang w:val="en-US"/>
        </w:rPr>
      </w:pPr>
      <w:r w:rsidRPr="00263859">
        <w:rPr>
          <w:rFonts w:ascii="Times" w:hAnsi="Times"/>
          <w:lang w:val="en-US"/>
        </w:rPr>
        <w:t xml:space="preserve">Substantial performance doctrine avoids the entire performance rule as seen in Boone v Eyre (1779) to prevent the non-breaching party from treating the contract as repudiated. Hoenig v Isaacs (1952) and Bolton v Mahadeva (1972) both illustrate that one of the parties can assert substantial performance when a slight or minor deficiency occurs under the contract and did not constitute a material breach which generally applies to contract involved with construction, building, and property (Poole, 2016). </w:t>
      </w:r>
    </w:p>
    <w:p w14:paraId="10DD9CB5" w14:textId="77777777" w:rsidR="00263859" w:rsidRPr="00263859" w:rsidRDefault="00263859" w:rsidP="00263859">
      <w:pPr>
        <w:rPr>
          <w:rFonts w:ascii="Times" w:hAnsi="Times"/>
          <w:lang w:val="en-US"/>
        </w:rPr>
      </w:pPr>
      <w:r w:rsidRPr="00263859">
        <w:rPr>
          <w:rFonts w:ascii="Times" w:hAnsi="Times"/>
          <w:lang w:val="en-US"/>
        </w:rPr>
        <w:t xml:space="preserve"> </w:t>
      </w:r>
    </w:p>
    <w:p w14:paraId="20D1799D" w14:textId="77777777" w:rsidR="00263859" w:rsidRPr="00263859" w:rsidRDefault="00263859" w:rsidP="00263859">
      <w:pPr>
        <w:rPr>
          <w:rFonts w:ascii="Times" w:hAnsi="Times"/>
          <w:lang w:val="en-US"/>
        </w:rPr>
      </w:pPr>
    </w:p>
    <w:p w14:paraId="1F3335CF" w14:textId="77777777" w:rsidR="00263859" w:rsidRPr="00263859" w:rsidRDefault="00263859" w:rsidP="00263859">
      <w:pPr>
        <w:rPr>
          <w:rFonts w:ascii="Times" w:hAnsi="Times"/>
          <w:lang w:val="en-US"/>
        </w:rPr>
      </w:pPr>
    </w:p>
    <w:p w14:paraId="0AA3FB67" w14:textId="77777777" w:rsidR="00263859" w:rsidRPr="00263859" w:rsidRDefault="00263859" w:rsidP="00263859">
      <w:pPr>
        <w:rPr>
          <w:rFonts w:ascii="Times" w:hAnsi="Times"/>
          <w:lang w:val="en-US"/>
        </w:rPr>
      </w:pPr>
    </w:p>
    <w:p w14:paraId="4FF0508B" w14:textId="71B86B9E" w:rsidR="00263859" w:rsidRPr="00263859" w:rsidRDefault="00263859" w:rsidP="00263859">
      <w:pPr>
        <w:pStyle w:val="ListParagraph"/>
        <w:rPr>
          <w:rFonts w:ascii="Times" w:hAnsi="Times"/>
          <w:lang w:val="en-US"/>
        </w:rPr>
      </w:pPr>
      <w:r w:rsidRPr="00263859">
        <w:rPr>
          <w:rFonts w:ascii="Times" w:hAnsi="Times"/>
          <w:lang w:val="en-US"/>
        </w:rPr>
        <w:lastRenderedPageBreak/>
        <w:t xml:space="preserve">Severable contracts generally contain a severability clause where it allows certain aspects of the contract to be severed without affecting the entirety or breaching the contract in whole (Elliott and Quinn, 2011) (Poole, 2016). </w:t>
      </w:r>
    </w:p>
    <w:p w14:paraId="514ED231" w14:textId="1D4588E0" w:rsidR="00263859" w:rsidRPr="00263859" w:rsidRDefault="00263859" w:rsidP="00263859">
      <w:pPr>
        <w:pStyle w:val="ListParagraph"/>
        <w:rPr>
          <w:rFonts w:ascii="Times" w:hAnsi="Times"/>
          <w:lang w:val="en-US"/>
        </w:rPr>
      </w:pPr>
      <w:r w:rsidRPr="00263859">
        <w:rPr>
          <w:rFonts w:ascii="Times" w:hAnsi="Times"/>
          <w:lang w:val="en-US"/>
        </w:rPr>
        <w:t xml:space="preserve">Ritchie v Atkinson (1808) explains that a contract can be divided into severable parts as the parties agreed upon in an existing entire contract. </w:t>
      </w:r>
    </w:p>
    <w:p w14:paraId="57E278A4" w14:textId="77777777" w:rsidR="00263859" w:rsidRPr="00263859" w:rsidRDefault="00263859" w:rsidP="00263859">
      <w:pPr>
        <w:rPr>
          <w:rFonts w:ascii="Times" w:hAnsi="Times"/>
          <w:lang w:val="en-US"/>
        </w:rPr>
      </w:pPr>
    </w:p>
    <w:p w14:paraId="263B196D" w14:textId="10C73F90" w:rsidR="00263859" w:rsidRPr="00263859" w:rsidRDefault="00263859" w:rsidP="00263859">
      <w:pPr>
        <w:pStyle w:val="ListParagraph"/>
        <w:rPr>
          <w:rFonts w:ascii="Times" w:hAnsi="Times"/>
          <w:lang w:val="en-US"/>
        </w:rPr>
      </w:pPr>
      <w:r w:rsidRPr="00263859">
        <w:rPr>
          <w:rFonts w:ascii="Times" w:hAnsi="Times"/>
          <w:lang w:val="en-US"/>
        </w:rPr>
        <w:t xml:space="preserve">Breach of terms concerning time is explained in three situations. Firstly, parties may state one in which time is of the essence in their agreement as of in Union Eagle Limited v Golden Achievement Limited (1997). </w:t>
      </w:r>
    </w:p>
    <w:p w14:paraId="444B2903" w14:textId="52EFC332" w:rsidR="00263859" w:rsidRPr="00263859" w:rsidRDefault="00263859" w:rsidP="00263859">
      <w:pPr>
        <w:pStyle w:val="ListParagraph"/>
        <w:rPr>
          <w:rFonts w:ascii="Times" w:hAnsi="Times"/>
          <w:lang w:val="en-US"/>
        </w:rPr>
      </w:pPr>
      <w:r w:rsidRPr="00263859">
        <w:rPr>
          <w:rFonts w:ascii="Times" w:hAnsi="Times"/>
          <w:lang w:val="en-US"/>
        </w:rPr>
        <w:t xml:space="preserve">Second, s.41 The Law of Property Act 1925 states that time is not of the essence in contracts for the sale of land and this breach also applies to the goods that quickly loses their values or the price that fluctuates rapidly. </w:t>
      </w:r>
    </w:p>
    <w:p w14:paraId="73527AE3" w14:textId="05CC8C05" w:rsidR="0008253B" w:rsidRPr="00263859" w:rsidRDefault="00263859" w:rsidP="00263859">
      <w:pPr>
        <w:pStyle w:val="ListParagraph"/>
        <w:rPr>
          <w:rFonts w:ascii="Times" w:hAnsi="Times"/>
          <w:lang w:val="en-US"/>
        </w:rPr>
      </w:pPr>
      <w:r w:rsidRPr="00263859">
        <w:rPr>
          <w:rFonts w:ascii="Times" w:hAnsi="Times"/>
          <w:lang w:val="en-US"/>
        </w:rPr>
        <w:t>Third, Charles Ltd v Oppenheimer (1950) where a contract originally didn't involve the time of the essence however, a delay in performance allowed the contracting party to give a time limit. Without a specified time for the performance, the performance usually must take place within an appropriate time limit.</w:t>
      </w:r>
    </w:p>
    <w:p w14:paraId="0E3D6DC4" w14:textId="77777777" w:rsidR="00A75940" w:rsidRPr="00D019FA" w:rsidRDefault="00A75940" w:rsidP="00D019FA">
      <w:pPr>
        <w:rPr>
          <w:rFonts w:ascii="Times" w:hAnsi="Times"/>
          <w:lang w:val="en-US"/>
        </w:rPr>
      </w:pPr>
    </w:p>
    <w:p w14:paraId="6FA677DC" w14:textId="3AD1C4B8" w:rsidR="00263859" w:rsidRPr="00263859" w:rsidRDefault="00263859" w:rsidP="00263859">
      <w:pPr>
        <w:pStyle w:val="ListParagraph"/>
        <w:numPr>
          <w:ilvl w:val="0"/>
          <w:numId w:val="6"/>
        </w:numPr>
        <w:rPr>
          <w:rFonts w:ascii="Times" w:hAnsi="Times"/>
          <w:lang w:val="en-US"/>
        </w:rPr>
      </w:pPr>
      <w:r w:rsidRPr="00263859">
        <w:rPr>
          <w:rFonts w:ascii="Times" w:hAnsi="Times"/>
          <w:lang w:val="en-US"/>
        </w:rPr>
        <w:t xml:space="preserve">Elliott and Quinn (2011) explain for a contract to be valid, an </w:t>
      </w:r>
      <w:proofErr w:type="gramStart"/>
      <w:r w:rsidRPr="00263859">
        <w:rPr>
          <w:rFonts w:ascii="Times" w:hAnsi="Times"/>
          <w:lang w:val="en-US"/>
        </w:rPr>
        <w:t xml:space="preserve">agreement, </w:t>
      </w:r>
      <w:r w:rsidRPr="00263859">
        <w:rPr>
          <w:rFonts w:ascii="Times" w:hAnsi="Times"/>
          <w:lang w:val="en-US"/>
        </w:rPr>
        <w:t xml:space="preserve"> </w:t>
      </w:r>
      <w:r w:rsidRPr="00263859">
        <w:rPr>
          <w:rFonts w:ascii="Times" w:hAnsi="Times"/>
          <w:lang w:val="en-US"/>
        </w:rPr>
        <w:t>consideration</w:t>
      </w:r>
      <w:proofErr w:type="gramEnd"/>
      <w:r w:rsidRPr="00263859">
        <w:rPr>
          <w:rFonts w:ascii="Times" w:hAnsi="Times"/>
          <w:lang w:val="en-US"/>
        </w:rPr>
        <w:t xml:space="preserve">, and an intention to create legal relations must exist and therefore all parties are legally bound to perform under the contract. Morawetz (1925) and Marson &amp; Ferris (2018) also supports that the essential feature of a valid contract puts particular importance on the elements of a contract. </w:t>
      </w:r>
    </w:p>
    <w:p w14:paraId="60511E4B" w14:textId="77777777" w:rsidR="00263859" w:rsidRPr="00263859" w:rsidRDefault="00263859" w:rsidP="00263859">
      <w:pPr>
        <w:ind w:left="720"/>
        <w:rPr>
          <w:rFonts w:ascii="Times" w:hAnsi="Times"/>
          <w:lang w:val="en-US"/>
        </w:rPr>
      </w:pPr>
      <w:r w:rsidRPr="00263859">
        <w:rPr>
          <w:rFonts w:ascii="Times" w:hAnsi="Times"/>
          <w:lang w:val="en-US"/>
        </w:rPr>
        <w:t xml:space="preserve">Historically the courts have often referred to a legal doctrine in relation to a contract formed on a basis of a subjective approach, however, the objective approach has been in use by looking for evidence of an offer and acceptance of that offer (Poole, 2016). </w:t>
      </w:r>
    </w:p>
    <w:p w14:paraId="23040854" w14:textId="77777777" w:rsidR="00263859" w:rsidRPr="00263859" w:rsidRDefault="00263859" w:rsidP="00263859">
      <w:pPr>
        <w:ind w:left="720"/>
        <w:rPr>
          <w:rFonts w:ascii="Times" w:hAnsi="Times"/>
          <w:lang w:val="en-US"/>
        </w:rPr>
      </w:pPr>
      <w:r w:rsidRPr="00263859">
        <w:rPr>
          <w:rFonts w:ascii="Times" w:hAnsi="Times"/>
          <w:lang w:val="en-US"/>
        </w:rPr>
        <w:t xml:space="preserve">In Smith v Hughes (1871) the usage of the objective test was to determine whether the existing parties had a valid offer or an agreement, the judge then ruled that importance is in how a reasonable person would view the situation. </w:t>
      </w:r>
    </w:p>
    <w:p w14:paraId="6CC03343" w14:textId="77777777" w:rsidR="00263859" w:rsidRPr="00263859" w:rsidRDefault="00263859" w:rsidP="00263859">
      <w:pPr>
        <w:ind w:left="720"/>
        <w:rPr>
          <w:rFonts w:ascii="Times" w:hAnsi="Times"/>
          <w:lang w:val="en-US"/>
        </w:rPr>
      </w:pPr>
    </w:p>
    <w:p w14:paraId="247B8CC0" w14:textId="77777777" w:rsidR="00263859" w:rsidRPr="00263859" w:rsidRDefault="00263859" w:rsidP="00263859">
      <w:pPr>
        <w:ind w:left="720"/>
        <w:rPr>
          <w:rFonts w:ascii="Times" w:hAnsi="Times"/>
          <w:lang w:val="en-US"/>
        </w:rPr>
      </w:pPr>
      <w:r w:rsidRPr="00263859">
        <w:rPr>
          <w:rFonts w:ascii="Times" w:hAnsi="Times"/>
          <w:lang w:val="en-US"/>
        </w:rPr>
        <w:t xml:space="preserve">On the 1st of May, Arthur posted an advert in the ‘Antique-tickers’ magazine, “Antique Rolex Watch for Sale, open to serious offers, price: 15,000” including his contact details along with postal and email address. Gibson v Manchester City Council (1979) made clear that negotiations between parties to enter a contract can amount to an invitation to treat but not an offer. </w:t>
      </w:r>
    </w:p>
    <w:p w14:paraId="32D35B85" w14:textId="77777777" w:rsidR="00263859" w:rsidRPr="00263859" w:rsidRDefault="00263859" w:rsidP="00263859">
      <w:pPr>
        <w:ind w:left="720"/>
        <w:rPr>
          <w:rFonts w:ascii="Times" w:hAnsi="Times"/>
          <w:lang w:val="en-US"/>
        </w:rPr>
      </w:pPr>
      <w:r w:rsidRPr="00263859">
        <w:rPr>
          <w:rFonts w:ascii="Times" w:hAnsi="Times"/>
          <w:lang w:val="en-US"/>
        </w:rPr>
        <w:t xml:space="preserve">Per Partridge v Crittenden (1968) advertisement is an invitation to treat where it is distinguished from an offer by advertisement, displays in show windows, and requests for bids at an auction or tenders. However, Carlill v Carbolic Smoke Ball Co (1892) is one of the exceptions when a reward is offered for the performance of the act and Lefkowitz v Great Minneapolis Surplus Store (1957) suggests that a party wishes to be bound by the wording of the advertisement. </w:t>
      </w:r>
    </w:p>
    <w:p w14:paraId="716AD8E0" w14:textId="77777777" w:rsidR="00263859" w:rsidRPr="00263859" w:rsidRDefault="00263859" w:rsidP="00263859">
      <w:pPr>
        <w:ind w:left="720"/>
        <w:rPr>
          <w:rFonts w:ascii="Times" w:hAnsi="Times"/>
          <w:lang w:val="en-US"/>
        </w:rPr>
      </w:pPr>
      <w:r w:rsidRPr="00263859">
        <w:rPr>
          <w:rFonts w:ascii="Times" w:hAnsi="Times"/>
          <w:lang w:val="en-US"/>
        </w:rPr>
        <w:t xml:space="preserve">Whereas in this case, Arthur’s advert may be bilateral according to Poole (2016) is where both or the existing parties have obligations whereas unilateral contract results from a unilateral offer with the word “IF” you act or perform, then the party would promise to act in return, hence if a person is interested, they must identify themselves and make a promise or offer. </w:t>
      </w:r>
    </w:p>
    <w:p w14:paraId="2B0F083B" w14:textId="77777777" w:rsidR="00263859" w:rsidRPr="00263859" w:rsidRDefault="00263859" w:rsidP="00263859">
      <w:pPr>
        <w:ind w:left="720"/>
        <w:rPr>
          <w:rFonts w:ascii="Times" w:hAnsi="Times"/>
          <w:lang w:val="en-US"/>
        </w:rPr>
      </w:pPr>
    </w:p>
    <w:p w14:paraId="7ABB86D6" w14:textId="77777777" w:rsidR="00263859" w:rsidRPr="00263859" w:rsidRDefault="00263859" w:rsidP="00263859">
      <w:pPr>
        <w:ind w:left="720"/>
        <w:rPr>
          <w:rFonts w:ascii="Times" w:hAnsi="Times"/>
          <w:lang w:val="en-US"/>
        </w:rPr>
      </w:pPr>
      <w:r w:rsidRPr="00263859">
        <w:rPr>
          <w:rFonts w:ascii="Times" w:hAnsi="Times"/>
          <w:lang w:val="en-US"/>
        </w:rPr>
        <w:t xml:space="preserve">The advert also leaves a place for negotiation offer and counteroffer and mentions its contact details which later can be used to communicate on which the offeror is prepared to contract. A leading case of why acceptance must be communicated is </w:t>
      </w:r>
      <w:r w:rsidRPr="00263859">
        <w:rPr>
          <w:rFonts w:ascii="Times" w:hAnsi="Times"/>
          <w:lang w:val="en-US"/>
        </w:rPr>
        <w:lastRenderedPageBreak/>
        <w:t xml:space="preserve">Entores Ltd v Miles Far East Corporation (1955) where oftentimes difficulties arise when parties communicate in distance. In this scenario through post and email. </w:t>
      </w:r>
    </w:p>
    <w:p w14:paraId="05501501" w14:textId="2A2CB5AC" w:rsidR="00BD10DD" w:rsidRDefault="00263859" w:rsidP="00263859">
      <w:pPr>
        <w:ind w:left="720"/>
        <w:rPr>
          <w:rFonts w:ascii="Times" w:hAnsi="Times"/>
          <w:lang w:val="en-US"/>
        </w:rPr>
      </w:pPr>
      <w:r w:rsidRPr="00263859">
        <w:rPr>
          <w:rFonts w:ascii="Times" w:hAnsi="Times"/>
          <w:lang w:val="en-US"/>
        </w:rPr>
        <w:t>Hence from the advert of Arthur, it is considered as an invitation to treat.</w:t>
      </w:r>
    </w:p>
    <w:p w14:paraId="10424DD9" w14:textId="77777777" w:rsidR="00263859" w:rsidRPr="00E47E99" w:rsidRDefault="00263859" w:rsidP="00AB1F2F">
      <w:pPr>
        <w:ind w:left="1440"/>
        <w:rPr>
          <w:rFonts w:ascii="Times" w:hAnsi="Times"/>
          <w:lang w:val="en-US"/>
        </w:rPr>
      </w:pPr>
    </w:p>
    <w:p w14:paraId="2EBD24CF" w14:textId="77777777" w:rsidR="00AB1F2F" w:rsidRPr="00AB1F2F" w:rsidRDefault="00AB1F2F" w:rsidP="00AB1F2F">
      <w:pPr>
        <w:ind w:left="720"/>
        <w:rPr>
          <w:rFonts w:ascii="Times" w:hAnsi="Times"/>
          <w:lang w:val="en-US"/>
        </w:rPr>
      </w:pPr>
      <w:r w:rsidRPr="00AB1F2F">
        <w:rPr>
          <w:rFonts w:ascii="Times" w:hAnsi="Times"/>
          <w:lang w:val="en-US"/>
        </w:rPr>
        <w:t xml:space="preserve">Andrews (2011) described offer as a willingness to contract on certain terms usually made for an intention to become legally binding as it is accepted by the person to whom it is addressed or the person to whom the offer is made (Elliott and Quinn, 2011), the offeree. In </w:t>
      </w:r>
      <w:proofErr w:type="spellStart"/>
      <w:r w:rsidRPr="00AB1F2F">
        <w:rPr>
          <w:rFonts w:ascii="Times" w:hAnsi="Times"/>
          <w:lang w:val="en-US"/>
        </w:rPr>
        <w:t>Nicoline</w:t>
      </w:r>
      <w:proofErr w:type="spellEnd"/>
      <w:r w:rsidRPr="00AB1F2F">
        <w:rPr>
          <w:rFonts w:ascii="Times" w:hAnsi="Times"/>
          <w:lang w:val="en-US"/>
        </w:rPr>
        <w:t xml:space="preserve"> v Simmonds (1953) were claimed by the court that the terms of an offer must be sufficiently certain, and the words were uncertain because there were no usual conditions.</w:t>
      </w:r>
    </w:p>
    <w:p w14:paraId="2939D871" w14:textId="77777777" w:rsidR="00AB1F2F" w:rsidRPr="00AB1F2F" w:rsidRDefault="00AB1F2F" w:rsidP="00AB1F2F">
      <w:pPr>
        <w:ind w:left="720"/>
        <w:rPr>
          <w:rFonts w:ascii="Times" w:hAnsi="Times"/>
          <w:lang w:val="en-US"/>
        </w:rPr>
      </w:pPr>
      <w:r w:rsidRPr="00AB1F2F">
        <w:rPr>
          <w:rFonts w:ascii="Times" w:hAnsi="Times"/>
          <w:lang w:val="en-US"/>
        </w:rPr>
        <w:t xml:space="preserve">Ben sent a letter on the 4th of May with an offer of buying the watch for 15,000. </w:t>
      </w:r>
    </w:p>
    <w:p w14:paraId="2B312638" w14:textId="77777777" w:rsidR="00AB1F2F" w:rsidRPr="00AB1F2F" w:rsidRDefault="00AB1F2F" w:rsidP="00AB1F2F">
      <w:pPr>
        <w:ind w:left="720"/>
        <w:rPr>
          <w:rFonts w:ascii="Times" w:hAnsi="Times"/>
          <w:lang w:val="en-US"/>
        </w:rPr>
      </w:pPr>
      <w:r w:rsidRPr="00AB1F2F">
        <w:rPr>
          <w:rFonts w:ascii="Times" w:hAnsi="Times"/>
          <w:lang w:val="en-US"/>
        </w:rPr>
        <w:t xml:space="preserve">Although the postal rule deems that acceptances by post take effect when they are posted, rather than the time of communication (Elliott and Quinn, 2011) similarly to the case of Adams v Lindsell (1818), the advert of Arthur is an invitation to treat and not an offer. As the general rule as silence cannot amount to acceptance in the case of </w:t>
      </w:r>
      <w:proofErr w:type="spellStart"/>
      <w:r w:rsidRPr="00AB1F2F">
        <w:rPr>
          <w:rFonts w:ascii="Times" w:hAnsi="Times"/>
          <w:lang w:val="en-US"/>
        </w:rPr>
        <w:t>Felthouse</w:t>
      </w:r>
      <w:proofErr w:type="spellEnd"/>
      <w:r w:rsidRPr="00AB1F2F">
        <w:rPr>
          <w:rFonts w:ascii="Times" w:hAnsi="Times"/>
          <w:lang w:val="en-US"/>
        </w:rPr>
        <w:t xml:space="preserve"> v Bindley (1862) rules that one cannot impose any obligation on the other to rejects one’s offer. </w:t>
      </w:r>
    </w:p>
    <w:p w14:paraId="1793EA8B" w14:textId="77777777" w:rsidR="00AB1F2F" w:rsidRPr="00AB1F2F" w:rsidRDefault="00AB1F2F" w:rsidP="00AB1F2F">
      <w:pPr>
        <w:ind w:left="720"/>
        <w:rPr>
          <w:rFonts w:ascii="Times" w:hAnsi="Times"/>
          <w:lang w:val="en-US"/>
        </w:rPr>
      </w:pPr>
    </w:p>
    <w:p w14:paraId="209992D1" w14:textId="77777777" w:rsidR="00AB1F2F" w:rsidRPr="00AB1F2F" w:rsidRDefault="00AB1F2F" w:rsidP="00AB1F2F">
      <w:pPr>
        <w:ind w:left="720"/>
        <w:rPr>
          <w:rFonts w:ascii="Times" w:hAnsi="Times"/>
          <w:lang w:val="en-US"/>
        </w:rPr>
      </w:pPr>
      <w:r w:rsidRPr="00AB1F2F">
        <w:rPr>
          <w:rFonts w:ascii="Times" w:hAnsi="Times"/>
          <w:lang w:val="en-US"/>
        </w:rPr>
        <w:t xml:space="preserve">Acceptance by Andrew (2011) can be understood as the final agreement of the offeree to enter a legally binding contract with the offeror with a plain and unconditional assent to the terms of an offer. On May 5th Christine wrote an email to Arthur stating “if the watch was still for sale and he would accept 11,000 for the watch. </w:t>
      </w:r>
    </w:p>
    <w:p w14:paraId="3EA217DE" w14:textId="77777777" w:rsidR="00AB1F2F" w:rsidRPr="00AB1F2F" w:rsidRDefault="00AB1F2F" w:rsidP="00AB1F2F">
      <w:pPr>
        <w:ind w:left="720"/>
        <w:rPr>
          <w:rFonts w:ascii="Times" w:hAnsi="Times"/>
          <w:lang w:val="en-US"/>
        </w:rPr>
      </w:pPr>
      <w:r w:rsidRPr="00AB1F2F">
        <w:rPr>
          <w:rFonts w:ascii="Times" w:hAnsi="Times"/>
          <w:lang w:val="en-US"/>
        </w:rPr>
        <w:t xml:space="preserve">The following is one of three examples of how a contract can be made (Elliott and Quinn, 2011, p.28) with an invitation to treat from Arthur, Christine is now offering 11,000 for the watch. </w:t>
      </w:r>
    </w:p>
    <w:p w14:paraId="6B7A8579" w14:textId="77777777" w:rsidR="00AB1F2F" w:rsidRPr="00AB1F2F" w:rsidRDefault="00AB1F2F" w:rsidP="00AB1F2F">
      <w:pPr>
        <w:ind w:left="720"/>
        <w:rPr>
          <w:rFonts w:ascii="Times" w:hAnsi="Times"/>
          <w:lang w:val="en-US"/>
        </w:rPr>
      </w:pPr>
    </w:p>
    <w:p w14:paraId="565F6D64" w14:textId="77777777" w:rsidR="00AB1F2F" w:rsidRPr="00AB1F2F" w:rsidRDefault="00AB1F2F" w:rsidP="00AB1F2F">
      <w:pPr>
        <w:ind w:left="720"/>
        <w:rPr>
          <w:rFonts w:ascii="Times" w:hAnsi="Times"/>
          <w:lang w:val="en-US"/>
        </w:rPr>
      </w:pPr>
      <w:r w:rsidRPr="00AB1F2F">
        <w:rPr>
          <w:rFonts w:ascii="Times" w:hAnsi="Times"/>
          <w:lang w:val="en-US"/>
        </w:rPr>
        <w:t xml:space="preserve">On the same day, Arthur replied to Christine's offer by stating a counteroffer as “the watch is still for sale, and he would accept 13,000 for it”.  In the initial offer made by Christine, according to the case of Hyde v Wrench (1840), a counteroffer terminates the original offer, the court held that there was no acceptance as the counteroffer destroyed the original offer. This means the authority of the counteroffer exposes a strong argument that Christine’s email will be regarded as an invalid acceptance. </w:t>
      </w:r>
    </w:p>
    <w:p w14:paraId="25F467AD" w14:textId="77777777" w:rsidR="00AB1F2F" w:rsidRPr="00AB1F2F" w:rsidRDefault="00AB1F2F" w:rsidP="00AB1F2F">
      <w:pPr>
        <w:ind w:left="720"/>
        <w:rPr>
          <w:rFonts w:ascii="Times" w:hAnsi="Times"/>
          <w:lang w:val="en-US"/>
        </w:rPr>
      </w:pPr>
      <w:r w:rsidRPr="00AB1F2F">
        <w:rPr>
          <w:rFonts w:ascii="Times" w:hAnsi="Times"/>
          <w:lang w:val="en-US"/>
        </w:rPr>
        <w:t xml:space="preserve">Following this, Christine then responded to the email stating “she would be able to pay 11,000 now and 2,000 at the end of the month when she got paid”. </w:t>
      </w:r>
    </w:p>
    <w:p w14:paraId="2C3A233A" w14:textId="77777777" w:rsidR="00AB1F2F" w:rsidRPr="00AB1F2F" w:rsidRDefault="00AB1F2F" w:rsidP="00AB1F2F">
      <w:pPr>
        <w:ind w:left="720"/>
        <w:rPr>
          <w:rFonts w:ascii="Times" w:hAnsi="Times"/>
          <w:lang w:val="en-US"/>
        </w:rPr>
      </w:pPr>
      <w:r w:rsidRPr="00AB1F2F">
        <w:rPr>
          <w:rFonts w:ascii="Times" w:hAnsi="Times"/>
          <w:lang w:val="en-US"/>
        </w:rPr>
        <w:t xml:space="preserve">Stevenson Jaques &amp; Co v Mclean (1880) explains the case of Christine as the following doesn’t amount to counteroffer but a request for information about the offer, where if the offeree requests more information, the original offer stands, and the offeree has neither accepted nor rejected the following. </w:t>
      </w:r>
    </w:p>
    <w:p w14:paraId="4D663792" w14:textId="77777777" w:rsidR="00AB1F2F" w:rsidRPr="00AB1F2F" w:rsidRDefault="00AB1F2F" w:rsidP="00AB1F2F">
      <w:pPr>
        <w:ind w:left="720"/>
        <w:rPr>
          <w:rFonts w:ascii="Times" w:hAnsi="Times"/>
          <w:lang w:val="en-US"/>
        </w:rPr>
      </w:pPr>
    </w:p>
    <w:p w14:paraId="656EAB29" w14:textId="77777777" w:rsidR="00AB1F2F" w:rsidRPr="00AB1F2F" w:rsidRDefault="00AB1F2F" w:rsidP="00AB1F2F">
      <w:pPr>
        <w:ind w:left="720"/>
        <w:rPr>
          <w:rFonts w:ascii="Times" w:hAnsi="Times"/>
          <w:lang w:val="en-US"/>
        </w:rPr>
      </w:pPr>
      <w:r w:rsidRPr="00AB1F2F">
        <w:rPr>
          <w:rFonts w:ascii="Times" w:hAnsi="Times"/>
          <w:lang w:val="en-US"/>
        </w:rPr>
        <w:t xml:space="preserve">The next day, at 11 am on the 6th of May, Dennis emailed Arthur stating, “he was interested in buying the watch”, Arthur replied by stating “he wanted 13,000”. </w:t>
      </w:r>
    </w:p>
    <w:p w14:paraId="61A93CE7" w14:textId="77777777" w:rsidR="00AB1F2F" w:rsidRPr="00AB1F2F" w:rsidRDefault="00AB1F2F" w:rsidP="00AB1F2F">
      <w:pPr>
        <w:ind w:left="720"/>
        <w:rPr>
          <w:rFonts w:ascii="Times" w:hAnsi="Times"/>
          <w:lang w:val="en-US"/>
        </w:rPr>
      </w:pPr>
      <w:r w:rsidRPr="00AB1F2F">
        <w:rPr>
          <w:rFonts w:ascii="Times" w:hAnsi="Times"/>
          <w:lang w:val="en-US"/>
        </w:rPr>
        <w:t xml:space="preserve">However, at 2 pm, Christine emailed Arthur stating, “she would be able to pay the 13,000 as she has managed to raise the 2,000”. As the request for further information doesn't amount to a counteroffer, Christine now accepts the counteroffer of Arthur after the original offer of 11,000 was destroyed. Therefore, as of the 6th of May at 2 pm, Christine had an acceptance of an offer which meant unconditional agreement to all the terms of the offer. At 5 pm on the 6th of May, Dennis replies to Arthur stating, “he agrees to pay the 13,000 as requested”. </w:t>
      </w:r>
    </w:p>
    <w:p w14:paraId="3492512C" w14:textId="77777777" w:rsidR="00AB1F2F" w:rsidRPr="00AB1F2F" w:rsidRDefault="00AB1F2F" w:rsidP="00AB1F2F">
      <w:pPr>
        <w:ind w:left="720"/>
        <w:rPr>
          <w:rFonts w:ascii="Times" w:hAnsi="Times"/>
          <w:lang w:val="en-US"/>
        </w:rPr>
      </w:pPr>
    </w:p>
    <w:p w14:paraId="6C40C3FF" w14:textId="77777777" w:rsidR="00AB1F2F" w:rsidRPr="00AB1F2F" w:rsidRDefault="00AB1F2F" w:rsidP="00AB1F2F">
      <w:pPr>
        <w:ind w:left="720"/>
        <w:rPr>
          <w:rFonts w:ascii="Times" w:hAnsi="Times"/>
          <w:lang w:val="en-US"/>
        </w:rPr>
      </w:pPr>
      <w:r w:rsidRPr="00AB1F2F">
        <w:rPr>
          <w:rFonts w:ascii="Times" w:hAnsi="Times"/>
          <w:lang w:val="en-US"/>
        </w:rPr>
        <w:lastRenderedPageBreak/>
        <w:t xml:space="preserve">In relation to both Christine and Dennis, the mirror image rule can be applied where it can conclude whether there has been an acceptance that matches the exact terms of the offer. Which is laid out as agreeing to pay 13,000 for the Rolex watch with an invitation to treat of 15,000 as an advertisement on 1st of May. </w:t>
      </w:r>
    </w:p>
    <w:p w14:paraId="0BAC04A0" w14:textId="77777777" w:rsidR="00AB1F2F" w:rsidRPr="00AB1F2F" w:rsidRDefault="00AB1F2F" w:rsidP="00AB1F2F">
      <w:pPr>
        <w:ind w:left="720"/>
        <w:rPr>
          <w:rFonts w:ascii="Times" w:hAnsi="Times"/>
          <w:lang w:val="en-US"/>
        </w:rPr>
      </w:pPr>
      <w:r w:rsidRPr="00AB1F2F">
        <w:rPr>
          <w:rFonts w:ascii="Times" w:hAnsi="Times"/>
          <w:lang w:val="en-US"/>
        </w:rPr>
        <w:t xml:space="preserve">On the 7th of May, Ben’s letter of the offer came. Similarly, with Christine and Denise’s case, Arthur now has the possibility to accept or reject. The following would be ruled out as an offer, at this time Arthur now has an offer from Ben of 15,000 and acceptance from Christine and Dennis for the existing offer of 13,000. </w:t>
      </w:r>
    </w:p>
    <w:p w14:paraId="613A32AF" w14:textId="77777777" w:rsidR="00AB1F2F" w:rsidRPr="00AB1F2F" w:rsidRDefault="00AB1F2F" w:rsidP="00AB1F2F">
      <w:pPr>
        <w:ind w:left="720"/>
        <w:rPr>
          <w:rFonts w:ascii="Times" w:hAnsi="Times"/>
          <w:lang w:val="en-US"/>
        </w:rPr>
      </w:pPr>
    </w:p>
    <w:p w14:paraId="10B74522" w14:textId="77777777" w:rsidR="00AB1F2F" w:rsidRPr="00AB1F2F" w:rsidRDefault="00AB1F2F" w:rsidP="00AB1F2F">
      <w:pPr>
        <w:ind w:left="720"/>
        <w:rPr>
          <w:rFonts w:ascii="Times" w:hAnsi="Times"/>
          <w:lang w:val="en-US"/>
        </w:rPr>
      </w:pPr>
      <w:r w:rsidRPr="00AB1F2F">
        <w:rPr>
          <w:rFonts w:ascii="Times" w:hAnsi="Times"/>
          <w:lang w:val="en-US"/>
        </w:rPr>
        <w:t xml:space="preserve">Elliott and Quinn (2011) explain that an offer may cease under the circumstances were, Arthur, specified a time or reasonable length of time. Claimed in Ramsgate Victoria Hotel Ltd v Montefiore's (1866) argument as shares rapidly fluctuate the judges ruled it was not a reasonable length of time. In the case of Arthur, he is most likely to be subject to a contract with Denise according to the element of a legally binding contract where if there is no acceptance, it will not form a contract between the offeror and the offeree. </w:t>
      </w:r>
    </w:p>
    <w:p w14:paraId="61E3EFDB" w14:textId="77777777" w:rsidR="00AB1F2F" w:rsidRPr="00AB1F2F" w:rsidRDefault="00AB1F2F" w:rsidP="00AB1F2F">
      <w:pPr>
        <w:ind w:left="720"/>
        <w:rPr>
          <w:rFonts w:ascii="Times" w:hAnsi="Times"/>
          <w:lang w:val="en-US"/>
        </w:rPr>
      </w:pPr>
    </w:p>
    <w:p w14:paraId="0075A1D8" w14:textId="77777777" w:rsidR="00AB1F2F" w:rsidRPr="00AB1F2F" w:rsidRDefault="00AB1F2F" w:rsidP="00AB1F2F">
      <w:pPr>
        <w:ind w:left="720"/>
        <w:rPr>
          <w:rFonts w:ascii="Times" w:hAnsi="Times"/>
          <w:lang w:val="en-US"/>
        </w:rPr>
      </w:pPr>
      <w:r w:rsidRPr="00AB1F2F">
        <w:rPr>
          <w:rFonts w:ascii="Times" w:hAnsi="Times"/>
          <w:lang w:val="en-US"/>
        </w:rPr>
        <w:t xml:space="preserve">According to the formation of the contract, Arthur has two valid acceptance both communicated through the email under s. 11 of the Electronic Communications Act 2000, Goel &amp; Anor v Grant &amp; Anor (2017) parties should be aware that electronic communications can create legally binding contracts in the case of Ocean Group Ltd v </w:t>
      </w:r>
      <w:proofErr w:type="spellStart"/>
      <w:r w:rsidRPr="00AB1F2F">
        <w:rPr>
          <w:rFonts w:ascii="Times" w:hAnsi="Times"/>
          <w:lang w:val="en-US"/>
        </w:rPr>
        <w:t>Sagacor</w:t>
      </w:r>
      <w:proofErr w:type="spellEnd"/>
      <w:r w:rsidRPr="00AB1F2F">
        <w:rPr>
          <w:rFonts w:ascii="Times" w:hAnsi="Times"/>
          <w:lang w:val="en-US"/>
        </w:rPr>
        <w:t xml:space="preserve"> Mining Industries PVT Ltd (2012) that the court confirmed by a series of emails authenticated by the online signature of the following parties. The problem question doesn't specify if the email contained an online signature.</w:t>
      </w:r>
    </w:p>
    <w:p w14:paraId="3BCE838E" w14:textId="77777777" w:rsidR="00AB1F2F" w:rsidRPr="00AB1F2F" w:rsidRDefault="00AB1F2F" w:rsidP="00AB1F2F">
      <w:pPr>
        <w:ind w:left="720"/>
        <w:rPr>
          <w:rFonts w:ascii="Times" w:hAnsi="Times"/>
          <w:lang w:val="en-US"/>
        </w:rPr>
      </w:pPr>
    </w:p>
    <w:p w14:paraId="43E7882E" w14:textId="7C99BF3E" w:rsidR="00AD18CB" w:rsidRDefault="00AB1F2F" w:rsidP="00AB1F2F">
      <w:pPr>
        <w:ind w:left="720"/>
        <w:rPr>
          <w:rFonts w:ascii="Times" w:hAnsi="Times"/>
          <w:lang w:val="en-US"/>
        </w:rPr>
      </w:pPr>
      <w:r w:rsidRPr="00AB1F2F">
        <w:rPr>
          <w:rFonts w:ascii="Times" w:hAnsi="Times"/>
          <w:lang w:val="en-US"/>
        </w:rPr>
        <w:t xml:space="preserve">Arthur likely has a valid contract to Dennis by the time of the formation of the contract at 5 pm on 6th of May and (Elliott and Quinn, 2011, p. 28) a contract can be made by starting with an invitation to treat to offer to acceptance, and contract.  </w:t>
      </w:r>
    </w:p>
    <w:p w14:paraId="3C95F7F8" w14:textId="6056C0CE" w:rsidR="00B94870" w:rsidRDefault="00B94870" w:rsidP="00AB1F2F">
      <w:pPr>
        <w:ind w:left="720"/>
        <w:rPr>
          <w:rFonts w:ascii="Times" w:hAnsi="Times"/>
          <w:lang w:val="en-US"/>
        </w:rPr>
      </w:pPr>
    </w:p>
    <w:p w14:paraId="76F96129" w14:textId="581168B0" w:rsidR="000638F6" w:rsidRDefault="000638F6" w:rsidP="00AB1F2F">
      <w:pPr>
        <w:ind w:left="720"/>
        <w:rPr>
          <w:rFonts w:ascii="Times" w:hAnsi="Times"/>
          <w:lang w:val="en-US"/>
        </w:rPr>
      </w:pPr>
    </w:p>
    <w:p w14:paraId="2EEA1F73" w14:textId="66C54DC0" w:rsidR="000638F6" w:rsidRDefault="000638F6" w:rsidP="00AB1F2F">
      <w:pPr>
        <w:ind w:left="720"/>
        <w:rPr>
          <w:rFonts w:ascii="Times" w:hAnsi="Times"/>
          <w:lang w:val="en-US"/>
        </w:rPr>
      </w:pPr>
    </w:p>
    <w:p w14:paraId="3A44A9D3" w14:textId="7733CCC8" w:rsidR="000638F6" w:rsidRDefault="000638F6" w:rsidP="00AB1F2F">
      <w:pPr>
        <w:ind w:left="720"/>
        <w:rPr>
          <w:rFonts w:ascii="Times" w:hAnsi="Times"/>
          <w:lang w:val="en-US"/>
        </w:rPr>
      </w:pPr>
    </w:p>
    <w:p w14:paraId="6D5AE651" w14:textId="3C5999A1" w:rsidR="003C6E70" w:rsidRDefault="003C6E70" w:rsidP="003C6E70">
      <w:pPr>
        <w:pStyle w:val="NormalWeb"/>
        <w:shd w:val="clear" w:color="auto" w:fill="FFFFFF"/>
        <w:spacing w:before="0" w:beforeAutospacing="0"/>
        <w:rPr>
          <w:rFonts w:ascii="Segoe UI" w:hAnsi="Segoe UI" w:cs="Segoe UI"/>
          <w:color w:val="212529"/>
          <w:sz w:val="23"/>
          <w:szCs w:val="23"/>
        </w:rPr>
      </w:pPr>
      <w:r>
        <w:rPr>
          <w:rFonts w:ascii="Segoe UI" w:hAnsi="Segoe UI" w:cs="Segoe UI"/>
          <w:color w:val="212529"/>
          <w:sz w:val="23"/>
          <w:szCs w:val="23"/>
        </w:rPr>
        <w:t>.</w:t>
      </w:r>
    </w:p>
    <w:p w14:paraId="74D2D853" w14:textId="77777777" w:rsidR="00CE16A3" w:rsidRDefault="00CE16A3" w:rsidP="00AD18CB">
      <w:pPr>
        <w:rPr>
          <w:b/>
        </w:rPr>
      </w:pPr>
    </w:p>
    <w:p w14:paraId="41BD0241" w14:textId="77777777" w:rsidR="00CE16A3" w:rsidRDefault="00CE16A3" w:rsidP="00AD18CB">
      <w:pPr>
        <w:rPr>
          <w:b/>
        </w:rPr>
      </w:pPr>
    </w:p>
    <w:p w14:paraId="74E5268E" w14:textId="77777777" w:rsidR="00CE16A3" w:rsidRDefault="00CE16A3" w:rsidP="00AD18CB">
      <w:pPr>
        <w:rPr>
          <w:b/>
        </w:rPr>
      </w:pPr>
    </w:p>
    <w:p w14:paraId="5D2D0C07" w14:textId="77777777" w:rsidR="00CE16A3" w:rsidRDefault="00CE16A3" w:rsidP="00AD18CB">
      <w:pPr>
        <w:rPr>
          <w:b/>
        </w:rPr>
      </w:pPr>
    </w:p>
    <w:p w14:paraId="38578F1F" w14:textId="121A6777" w:rsidR="00087314" w:rsidRDefault="00087314" w:rsidP="0008253B">
      <w:pPr>
        <w:pStyle w:val="ListParagraph"/>
        <w:rPr>
          <w:rFonts w:ascii="Times" w:hAnsi="Times"/>
          <w:lang w:val="en-US"/>
        </w:rPr>
      </w:pPr>
    </w:p>
    <w:p w14:paraId="19FFF37C" w14:textId="72DAA600" w:rsidR="00087314" w:rsidRDefault="00087314" w:rsidP="0008253B">
      <w:pPr>
        <w:pStyle w:val="ListParagraph"/>
        <w:rPr>
          <w:rFonts w:ascii="Times" w:hAnsi="Times"/>
          <w:lang w:val="en-US"/>
        </w:rPr>
      </w:pPr>
    </w:p>
    <w:p w14:paraId="491F3ACC" w14:textId="4E1F740F" w:rsidR="00AB1F2F" w:rsidRDefault="00AB1F2F" w:rsidP="0008253B">
      <w:pPr>
        <w:pStyle w:val="ListParagraph"/>
        <w:rPr>
          <w:rFonts w:ascii="Times" w:hAnsi="Times"/>
          <w:lang w:val="en-US"/>
        </w:rPr>
      </w:pPr>
    </w:p>
    <w:p w14:paraId="27B43606" w14:textId="47893E19" w:rsidR="00AB1F2F" w:rsidRDefault="00AB1F2F" w:rsidP="0008253B">
      <w:pPr>
        <w:pStyle w:val="ListParagraph"/>
        <w:rPr>
          <w:rFonts w:ascii="Times" w:hAnsi="Times"/>
          <w:lang w:val="en-US"/>
        </w:rPr>
      </w:pPr>
    </w:p>
    <w:p w14:paraId="77202E94" w14:textId="28A7DA61" w:rsidR="00AB1F2F" w:rsidRDefault="00AB1F2F" w:rsidP="0008253B">
      <w:pPr>
        <w:pStyle w:val="ListParagraph"/>
        <w:rPr>
          <w:rFonts w:ascii="Times" w:hAnsi="Times"/>
          <w:lang w:val="en-US"/>
        </w:rPr>
      </w:pPr>
    </w:p>
    <w:p w14:paraId="4A718365" w14:textId="77777777" w:rsidR="00AB1F2F" w:rsidRDefault="00AB1F2F" w:rsidP="0008253B">
      <w:pPr>
        <w:pStyle w:val="ListParagraph"/>
        <w:rPr>
          <w:rFonts w:ascii="Times" w:hAnsi="Times"/>
          <w:lang w:val="en-US"/>
        </w:rPr>
      </w:pPr>
    </w:p>
    <w:p w14:paraId="48EF4951" w14:textId="1EDC7588" w:rsidR="00087314" w:rsidRDefault="00087314" w:rsidP="0008253B">
      <w:pPr>
        <w:pStyle w:val="ListParagraph"/>
        <w:rPr>
          <w:rFonts w:ascii="Times" w:hAnsi="Times"/>
          <w:lang w:val="en-US"/>
        </w:rPr>
      </w:pPr>
    </w:p>
    <w:p w14:paraId="0A95925D" w14:textId="271CB6DB" w:rsidR="00087314" w:rsidRDefault="00087314" w:rsidP="0008253B">
      <w:pPr>
        <w:pStyle w:val="ListParagraph"/>
        <w:rPr>
          <w:rFonts w:ascii="Times" w:hAnsi="Times"/>
          <w:lang w:val="en-US"/>
        </w:rPr>
      </w:pPr>
    </w:p>
    <w:p w14:paraId="139FA476" w14:textId="6E74FF7B" w:rsidR="00087314" w:rsidRDefault="00087314" w:rsidP="0008253B">
      <w:pPr>
        <w:pStyle w:val="ListParagraph"/>
        <w:rPr>
          <w:rFonts w:ascii="Times" w:hAnsi="Times"/>
          <w:lang w:val="en-US"/>
        </w:rPr>
      </w:pPr>
    </w:p>
    <w:p w14:paraId="197A0FDE" w14:textId="7ABF66A0" w:rsidR="00087314" w:rsidRDefault="00087314" w:rsidP="0008253B">
      <w:pPr>
        <w:pStyle w:val="ListParagraph"/>
        <w:rPr>
          <w:rFonts w:ascii="Times" w:hAnsi="Times"/>
          <w:lang w:val="en-US"/>
        </w:rPr>
      </w:pPr>
    </w:p>
    <w:p w14:paraId="1BD1040F" w14:textId="3C9577B6" w:rsidR="00087314" w:rsidRDefault="00087314" w:rsidP="0008253B">
      <w:pPr>
        <w:pStyle w:val="ListParagraph"/>
        <w:rPr>
          <w:rFonts w:ascii="Times" w:hAnsi="Times"/>
          <w:lang w:val="en-US"/>
        </w:rPr>
      </w:pPr>
    </w:p>
    <w:p w14:paraId="6552037A" w14:textId="165C3D35" w:rsidR="00087314" w:rsidRPr="00156C09" w:rsidRDefault="00087314" w:rsidP="00156C09">
      <w:pPr>
        <w:rPr>
          <w:rFonts w:ascii="Times" w:hAnsi="Times"/>
          <w:lang w:val="en-US"/>
        </w:rPr>
      </w:pPr>
    </w:p>
    <w:p w14:paraId="6BA4E495" w14:textId="7584D9FC" w:rsidR="00087314" w:rsidRPr="007D4D10" w:rsidRDefault="008204F0" w:rsidP="008204F0">
      <w:pPr>
        <w:rPr>
          <w:rFonts w:ascii="Times" w:hAnsi="Times"/>
          <w:sz w:val="26"/>
          <w:szCs w:val="26"/>
          <w:lang w:val="en-US"/>
        </w:rPr>
      </w:pPr>
      <w:r w:rsidRPr="007D4D10">
        <w:rPr>
          <w:rFonts w:ascii="Times" w:hAnsi="Times"/>
          <w:sz w:val="26"/>
          <w:szCs w:val="26"/>
          <w:lang w:val="en-US"/>
        </w:rPr>
        <w:lastRenderedPageBreak/>
        <w:t>Table of cases</w:t>
      </w:r>
    </w:p>
    <w:p w14:paraId="0E34D1A1" w14:textId="06595C81" w:rsidR="008204F0" w:rsidRDefault="008204F0" w:rsidP="008204F0">
      <w:pPr>
        <w:rPr>
          <w:rFonts w:ascii="Times" w:hAnsi="Times"/>
          <w:lang w:val="en-US"/>
        </w:rPr>
      </w:pPr>
    </w:p>
    <w:p w14:paraId="2D3E78D6" w14:textId="26BC24DD" w:rsidR="00A25FAD" w:rsidRDefault="00A25FAD" w:rsidP="008204F0">
      <w:pPr>
        <w:rPr>
          <w:rFonts w:ascii="Times" w:hAnsi="Times"/>
          <w:lang w:val="en-US"/>
        </w:rPr>
      </w:pPr>
      <w:r>
        <w:rPr>
          <w:rFonts w:ascii="Times" w:hAnsi="Times"/>
          <w:lang w:val="en-US"/>
        </w:rPr>
        <w:t>Bolton v Mahadeva [1972] 1 WLR 1009</w:t>
      </w:r>
    </w:p>
    <w:p w14:paraId="1ADEE816" w14:textId="77777777" w:rsidR="00A25FAD" w:rsidRDefault="00A25FAD" w:rsidP="008204F0">
      <w:pPr>
        <w:rPr>
          <w:rFonts w:ascii="Times" w:hAnsi="Times"/>
          <w:lang w:val="en-US"/>
        </w:rPr>
      </w:pPr>
    </w:p>
    <w:p w14:paraId="38520F4D" w14:textId="1A923B79" w:rsidR="00AA46B3" w:rsidRDefault="00AA46B3" w:rsidP="008204F0">
      <w:pPr>
        <w:rPr>
          <w:rFonts w:ascii="Times" w:hAnsi="Times"/>
          <w:lang w:val="en-US"/>
        </w:rPr>
      </w:pPr>
      <w:r>
        <w:rPr>
          <w:rFonts w:ascii="Times" w:hAnsi="Times"/>
          <w:lang w:val="en-US"/>
        </w:rPr>
        <w:t>Boone v Eyre (1779) 96 ER 767; 126 ER 148; (1779) 2 Wm Bl 1312</w:t>
      </w:r>
    </w:p>
    <w:p w14:paraId="77004674" w14:textId="609BC481" w:rsidR="00016874" w:rsidRDefault="00016874" w:rsidP="008204F0">
      <w:pPr>
        <w:rPr>
          <w:rFonts w:ascii="Times" w:hAnsi="Times"/>
          <w:lang w:val="en-US"/>
        </w:rPr>
      </w:pPr>
    </w:p>
    <w:p w14:paraId="52CE6626" w14:textId="70AC0695" w:rsidR="00016874" w:rsidRDefault="00016874" w:rsidP="008204F0">
      <w:pPr>
        <w:rPr>
          <w:rFonts w:ascii="Times" w:hAnsi="Times"/>
          <w:lang w:val="en-US"/>
        </w:rPr>
      </w:pPr>
      <w:r>
        <w:rPr>
          <w:rFonts w:ascii="Times" w:hAnsi="Times"/>
          <w:lang w:val="en-US"/>
        </w:rPr>
        <w:t>Carlill v Carbolic Smoke ball Co [1893] 1 QB 256</w:t>
      </w:r>
    </w:p>
    <w:p w14:paraId="4D9F4CC3" w14:textId="77777777" w:rsidR="00AA46B3" w:rsidRDefault="00AA46B3" w:rsidP="008204F0">
      <w:pPr>
        <w:rPr>
          <w:rFonts w:ascii="Times" w:hAnsi="Times"/>
          <w:lang w:val="en-US"/>
        </w:rPr>
      </w:pPr>
    </w:p>
    <w:p w14:paraId="03CB3F3D" w14:textId="67804C82" w:rsidR="00D92ED9" w:rsidRDefault="00D92ED9" w:rsidP="008204F0">
      <w:pPr>
        <w:rPr>
          <w:rFonts w:ascii="Times" w:hAnsi="Times"/>
          <w:lang w:val="en-US"/>
        </w:rPr>
      </w:pPr>
      <w:r>
        <w:rPr>
          <w:rFonts w:ascii="Times" w:hAnsi="Times"/>
          <w:lang w:val="en-US"/>
        </w:rPr>
        <w:t xml:space="preserve">Currie v Misa </w:t>
      </w:r>
      <w:r w:rsidR="001A3C81">
        <w:rPr>
          <w:rFonts w:ascii="Times" w:hAnsi="Times"/>
          <w:lang w:val="en-US"/>
        </w:rPr>
        <w:t>(</w:t>
      </w:r>
      <w:r>
        <w:rPr>
          <w:rFonts w:ascii="Times" w:hAnsi="Times"/>
          <w:lang w:val="en-US"/>
        </w:rPr>
        <w:t>1875</w:t>
      </w:r>
      <w:r w:rsidR="001A3C81">
        <w:rPr>
          <w:rFonts w:ascii="Times" w:hAnsi="Times"/>
          <w:lang w:val="en-US"/>
        </w:rPr>
        <w:t>)</w:t>
      </w:r>
      <w:r>
        <w:rPr>
          <w:rFonts w:ascii="Times" w:hAnsi="Times"/>
          <w:lang w:val="en-US"/>
        </w:rPr>
        <w:t xml:space="preserve"> </w:t>
      </w:r>
      <w:r w:rsidR="001A3C81">
        <w:rPr>
          <w:rFonts w:ascii="Times" w:hAnsi="Times"/>
          <w:lang w:val="en-US"/>
        </w:rPr>
        <w:t>LR 10 Ex 153</w:t>
      </w:r>
    </w:p>
    <w:p w14:paraId="400414E2" w14:textId="77A1ED07" w:rsidR="00A74E49" w:rsidRDefault="00A74E49" w:rsidP="008204F0">
      <w:pPr>
        <w:rPr>
          <w:rFonts w:ascii="Times" w:hAnsi="Times"/>
          <w:lang w:val="en-US"/>
        </w:rPr>
      </w:pPr>
    </w:p>
    <w:p w14:paraId="1A0F17F6" w14:textId="23F0421C" w:rsidR="00A74E49" w:rsidRDefault="00A74E49" w:rsidP="008204F0">
      <w:pPr>
        <w:rPr>
          <w:rFonts w:ascii="Times" w:hAnsi="Times"/>
          <w:lang w:val="en-US"/>
        </w:rPr>
      </w:pPr>
      <w:r>
        <w:rPr>
          <w:rFonts w:ascii="Times" w:hAnsi="Times"/>
          <w:lang w:val="en-US"/>
        </w:rPr>
        <w:t>Charles Ltd v Oppenheimer [1950] 1KB 616</w:t>
      </w:r>
    </w:p>
    <w:p w14:paraId="738F4532" w14:textId="5A5E8C25" w:rsidR="00AA46B3" w:rsidRDefault="00AA46B3" w:rsidP="008204F0">
      <w:pPr>
        <w:rPr>
          <w:rFonts w:ascii="Times" w:hAnsi="Times"/>
          <w:lang w:val="en-US"/>
        </w:rPr>
      </w:pPr>
    </w:p>
    <w:p w14:paraId="78334061" w14:textId="75CBCF6E" w:rsidR="00AA46B3" w:rsidRDefault="00AA46B3" w:rsidP="008204F0">
      <w:pPr>
        <w:rPr>
          <w:rFonts w:ascii="Times" w:hAnsi="Times"/>
          <w:lang w:val="en-US"/>
        </w:rPr>
      </w:pPr>
      <w:r>
        <w:rPr>
          <w:rFonts w:ascii="Times" w:hAnsi="Times"/>
          <w:lang w:val="en-US"/>
        </w:rPr>
        <w:t xml:space="preserve">Cutter v Powell (1795) 6 Term Rep 320 </w:t>
      </w:r>
    </w:p>
    <w:p w14:paraId="5323537F" w14:textId="77777777" w:rsidR="00D92ED9" w:rsidRDefault="00D92ED9" w:rsidP="008204F0">
      <w:pPr>
        <w:rPr>
          <w:rFonts w:ascii="Times" w:hAnsi="Times"/>
          <w:lang w:val="en-US"/>
        </w:rPr>
      </w:pPr>
    </w:p>
    <w:p w14:paraId="5A633C39" w14:textId="69DE48DB" w:rsidR="00016874" w:rsidRDefault="008204F0" w:rsidP="008204F0">
      <w:pPr>
        <w:rPr>
          <w:rFonts w:ascii="Times" w:hAnsi="Times"/>
          <w:lang w:val="en-US"/>
        </w:rPr>
      </w:pPr>
      <w:r w:rsidRPr="008204F0">
        <w:rPr>
          <w:rFonts w:ascii="Times" w:hAnsi="Times"/>
          <w:lang w:val="en-US"/>
        </w:rPr>
        <w:t>Dunlop Pneumatic Tyre Co. Ltd v Selfridge &amp; Co. Ltd [1915] AC 847</w:t>
      </w:r>
    </w:p>
    <w:p w14:paraId="0F9DF7D1" w14:textId="3A38C2E0" w:rsidR="00A85444" w:rsidRDefault="00A85444" w:rsidP="008204F0">
      <w:pPr>
        <w:rPr>
          <w:rFonts w:ascii="Times" w:hAnsi="Times"/>
          <w:lang w:val="en-US"/>
        </w:rPr>
      </w:pPr>
    </w:p>
    <w:p w14:paraId="2E98DCD3" w14:textId="0B0C3E5C" w:rsidR="00A85444" w:rsidRDefault="00A85444" w:rsidP="008204F0">
      <w:pPr>
        <w:rPr>
          <w:rFonts w:ascii="Times" w:hAnsi="Times"/>
          <w:lang w:val="en-US"/>
        </w:rPr>
      </w:pPr>
      <w:r>
        <w:rPr>
          <w:rFonts w:ascii="Times" w:hAnsi="Times"/>
          <w:lang w:val="en-US"/>
        </w:rPr>
        <w:t>Entores Ltd v Miles Far East Corporation [1955] 2 QB 327</w:t>
      </w:r>
    </w:p>
    <w:p w14:paraId="73956185" w14:textId="44CB0E5F" w:rsidR="00016874" w:rsidRDefault="00016874" w:rsidP="008204F0">
      <w:pPr>
        <w:rPr>
          <w:rFonts w:ascii="Times" w:hAnsi="Times"/>
          <w:lang w:val="en-US"/>
        </w:rPr>
      </w:pPr>
    </w:p>
    <w:p w14:paraId="3CF33172" w14:textId="5B310770" w:rsidR="00016874" w:rsidRDefault="00016874" w:rsidP="008204F0">
      <w:pPr>
        <w:rPr>
          <w:rFonts w:ascii="Times" w:hAnsi="Times"/>
          <w:lang w:val="en-US"/>
        </w:rPr>
      </w:pPr>
      <w:r>
        <w:rPr>
          <w:rFonts w:ascii="Times" w:hAnsi="Times"/>
          <w:lang w:val="en-US"/>
        </w:rPr>
        <w:t xml:space="preserve">Gibson v Manchester City Council [1979] 1 WLR 294, HL; </w:t>
      </w:r>
      <w:r w:rsidRPr="00016874">
        <w:rPr>
          <w:rFonts w:ascii="Times" w:hAnsi="Times"/>
          <w:i/>
          <w:iCs/>
          <w:lang w:val="en-US"/>
        </w:rPr>
        <w:t>Reversing</w:t>
      </w:r>
      <w:r>
        <w:rPr>
          <w:rFonts w:ascii="Times" w:hAnsi="Times"/>
          <w:lang w:val="en-US"/>
        </w:rPr>
        <w:t xml:space="preserve"> [1978] 1 WLR 520, CA</w:t>
      </w:r>
    </w:p>
    <w:p w14:paraId="45BB3DD1" w14:textId="3B3F427C" w:rsidR="00AA46B3" w:rsidRDefault="00AA46B3" w:rsidP="008204F0">
      <w:pPr>
        <w:rPr>
          <w:rFonts w:ascii="Times" w:hAnsi="Times"/>
          <w:lang w:val="en-US"/>
        </w:rPr>
      </w:pPr>
    </w:p>
    <w:p w14:paraId="04E6546F" w14:textId="18F2C233" w:rsidR="00AA46B3" w:rsidRDefault="00AA46B3" w:rsidP="008204F0">
      <w:pPr>
        <w:rPr>
          <w:rFonts w:ascii="Times" w:hAnsi="Times"/>
          <w:lang w:val="en-US"/>
        </w:rPr>
      </w:pPr>
      <w:r>
        <w:rPr>
          <w:rFonts w:ascii="Times" w:hAnsi="Times"/>
          <w:lang w:val="en-US"/>
        </w:rPr>
        <w:t>Hoenig v Isaacs [1952</w:t>
      </w:r>
      <w:r w:rsidR="00A25FAD">
        <w:rPr>
          <w:rFonts w:ascii="Times" w:hAnsi="Times"/>
          <w:lang w:val="en-US"/>
        </w:rPr>
        <w:t>]</w:t>
      </w:r>
      <w:r>
        <w:rPr>
          <w:rFonts w:ascii="Times" w:hAnsi="Times"/>
          <w:lang w:val="en-US"/>
        </w:rPr>
        <w:t xml:space="preserve"> 2 All ER 176</w:t>
      </w:r>
    </w:p>
    <w:p w14:paraId="3410DF0B" w14:textId="06496B89" w:rsidR="00A85444" w:rsidRDefault="00A85444" w:rsidP="008204F0">
      <w:pPr>
        <w:rPr>
          <w:rFonts w:ascii="Times" w:hAnsi="Times"/>
          <w:lang w:val="en-US"/>
        </w:rPr>
      </w:pPr>
    </w:p>
    <w:p w14:paraId="49AF25A2" w14:textId="146FA54E" w:rsidR="00A85444" w:rsidRDefault="00A85444" w:rsidP="008204F0">
      <w:pPr>
        <w:rPr>
          <w:rFonts w:ascii="Times" w:hAnsi="Times"/>
          <w:lang w:val="en-US"/>
        </w:rPr>
      </w:pPr>
      <w:r>
        <w:rPr>
          <w:rFonts w:ascii="Times" w:hAnsi="Times"/>
          <w:lang w:val="en-US"/>
        </w:rPr>
        <w:t xml:space="preserve">Hyde v Wrench (1840) 3 </w:t>
      </w:r>
      <w:proofErr w:type="spellStart"/>
      <w:r>
        <w:rPr>
          <w:rFonts w:ascii="Times" w:hAnsi="Times"/>
          <w:lang w:val="en-US"/>
        </w:rPr>
        <w:t>Beav</w:t>
      </w:r>
      <w:proofErr w:type="spellEnd"/>
      <w:r>
        <w:rPr>
          <w:rFonts w:ascii="Times" w:hAnsi="Times"/>
          <w:lang w:val="en-US"/>
        </w:rPr>
        <w:t xml:space="preserve"> 334</w:t>
      </w:r>
    </w:p>
    <w:p w14:paraId="1C3B4FB9" w14:textId="2A6E2FA5" w:rsidR="001A3C81" w:rsidRDefault="001A3C81" w:rsidP="008204F0">
      <w:pPr>
        <w:rPr>
          <w:rFonts w:ascii="Times" w:hAnsi="Times"/>
          <w:lang w:val="en-US"/>
        </w:rPr>
      </w:pPr>
    </w:p>
    <w:p w14:paraId="602692B3" w14:textId="753B3829" w:rsidR="001A3C81" w:rsidRDefault="001A3C81" w:rsidP="008204F0">
      <w:pPr>
        <w:rPr>
          <w:rFonts w:ascii="Times" w:hAnsi="Times"/>
          <w:lang w:val="en-US"/>
        </w:rPr>
      </w:pPr>
      <w:proofErr w:type="spellStart"/>
      <w:r>
        <w:rPr>
          <w:rFonts w:ascii="Times" w:hAnsi="Times"/>
          <w:lang w:val="en-US"/>
        </w:rPr>
        <w:t>Lampleigh</w:t>
      </w:r>
      <w:proofErr w:type="spellEnd"/>
      <w:r>
        <w:rPr>
          <w:rFonts w:ascii="Times" w:hAnsi="Times"/>
          <w:lang w:val="en-US"/>
        </w:rPr>
        <w:t xml:space="preserve"> v Brathwait (1615) Hob 105</w:t>
      </w:r>
    </w:p>
    <w:p w14:paraId="7BE6772D" w14:textId="5376E3F8" w:rsidR="00016874" w:rsidRDefault="00016874" w:rsidP="008204F0">
      <w:pPr>
        <w:rPr>
          <w:rFonts w:ascii="Times" w:hAnsi="Times"/>
          <w:lang w:val="en-US"/>
        </w:rPr>
      </w:pPr>
    </w:p>
    <w:p w14:paraId="13148D38" w14:textId="4B2C0E3B" w:rsidR="00016874" w:rsidRDefault="00016874" w:rsidP="008204F0">
      <w:pPr>
        <w:rPr>
          <w:rFonts w:ascii="Times" w:hAnsi="Times"/>
          <w:lang w:val="en-US"/>
        </w:rPr>
      </w:pPr>
      <w:r w:rsidRPr="00263859">
        <w:rPr>
          <w:rFonts w:ascii="Times" w:hAnsi="Times"/>
          <w:lang w:val="en-US"/>
        </w:rPr>
        <w:t xml:space="preserve">Lefkowitz v Great Minneapolis Surplus Store </w:t>
      </w:r>
      <w:r>
        <w:rPr>
          <w:rFonts w:ascii="Times" w:hAnsi="Times"/>
          <w:lang w:val="en-US"/>
        </w:rPr>
        <w:t>[</w:t>
      </w:r>
      <w:r w:rsidRPr="00263859">
        <w:rPr>
          <w:rFonts w:ascii="Times" w:hAnsi="Times"/>
          <w:lang w:val="en-US"/>
        </w:rPr>
        <w:t>1957</w:t>
      </w:r>
      <w:r>
        <w:rPr>
          <w:rFonts w:ascii="Times" w:hAnsi="Times"/>
          <w:lang w:val="en-US"/>
        </w:rPr>
        <w:t>] Inc 86 NW 2d 689</w:t>
      </w:r>
    </w:p>
    <w:p w14:paraId="742AD129" w14:textId="29A70908" w:rsidR="007D4D10" w:rsidRDefault="007D4D10" w:rsidP="008204F0">
      <w:pPr>
        <w:rPr>
          <w:rFonts w:ascii="Times" w:hAnsi="Times"/>
          <w:lang w:val="en-US"/>
        </w:rPr>
      </w:pPr>
    </w:p>
    <w:p w14:paraId="40C2EA79" w14:textId="77777777" w:rsidR="007D4D10" w:rsidRDefault="007D4D10" w:rsidP="007D4D10">
      <w:pPr>
        <w:rPr>
          <w:rFonts w:ascii="Times" w:hAnsi="Times"/>
          <w:lang w:val="en-US"/>
        </w:rPr>
      </w:pPr>
      <w:r>
        <w:rPr>
          <w:rFonts w:ascii="Times" w:hAnsi="Times"/>
          <w:lang w:val="en-US"/>
        </w:rPr>
        <w:t xml:space="preserve">Pao on v Lau </w:t>
      </w:r>
      <w:proofErr w:type="spellStart"/>
      <w:r>
        <w:rPr>
          <w:rFonts w:ascii="Times" w:hAnsi="Times"/>
          <w:lang w:val="en-US"/>
        </w:rPr>
        <w:t>Yiu</w:t>
      </w:r>
      <w:proofErr w:type="spellEnd"/>
      <w:r>
        <w:rPr>
          <w:rFonts w:ascii="Times" w:hAnsi="Times"/>
          <w:lang w:val="en-US"/>
        </w:rPr>
        <w:t xml:space="preserve"> Long [1980] AC 614; [1979] 3 All ER 65</w:t>
      </w:r>
    </w:p>
    <w:p w14:paraId="10AA0957" w14:textId="77777777" w:rsidR="007D4D10" w:rsidRDefault="007D4D10" w:rsidP="007D4D10">
      <w:pPr>
        <w:rPr>
          <w:rFonts w:ascii="Times" w:hAnsi="Times"/>
          <w:lang w:val="en-US"/>
        </w:rPr>
      </w:pPr>
    </w:p>
    <w:p w14:paraId="6634F8DD" w14:textId="77777777" w:rsidR="007D4D10" w:rsidRDefault="007D4D10" w:rsidP="007D4D10">
      <w:pPr>
        <w:rPr>
          <w:rFonts w:ascii="Times" w:hAnsi="Times"/>
          <w:lang w:val="en-US"/>
        </w:rPr>
      </w:pPr>
      <w:r>
        <w:rPr>
          <w:rFonts w:ascii="Times" w:hAnsi="Times"/>
          <w:lang w:val="en-US"/>
        </w:rPr>
        <w:t xml:space="preserve">Partridge v Crittenden [1968] 1 WLR 1204 </w:t>
      </w:r>
    </w:p>
    <w:p w14:paraId="4A28B8EB" w14:textId="174AF8B9" w:rsidR="007D4D10" w:rsidRDefault="007D4D10" w:rsidP="008204F0">
      <w:pPr>
        <w:rPr>
          <w:rFonts w:ascii="Times" w:hAnsi="Times"/>
          <w:lang w:val="en-US"/>
        </w:rPr>
      </w:pPr>
    </w:p>
    <w:p w14:paraId="260C25A4" w14:textId="77777777" w:rsidR="007D4D10" w:rsidRPr="007D4D10" w:rsidRDefault="007D4D10" w:rsidP="007D4D10">
      <w:pPr>
        <w:rPr>
          <w:rFonts w:ascii="Times" w:hAnsi="Times"/>
          <w:lang w:val="en-US"/>
        </w:rPr>
      </w:pPr>
      <w:r>
        <w:rPr>
          <w:rFonts w:ascii="Times" w:hAnsi="Times"/>
          <w:lang w:val="en-US"/>
        </w:rPr>
        <w:t xml:space="preserve">Ramsgate Victoria Hotel v Montefiore (1866) LR 1 </w:t>
      </w:r>
      <w:proofErr w:type="spellStart"/>
      <w:r>
        <w:rPr>
          <w:rFonts w:ascii="Times" w:hAnsi="Times"/>
          <w:lang w:val="en-US"/>
        </w:rPr>
        <w:t>Exch</w:t>
      </w:r>
      <w:proofErr w:type="spellEnd"/>
      <w:r>
        <w:rPr>
          <w:rFonts w:ascii="Times" w:hAnsi="Times"/>
          <w:lang w:val="en-US"/>
        </w:rPr>
        <w:t xml:space="preserve"> 109</w:t>
      </w:r>
    </w:p>
    <w:p w14:paraId="03FA11C9" w14:textId="77777777" w:rsidR="008204F0" w:rsidRPr="008204F0" w:rsidRDefault="008204F0" w:rsidP="008204F0">
      <w:pPr>
        <w:rPr>
          <w:rFonts w:ascii="Times" w:hAnsi="Times"/>
          <w:lang w:val="en-US"/>
        </w:rPr>
      </w:pPr>
    </w:p>
    <w:p w14:paraId="0D864C6E" w14:textId="2854B487" w:rsidR="00087314" w:rsidRDefault="001A3C81" w:rsidP="001A3C81">
      <w:pPr>
        <w:rPr>
          <w:rFonts w:ascii="Times" w:hAnsi="Times"/>
          <w:lang w:val="en-US"/>
        </w:rPr>
      </w:pPr>
      <w:proofErr w:type="spellStart"/>
      <w:r>
        <w:rPr>
          <w:rFonts w:ascii="Times" w:hAnsi="Times"/>
          <w:lang w:val="en-US"/>
        </w:rPr>
        <w:t>Roscorla</w:t>
      </w:r>
      <w:proofErr w:type="spellEnd"/>
      <w:r>
        <w:rPr>
          <w:rFonts w:ascii="Times" w:hAnsi="Times"/>
          <w:lang w:val="en-US"/>
        </w:rPr>
        <w:t xml:space="preserve"> v Thomas (1842) 3 QB 234</w:t>
      </w:r>
    </w:p>
    <w:p w14:paraId="357EF717" w14:textId="15E2AD7E" w:rsidR="001A3C81" w:rsidRDefault="001A3C81" w:rsidP="001A3C81">
      <w:pPr>
        <w:rPr>
          <w:rFonts w:ascii="Times" w:hAnsi="Times"/>
          <w:lang w:val="en-US"/>
        </w:rPr>
      </w:pPr>
    </w:p>
    <w:p w14:paraId="34267C7D" w14:textId="747A5780" w:rsidR="001A3C81" w:rsidRDefault="001A3C81" w:rsidP="001A3C81">
      <w:pPr>
        <w:rPr>
          <w:rFonts w:ascii="Times" w:hAnsi="Times"/>
          <w:lang w:val="en-US"/>
        </w:rPr>
      </w:pPr>
      <w:r>
        <w:rPr>
          <w:rFonts w:ascii="Times" w:hAnsi="Times"/>
          <w:lang w:val="en-US"/>
        </w:rPr>
        <w:t>Re McArdle [1951] Ch 669</w:t>
      </w:r>
    </w:p>
    <w:p w14:paraId="147BBC98" w14:textId="69FEC6B1" w:rsidR="00A25FAD" w:rsidRDefault="00A25FAD" w:rsidP="001A3C81">
      <w:pPr>
        <w:rPr>
          <w:rFonts w:ascii="Times" w:hAnsi="Times"/>
          <w:lang w:val="en-US"/>
        </w:rPr>
      </w:pPr>
    </w:p>
    <w:p w14:paraId="6E196C55" w14:textId="1DF4AD44" w:rsidR="00A25FAD" w:rsidRDefault="00A25FAD" w:rsidP="001A3C81">
      <w:pPr>
        <w:rPr>
          <w:rFonts w:ascii="Times" w:hAnsi="Times"/>
          <w:lang w:val="en-US"/>
        </w:rPr>
      </w:pPr>
      <w:r>
        <w:rPr>
          <w:rFonts w:ascii="Times" w:hAnsi="Times"/>
          <w:lang w:val="en-US"/>
        </w:rPr>
        <w:t>Ritchie v Atkinson (1808) 103 ER 877</w:t>
      </w:r>
    </w:p>
    <w:p w14:paraId="4EA7C07A" w14:textId="148FD9B2" w:rsidR="007D4D10" w:rsidRDefault="007D4D10" w:rsidP="001A3C81">
      <w:pPr>
        <w:rPr>
          <w:rFonts w:ascii="Times" w:hAnsi="Times"/>
          <w:lang w:val="en-US"/>
        </w:rPr>
      </w:pPr>
    </w:p>
    <w:p w14:paraId="1147A66C" w14:textId="77777777" w:rsidR="007D4D10" w:rsidRDefault="007D4D10" w:rsidP="007D4D10">
      <w:pPr>
        <w:rPr>
          <w:rFonts w:ascii="Times" w:hAnsi="Times"/>
          <w:lang w:val="en-US"/>
        </w:rPr>
      </w:pPr>
      <w:r>
        <w:rPr>
          <w:rFonts w:ascii="Times" w:hAnsi="Times"/>
          <w:lang w:val="en-US"/>
        </w:rPr>
        <w:t>Smith v Hughes (1870-71) LR 6 QB 597</w:t>
      </w:r>
    </w:p>
    <w:p w14:paraId="04C8477E" w14:textId="77777777" w:rsidR="007D4D10" w:rsidRDefault="007D4D10" w:rsidP="007D4D10">
      <w:pPr>
        <w:rPr>
          <w:rFonts w:ascii="Times" w:hAnsi="Times"/>
          <w:lang w:val="en-US"/>
        </w:rPr>
      </w:pPr>
    </w:p>
    <w:p w14:paraId="6D9F3F2E" w14:textId="5CFB7318" w:rsidR="007D4D10" w:rsidRDefault="007D4D10" w:rsidP="001A3C81">
      <w:pPr>
        <w:rPr>
          <w:rFonts w:ascii="Times" w:hAnsi="Times"/>
          <w:lang w:val="en-US"/>
        </w:rPr>
      </w:pPr>
      <w:r>
        <w:rPr>
          <w:rFonts w:ascii="Times" w:hAnsi="Times"/>
          <w:lang w:val="en-US"/>
        </w:rPr>
        <w:t>Stevenson Jaques &amp; Co v McLean (1879-80) LR 5 QBD 346</w:t>
      </w:r>
    </w:p>
    <w:p w14:paraId="357B4672" w14:textId="77777777" w:rsidR="007D4D10" w:rsidRDefault="007D4D10" w:rsidP="001A3C81">
      <w:pPr>
        <w:rPr>
          <w:rFonts w:ascii="Times" w:hAnsi="Times"/>
          <w:lang w:val="en-US"/>
        </w:rPr>
      </w:pPr>
    </w:p>
    <w:p w14:paraId="416D82CD" w14:textId="5C7B2512" w:rsidR="00087314" w:rsidRDefault="00AA46B3" w:rsidP="00AA46B3">
      <w:pPr>
        <w:rPr>
          <w:rFonts w:ascii="Times" w:hAnsi="Times"/>
          <w:lang w:val="en-US"/>
        </w:rPr>
      </w:pPr>
      <w:r>
        <w:rPr>
          <w:rFonts w:ascii="Times" w:hAnsi="Times"/>
          <w:lang w:val="en-US"/>
        </w:rPr>
        <w:t xml:space="preserve">Pao on v Lau </w:t>
      </w:r>
      <w:proofErr w:type="spellStart"/>
      <w:r>
        <w:rPr>
          <w:rFonts w:ascii="Times" w:hAnsi="Times"/>
          <w:lang w:val="en-US"/>
        </w:rPr>
        <w:t>Yiu</w:t>
      </w:r>
      <w:proofErr w:type="spellEnd"/>
      <w:r>
        <w:rPr>
          <w:rFonts w:ascii="Times" w:hAnsi="Times"/>
          <w:lang w:val="en-US"/>
        </w:rPr>
        <w:t xml:space="preserve"> Long [1980] AC 614; [1979] 3 All ER 65</w:t>
      </w:r>
    </w:p>
    <w:p w14:paraId="7B49FA74" w14:textId="601A28F4" w:rsidR="007D4D10" w:rsidRDefault="007D4D10" w:rsidP="00AA46B3">
      <w:pPr>
        <w:rPr>
          <w:rFonts w:ascii="Times" w:hAnsi="Times"/>
          <w:lang w:val="en-US"/>
        </w:rPr>
      </w:pPr>
    </w:p>
    <w:p w14:paraId="6EE89E74" w14:textId="77777777" w:rsidR="007D4D10" w:rsidRDefault="007D4D10" w:rsidP="007D4D10">
      <w:pPr>
        <w:rPr>
          <w:rFonts w:ascii="Times" w:hAnsi="Times"/>
          <w:lang w:val="en-US"/>
        </w:rPr>
      </w:pPr>
      <w:r w:rsidRPr="008204F0">
        <w:rPr>
          <w:rFonts w:ascii="Times" w:hAnsi="Times"/>
          <w:lang w:val="en-US"/>
        </w:rPr>
        <w:t xml:space="preserve">Tweddle v Atkinson </w:t>
      </w:r>
      <w:r>
        <w:rPr>
          <w:rFonts w:ascii="Times" w:hAnsi="Times"/>
          <w:lang w:val="en-US"/>
        </w:rPr>
        <w:t>(</w:t>
      </w:r>
      <w:r w:rsidRPr="008204F0">
        <w:rPr>
          <w:rFonts w:ascii="Times" w:hAnsi="Times"/>
          <w:lang w:val="en-US"/>
        </w:rPr>
        <w:t>1861</w:t>
      </w:r>
      <w:r>
        <w:rPr>
          <w:rFonts w:ascii="Times" w:hAnsi="Times"/>
          <w:lang w:val="en-US"/>
        </w:rPr>
        <w:t>)</w:t>
      </w:r>
      <w:r w:rsidRPr="008204F0">
        <w:rPr>
          <w:rFonts w:ascii="Times" w:hAnsi="Times"/>
          <w:lang w:val="en-US"/>
        </w:rPr>
        <w:t xml:space="preserve"> 1 B &amp; S 393</w:t>
      </w:r>
    </w:p>
    <w:p w14:paraId="74FF9606" w14:textId="568E52CB" w:rsidR="00AA46B3" w:rsidRDefault="00AA46B3" w:rsidP="00AA46B3">
      <w:pPr>
        <w:rPr>
          <w:rFonts w:ascii="Times" w:hAnsi="Times"/>
          <w:lang w:val="en-US"/>
        </w:rPr>
      </w:pPr>
    </w:p>
    <w:p w14:paraId="2696B5DC" w14:textId="71D03E85" w:rsidR="00087314" w:rsidRPr="007D4D10" w:rsidRDefault="00A25FAD" w:rsidP="007D4D10">
      <w:pPr>
        <w:rPr>
          <w:rFonts w:ascii="Times" w:hAnsi="Times"/>
          <w:lang w:val="en-US"/>
        </w:rPr>
      </w:pPr>
      <w:r w:rsidRPr="00A25FAD">
        <w:rPr>
          <w:rFonts w:ascii="Times" w:hAnsi="Times"/>
          <w:lang w:val="en-US"/>
        </w:rPr>
        <w:t xml:space="preserve">Union Eagle </w:t>
      </w:r>
      <w:r w:rsidRPr="00A25FAD">
        <w:rPr>
          <w:rFonts w:ascii="Times" w:hAnsi="Times"/>
          <w:lang w:val="en-US"/>
        </w:rPr>
        <w:t>Limited v Golden Achievement Limite</w:t>
      </w:r>
      <w:r>
        <w:rPr>
          <w:rFonts w:ascii="Times" w:hAnsi="Times"/>
          <w:lang w:val="en-US"/>
        </w:rPr>
        <w:t>d [</w:t>
      </w:r>
      <w:r w:rsidRPr="00A25FAD">
        <w:rPr>
          <w:rFonts w:ascii="Times" w:hAnsi="Times"/>
          <w:lang w:val="en-US"/>
        </w:rPr>
        <w:t>1997</w:t>
      </w:r>
      <w:r>
        <w:rPr>
          <w:rFonts w:ascii="Times" w:hAnsi="Times"/>
          <w:lang w:val="en-US"/>
        </w:rPr>
        <w:t>] UKPC 5 AC 514</w:t>
      </w:r>
    </w:p>
    <w:p w14:paraId="5E57C7B9" w14:textId="6895F26D" w:rsidR="00087314" w:rsidRDefault="00087314" w:rsidP="0008253B">
      <w:pPr>
        <w:pStyle w:val="ListParagraph"/>
        <w:rPr>
          <w:rFonts w:ascii="Times" w:hAnsi="Times"/>
          <w:lang w:val="en-US"/>
        </w:rPr>
      </w:pPr>
    </w:p>
    <w:p w14:paraId="4EA69C31" w14:textId="77777777" w:rsidR="00AB1F2F" w:rsidRPr="007D4D10" w:rsidRDefault="00AB1F2F" w:rsidP="008204F0">
      <w:pPr>
        <w:rPr>
          <w:rFonts w:ascii="Times" w:hAnsi="Times"/>
          <w:sz w:val="26"/>
          <w:szCs w:val="26"/>
          <w:lang w:val="en-US"/>
        </w:rPr>
      </w:pPr>
      <w:r w:rsidRPr="007D4D10">
        <w:rPr>
          <w:rFonts w:ascii="Times" w:hAnsi="Times"/>
          <w:sz w:val="26"/>
          <w:szCs w:val="26"/>
          <w:lang w:val="en-US"/>
        </w:rPr>
        <w:t>Table of statutes</w:t>
      </w:r>
    </w:p>
    <w:p w14:paraId="154ADEF0" w14:textId="1515515D" w:rsidR="00AB1F2F" w:rsidRDefault="00AB1F2F" w:rsidP="008204F0">
      <w:pPr>
        <w:rPr>
          <w:rFonts w:ascii="Times" w:hAnsi="Times"/>
          <w:lang w:val="en-US"/>
        </w:rPr>
      </w:pPr>
    </w:p>
    <w:p w14:paraId="6DDF1D5F" w14:textId="26875D58" w:rsidR="00AA46B3" w:rsidRPr="007D4D10" w:rsidRDefault="00AA46B3" w:rsidP="008204F0">
      <w:pPr>
        <w:rPr>
          <w:rFonts w:ascii="Times" w:hAnsi="Times"/>
          <w:i/>
          <w:iCs/>
          <w:lang w:val="en-US"/>
        </w:rPr>
      </w:pPr>
      <w:r w:rsidRPr="007D4D10">
        <w:rPr>
          <w:rFonts w:ascii="Times" w:hAnsi="Times"/>
          <w:i/>
          <w:iCs/>
          <w:lang w:val="en-US"/>
        </w:rPr>
        <w:t>Bills of Exchange Act 1882</w:t>
      </w:r>
    </w:p>
    <w:p w14:paraId="1C192B6C" w14:textId="77777777" w:rsidR="00AA46B3" w:rsidRPr="007D4D10" w:rsidRDefault="00AA46B3" w:rsidP="008204F0">
      <w:pPr>
        <w:rPr>
          <w:rFonts w:ascii="Times" w:hAnsi="Times"/>
          <w:i/>
          <w:iCs/>
          <w:lang w:val="en-US"/>
        </w:rPr>
      </w:pPr>
    </w:p>
    <w:p w14:paraId="32608B9B" w14:textId="0145EE96" w:rsidR="00D92ED9" w:rsidRPr="007D4D10" w:rsidRDefault="00D92ED9" w:rsidP="008204F0">
      <w:pPr>
        <w:rPr>
          <w:rFonts w:ascii="Times" w:hAnsi="Times"/>
          <w:i/>
          <w:iCs/>
          <w:lang w:val="en-US"/>
        </w:rPr>
      </w:pPr>
      <w:r w:rsidRPr="007D4D10">
        <w:rPr>
          <w:rFonts w:ascii="Times" w:hAnsi="Times"/>
          <w:i/>
          <w:iCs/>
          <w:lang w:val="en-US"/>
        </w:rPr>
        <w:t>Contracts (Rights of Third Parties) Act 1999</w:t>
      </w:r>
    </w:p>
    <w:p w14:paraId="72DE9401" w14:textId="77777777" w:rsidR="00D92ED9" w:rsidRPr="007D4D10" w:rsidRDefault="00D92ED9" w:rsidP="008204F0">
      <w:pPr>
        <w:rPr>
          <w:rFonts w:ascii="Times" w:hAnsi="Times"/>
          <w:i/>
          <w:iCs/>
          <w:lang w:val="en-US"/>
        </w:rPr>
      </w:pPr>
    </w:p>
    <w:p w14:paraId="5C296DA7" w14:textId="55FE5444" w:rsidR="00A25FAD" w:rsidRPr="007D4D10" w:rsidRDefault="00D92ED9" w:rsidP="00A25FAD">
      <w:pPr>
        <w:rPr>
          <w:rFonts w:ascii="Times" w:hAnsi="Times"/>
          <w:i/>
          <w:iCs/>
          <w:lang w:val="en-US"/>
        </w:rPr>
      </w:pPr>
      <w:r w:rsidRPr="007D4D10">
        <w:rPr>
          <w:rFonts w:ascii="Times" w:hAnsi="Times"/>
          <w:i/>
          <w:iCs/>
          <w:lang w:val="en-US"/>
        </w:rPr>
        <w:t>Married Women’s Property Act 1882</w:t>
      </w:r>
      <w:r w:rsidR="00A25FAD" w:rsidRPr="007D4D10">
        <w:rPr>
          <w:rFonts w:ascii="Times" w:hAnsi="Times"/>
          <w:i/>
          <w:iCs/>
          <w:lang w:val="en-US"/>
        </w:rPr>
        <w:t xml:space="preserve"> </w:t>
      </w:r>
      <w:r w:rsidR="00A25FAD" w:rsidRPr="007D4D10">
        <w:rPr>
          <w:rFonts w:ascii="Times" w:hAnsi="Times"/>
          <w:i/>
          <w:iCs/>
          <w:lang w:val="en-US"/>
        </w:rPr>
        <w:t>Second</w:t>
      </w:r>
    </w:p>
    <w:p w14:paraId="18F3A998" w14:textId="77777777" w:rsidR="00A25FAD" w:rsidRPr="007D4D10" w:rsidRDefault="00A25FAD" w:rsidP="00A25FAD">
      <w:pPr>
        <w:rPr>
          <w:rFonts w:ascii="Times" w:hAnsi="Times"/>
          <w:i/>
          <w:iCs/>
          <w:lang w:val="en-US"/>
        </w:rPr>
      </w:pPr>
    </w:p>
    <w:p w14:paraId="4D5D4421" w14:textId="2EF0D0A0" w:rsidR="00A25FAD" w:rsidRPr="007D4D10" w:rsidRDefault="00A25FAD" w:rsidP="00A25FAD">
      <w:pPr>
        <w:rPr>
          <w:rFonts w:ascii="Times" w:hAnsi="Times"/>
          <w:i/>
          <w:iCs/>
          <w:lang w:val="en-US"/>
        </w:rPr>
      </w:pPr>
      <w:r w:rsidRPr="007D4D10">
        <w:rPr>
          <w:rFonts w:ascii="Times" w:hAnsi="Times"/>
          <w:i/>
          <w:iCs/>
          <w:lang w:val="en-US"/>
        </w:rPr>
        <w:t>Law of Property Act 1925</w:t>
      </w:r>
    </w:p>
    <w:p w14:paraId="5EEF56F3" w14:textId="0E0B8334" w:rsidR="00D92ED9" w:rsidRPr="007D4D10" w:rsidRDefault="00D92ED9" w:rsidP="008204F0">
      <w:pPr>
        <w:rPr>
          <w:rFonts w:ascii="Times" w:hAnsi="Times"/>
          <w:i/>
          <w:iCs/>
          <w:lang w:val="en-US"/>
        </w:rPr>
      </w:pPr>
    </w:p>
    <w:p w14:paraId="427ABEC6" w14:textId="77777777" w:rsidR="00AB1F2F" w:rsidRDefault="00AB1F2F" w:rsidP="008204F0">
      <w:pPr>
        <w:rPr>
          <w:rFonts w:ascii="Times" w:hAnsi="Times"/>
          <w:lang w:val="en-US"/>
        </w:rPr>
      </w:pPr>
    </w:p>
    <w:p w14:paraId="5AB824FB" w14:textId="77777777" w:rsidR="00AB1F2F" w:rsidRDefault="00AB1F2F" w:rsidP="008204F0">
      <w:pPr>
        <w:rPr>
          <w:rFonts w:ascii="Times" w:hAnsi="Times"/>
          <w:lang w:val="en-US"/>
        </w:rPr>
      </w:pPr>
    </w:p>
    <w:p w14:paraId="048E2756" w14:textId="77777777" w:rsidR="00AB1F2F" w:rsidRDefault="00AB1F2F" w:rsidP="008204F0">
      <w:pPr>
        <w:rPr>
          <w:rFonts w:ascii="Times" w:hAnsi="Times"/>
          <w:lang w:val="en-US"/>
        </w:rPr>
      </w:pPr>
    </w:p>
    <w:p w14:paraId="5FAF3B0C" w14:textId="77777777" w:rsidR="00AB1F2F" w:rsidRDefault="00AB1F2F" w:rsidP="008204F0">
      <w:pPr>
        <w:rPr>
          <w:rFonts w:ascii="Times" w:hAnsi="Times"/>
          <w:lang w:val="en-US"/>
        </w:rPr>
      </w:pPr>
    </w:p>
    <w:p w14:paraId="23BB6E56" w14:textId="77777777" w:rsidR="00AB1F2F" w:rsidRDefault="00AB1F2F" w:rsidP="008204F0">
      <w:pPr>
        <w:rPr>
          <w:rFonts w:ascii="Times" w:hAnsi="Times"/>
          <w:lang w:val="en-US"/>
        </w:rPr>
      </w:pPr>
    </w:p>
    <w:p w14:paraId="40567DAC" w14:textId="77777777" w:rsidR="00AB1F2F" w:rsidRDefault="00AB1F2F" w:rsidP="008204F0">
      <w:pPr>
        <w:rPr>
          <w:rFonts w:ascii="Times" w:hAnsi="Times"/>
          <w:lang w:val="en-US"/>
        </w:rPr>
      </w:pPr>
    </w:p>
    <w:p w14:paraId="52EA9FA7" w14:textId="77777777" w:rsidR="00AB1F2F" w:rsidRDefault="00AB1F2F" w:rsidP="008204F0">
      <w:pPr>
        <w:rPr>
          <w:rFonts w:ascii="Times" w:hAnsi="Times"/>
          <w:lang w:val="en-US"/>
        </w:rPr>
      </w:pPr>
    </w:p>
    <w:p w14:paraId="0D431B4B" w14:textId="77777777" w:rsidR="00AB1F2F" w:rsidRDefault="00AB1F2F" w:rsidP="008204F0">
      <w:pPr>
        <w:rPr>
          <w:rFonts w:ascii="Times" w:hAnsi="Times"/>
          <w:lang w:val="en-US"/>
        </w:rPr>
      </w:pPr>
    </w:p>
    <w:p w14:paraId="1B955CCF" w14:textId="77777777" w:rsidR="00AB1F2F" w:rsidRDefault="00AB1F2F" w:rsidP="008204F0">
      <w:pPr>
        <w:rPr>
          <w:rFonts w:ascii="Times" w:hAnsi="Times"/>
          <w:lang w:val="en-US"/>
        </w:rPr>
      </w:pPr>
    </w:p>
    <w:p w14:paraId="0D2FDCFB" w14:textId="77777777" w:rsidR="00AB1F2F" w:rsidRDefault="00AB1F2F" w:rsidP="008204F0">
      <w:pPr>
        <w:rPr>
          <w:rFonts w:ascii="Times" w:hAnsi="Times"/>
          <w:lang w:val="en-US"/>
        </w:rPr>
      </w:pPr>
    </w:p>
    <w:p w14:paraId="4B43CEED" w14:textId="77777777" w:rsidR="00AB1F2F" w:rsidRDefault="00AB1F2F" w:rsidP="008204F0">
      <w:pPr>
        <w:rPr>
          <w:rFonts w:ascii="Times" w:hAnsi="Times"/>
          <w:lang w:val="en-US"/>
        </w:rPr>
      </w:pPr>
    </w:p>
    <w:p w14:paraId="00C136D2" w14:textId="77777777" w:rsidR="00AB1F2F" w:rsidRDefault="00AB1F2F" w:rsidP="008204F0">
      <w:pPr>
        <w:rPr>
          <w:rFonts w:ascii="Times" w:hAnsi="Times"/>
          <w:lang w:val="en-US"/>
        </w:rPr>
      </w:pPr>
    </w:p>
    <w:p w14:paraId="10BBA3C6" w14:textId="77777777" w:rsidR="00AB1F2F" w:rsidRDefault="00AB1F2F" w:rsidP="008204F0">
      <w:pPr>
        <w:rPr>
          <w:rFonts w:ascii="Times" w:hAnsi="Times"/>
          <w:lang w:val="en-US"/>
        </w:rPr>
      </w:pPr>
    </w:p>
    <w:p w14:paraId="0CB364F8" w14:textId="77777777" w:rsidR="00AB1F2F" w:rsidRDefault="00AB1F2F" w:rsidP="008204F0">
      <w:pPr>
        <w:rPr>
          <w:rFonts w:ascii="Times" w:hAnsi="Times"/>
          <w:lang w:val="en-US"/>
        </w:rPr>
      </w:pPr>
    </w:p>
    <w:p w14:paraId="67895D7B" w14:textId="77777777" w:rsidR="00AB1F2F" w:rsidRDefault="00AB1F2F" w:rsidP="008204F0">
      <w:pPr>
        <w:rPr>
          <w:rFonts w:ascii="Times" w:hAnsi="Times"/>
          <w:lang w:val="en-US"/>
        </w:rPr>
      </w:pPr>
    </w:p>
    <w:p w14:paraId="370675EC" w14:textId="77777777" w:rsidR="00AB1F2F" w:rsidRDefault="00AB1F2F" w:rsidP="008204F0">
      <w:pPr>
        <w:rPr>
          <w:rFonts w:ascii="Times" w:hAnsi="Times"/>
          <w:lang w:val="en-US"/>
        </w:rPr>
      </w:pPr>
    </w:p>
    <w:p w14:paraId="670D1388" w14:textId="77777777" w:rsidR="00AB1F2F" w:rsidRDefault="00AB1F2F" w:rsidP="008204F0">
      <w:pPr>
        <w:rPr>
          <w:rFonts w:ascii="Times" w:hAnsi="Times"/>
          <w:lang w:val="en-US"/>
        </w:rPr>
      </w:pPr>
    </w:p>
    <w:p w14:paraId="2260BA9F" w14:textId="77777777" w:rsidR="00AB1F2F" w:rsidRDefault="00AB1F2F" w:rsidP="008204F0">
      <w:pPr>
        <w:rPr>
          <w:rFonts w:ascii="Times" w:hAnsi="Times"/>
          <w:lang w:val="en-US"/>
        </w:rPr>
      </w:pPr>
    </w:p>
    <w:p w14:paraId="12D6B1BF" w14:textId="77777777" w:rsidR="00AB1F2F" w:rsidRDefault="00AB1F2F" w:rsidP="008204F0">
      <w:pPr>
        <w:rPr>
          <w:rFonts w:ascii="Times" w:hAnsi="Times"/>
          <w:lang w:val="en-US"/>
        </w:rPr>
      </w:pPr>
    </w:p>
    <w:p w14:paraId="76752920" w14:textId="77777777" w:rsidR="00AB1F2F" w:rsidRDefault="00AB1F2F" w:rsidP="008204F0">
      <w:pPr>
        <w:rPr>
          <w:rFonts w:ascii="Times" w:hAnsi="Times"/>
          <w:lang w:val="en-US"/>
        </w:rPr>
      </w:pPr>
    </w:p>
    <w:p w14:paraId="2C04D267" w14:textId="77777777" w:rsidR="00AB1F2F" w:rsidRDefault="00AB1F2F" w:rsidP="008204F0">
      <w:pPr>
        <w:rPr>
          <w:rFonts w:ascii="Times" w:hAnsi="Times"/>
          <w:lang w:val="en-US"/>
        </w:rPr>
      </w:pPr>
    </w:p>
    <w:p w14:paraId="73178761" w14:textId="77777777" w:rsidR="00AB1F2F" w:rsidRDefault="00AB1F2F" w:rsidP="008204F0">
      <w:pPr>
        <w:rPr>
          <w:rFonts w:ascii="Times" w:hAnsi="Times"/>
          <w:lang w:val="en-US"/>
        </w:rPr>
      </w:pPr>
    </w:p>
    <w:p w14:paraId="7F0BAB35" w14:textId="77777777" w:rsidR="00AB1F2F" w:rsidRDefault="00AB1F2F" w:rsidP="008204F0">
      <w:pPr>
        <w:rPr>
          <w:rFonts w:ascii="Times" w:hAnsi="Times"/>
          <w:lang w:val="en-US"/>
        </w:rPr>
      </w:pPr>
    </w:p>
    <w:p w14:paraId="7DB1E3CD" w14:textId="77777777" w:rsidR="00AB1F2F" w:rsidRDefault="00AB1F2F" w:rsidP="008204F0">
      <w:pPr>
        <w:rPr>
          <w:rFonts w:ascii="Times" w:hAnsi="Times"/>
          <w:lang w:val="en-US"/>
        </w:rPr>
      </w:pPr>
    </w:p>
    <w:p w14:paraId="56D1F1AB" w14:textId="77777777" w:rsidR="00AB1F2F" w:rsidRDefault="00AB1F2F" w:rsidP="008204F0">
      <w:pPr>
        <w:rPr>
          <w:rFonts w:ascii="Times" w:hAnsi="Times"/>
          <w:lang w:val="en-US"/>
        </w:rPr>
      </w:pPr>
    </w:p>
    <w:p w14:paraId="25CE0996" w14:textId="77777777" w:rsidR="00AB1F2F" w:rsidRDefault="00AB1F2F" w:rsidP="008204F0">
      <w:pPr>
        <w:rPr>
          <w:rFonts w:ascii="Times" w:hAnsi="Times"/>
          <w:lang w:val="en-US"/>
        </w:rPr>
      </w:pPr>
    </w:p>
    <w:p w14:paraId="346A2ABD" w14:textId="77777777" w:rsidR="00AB1F2F" w:rsidRDefault="00AB1F2F" w:rsidP="008204F0">
      <w:pPr>
        <w:rPr>
          <w:rFonts w:ascii="Times" w:hAnsi="Times"/>
          <w:lang w:val="en-US"/>
        </w:rPr>
      </w:pPr>
    </w:p>
    <w:p w14:paraId="715394B1" w14:textId="77777777" w:rsidR="00AB1F2F" w:rsidRDefault="00AB1F2F" w:rsidP="008204F0">
      <w:pPr>
        <w:rPr>
          <w:rFonts w:ascii="Times" w:hAnsi="Times"/>
          <w:lang w:val="en-US"/>
        </w:rPr>
      </w:pPr>
    </w:p>
    <w:p w14:paraId="6D777452" w14:textId="77777777" w:rsidR="00AB1F2F" w:rsidRDefault="00AB1F2F" w:rsidP="008204F0">
      <w:pPr>
        <w:rPr>
          <w:rFonts w:ascii="Times" w:hAnsi="Times"/>
          <w:lang w:val="en-US"/>
        </w:rPr>
      </w:pPr>
    </w:p>
    <w:p w14:paraId="60A6FD79" w14:textId="77777777" w:rsidR="00AB1F2F" w:rsidRDefault="00AB1F2F" w:rsidP="008204F0">
      <w:pPr>
        <w:rPr>
          <w:rFonts w:ascii="Times" w:hAnsi="Times"/>
          <w:lang w:val="en-US"/>
        </w:rPr>
      </w:pPr>
    </w:p>
    <w:p w14:paraId="016E2B6D" w14:textId="77777777" w:rsidR="00AB1F2F" w:rsidRDefault="00AB1F2F" w:rsidP="008204F0">
      <w:pPr>
        <w:rPr>
          <w:rFonts w:ascii="Times" w:hAnsi="Times"/>
          <w:lang w:val="en-US"/>
        </w:rPr>
      </w:pPr>
    </w:p>
    <w:p w14:paraId="4F0294A2" w14:textId="77777777" w:rsidR="00AB1F2F" w:rsidRDefault="00AB1F2F" w:rsidP="008204F0">
      <w:pPr>
        <w:rPr>
          <w:rFonts w:ascii="Times" w:hAnsi="Times"/>
          <w:lang w:val="en-US"/>
        </w:rPr>
      </w:pPr>
    </w:p>
    <w:p w14:paraId="5646B0A1" w14:textId="77777777" w:rsidR="00AB1F2F" w:rsidRDefault="00AB1F2F" w:rsidP="008204F0">
      <w:pPr>
        <w:rPr>
          <w:rFonts w:ascii="Times" w:hAnsi="Times"/>
          <w:lang w:val="en-US"/>
        </w:rPr>
      </w:pPr>
    </w:p>
    <w:p w14:paraId="313FB3C2" w14:textId="77777777" w:rsidR="00AB1F2F" w:rsidRDefault="00AB1F2F" w:rsidP="008204F0">
      <w:pPr>
        <w:rPr>
          <w:rFonts w:ascii="Times" w:hAnsi="Times"/>
          <w:lang w:val="en-US"/>
        </w:rPr>
      </w:pPr>
    </w:p>
    <w:p w14:paraId="712A403C" w14:textId="77777777" w:rsidR="00AB1F2F" w:rsidRDefault="00AB1F2F" w:rsidP="008204F0">
      <w:pPr>
        <w:rPr>
          <w:rFonts w:ascii="Times" w:hAnsi="Times"/>
          <w:lang w:val="en-US"/>
        </w:rPr>
      </w:pPr>
    </w:p>
    <w:p w14:paraId="7DE2FD82" w14:textId="77777777" w:rsidR="00AB1F2F" w:rsidRDefault="00AB1F2F" w:rsidP="008204F0">
      <w:pPr>
        <w:rPr>
          <w:rFonts w:ascii="Times" w:hAnsi="Times"/>
          <w:lang w:val="en-US"/>
        </w:rPr>
      </w:pPr>
    </w:p>
    <w:p w14:paraId="7487403A" w14:textId="77777777" w:rsidR="00AB1F2F" w:rsidRDefault="00AB1F2F" w:rsidP="008204F0">
      <w:pPr>
        <w:rPr>
          <w:rFonts w:ascii="Times" w:hAnsi="Times"/>
          <w:lang w:val="en-US"/>
        </w:rPr>
      </w:pPr>
    </w:p>
    <w:p w14:paraId="3FEF9BF0" w14:textId="77777777" w:rsidR="00AB1F2F" w:rsidRDefault="00AB1F2F" w:rsidP="008204F0">
      <w:pPr>
        <w:rPr>
          <w:rFonts w:ascii="Times" w:hAnsi="Times"/>
          <w:lang w:val="en-US"/>
        </w:rPr>
      </w:pPr>
    </w:p>
    <w:p w14:paraId="4F3278A2" w14:textId="77777777" w:rsidR="00AB1F2F" w:rsidRDefault="00AB1F2F" w:rsidP="008204F0">
      <w:pPr>
        <w:rPr>
          <w:rFonts w:ascii="Times" w:hAnsi="Times"/>
          <w:lang w:val="en-US"/>
        </w:rPr>
      </w:pPr>
    </w:p>
    <w:p w14:paraId="5B8220DA" w14:textId="5E4AC56D" w:rsidR="00087314" w:rsidRPr="008204F0" w:rsidRDefault="00087314" w:rsidP="008204F0">
      <w:pPr>
        <w:rPr>
          <w:rFonts w:ascii="Times" w:hAnsi="Times"/>
          <w:lang w:val="en-US"/>
        </w:rPr>
      </w:pPr>
      <w:r w:rsidRPr="008204F0">
        <w:rPr>
          <w:rFonts w:ascii="Times" w:hAnsi="Times"/>
          <w:lang w:val="en-US"/>
        </w:rPr>
        <w:lastRenderedPageBreak/>
        <w:t>References</w:t>
      </w:r>
    </w:p>
    <w:p w14:paraId="2D81629D" w14:textId="6CBA9EED" w:rsidR="0049264C" w:rsidRDefault="0049264C" w:rsidP="0049264C">
      <w:pPr>
        <w:rPr>
          <w:rFonts w:ascii="Times" w:hAnsi="Times"/>
          <w:lang w:val="en-US"/>
        </w:rPr>
      </w:pPr>
    </w:p>
    <w:p w14:paraId="4E6FD76B" w14:textId="09970ECC" w:rsidR="0049264C" w:rsidRDefault="0049264C" w:rsidP="003024B2">
      <w:pPr>
        <w:rPr>
          <w:rFonts w:ascii="Times" w:hAnsi="Times"/>
          <w:lang w:val="en-US"/>
        </w:rPr>
      </w:pPr>
      <w:r>
        <w:rPr>
          <w:rFonts w:ascii="Times" w:hAnsi="Times"/>
          <w:lang w:val="en-US"/>
        </w:rPr>
        <w:t xml:space="preserve">Andrews, N. (2011) </w:t>
      </w:r>
      <w:r w:rsidR="00A85444">
        <w:rPr>
          <w:rFonts w:ascii="Times" w:hAnsi="Times"/>
          <w:lang w:val="en-US"/>
        </w:rPr>
        <w:t xml:space="preserve">“Offer and acceptance,” in </w:t>
      </w:r>
      <w:r w:rsidR="00A85444" w:rsidRPr="00A85444">
        <w:rPr>
          <w:rFonts w:ascii="Times" w:hAnsi="Times"/>
          <w:i/>
          <w:iCs/>
          <w:lang w:val="en-US"/>
        </w:rPr>
        <w:t>Contract Law</w:t>
      </w:r>
      <w:r w:rsidR="00A85444">
        <w:rPr>
          <w:rFonts w:ascii="Times" w:hAnsi="Times"/>
          <w:lang w:val="en-US"/>
        </w:rPr>
        <w:t xml:space="preserve">. Cambridge: Cambridge </w:t>
      </w:r>
      <w:r w:rsidR="003024B2">
        <w:rPr>
          <w:rFonts w:ascii="Times" w:hAnsi="Times"/>
          <w:lang w:val="en-US"/>
        </w:rPr>
        <w:t xml:space="preserve">       </w:t>
      </w:r>
      <w:r w:rsidR="00A85444">
        <w:rPr>
          <w:rFonts w:ascii="Times" w:hAnsi="Times"/>
          <w:lang w:val="en-US"/>
        </w:rPr>
        <w:t xml:space="preserve">University Press, pp. 36-87. </w:t>
      </w:r>
    </w:p>
    <w:p w14:paraId="66AE9803" w14:textId="77777777" w:rsidR="0049264C" w:rsidRPr="0049264C" w:rsidRDefault="0049264C" w:rsidP="003024B2">
      <w:pPr>
        <w:rPr>
          <w:rFonts w:ascii="Times" w:hAnsi="Times"/>
          <w:lang w:val="en-US"/>
        </w:rPr>
      </w:pPr>
    </w:p>
    <w:p w14:paraId="6B4FDEC7" w14:textId="4CC7D5F0" w:rsidR="00087314" w:rsidRPr="008204F0" w:rsidRDefault="00087314" w:rsidP="003024B2">
      <w:pPr>
        <w:rPr>
          <w:rFonts w:ascii="Times" w:hAnsi="Times"/>
          <w:lang w:val="en-US"/>
        </w:rPr>
      </w:pPr>
      <w:r w:rsidRPr="008204F0">
        <w:rPr>
          <w:rFonts w:ascii="Times" w:hAnsi="Times"/>
          <w:lang w:val="en-US"/>
        </w:rPr>
        <w:t xml:space="preserve">Elliott, C. and Quinn, F. (2011) </w:t>
      </w:r>
      <w:r w:rsidRPr="008204F0">
        <w:rPr>
          <w:rFonts w:ascii="Times" w:hAnsi="Times"/>
          <w:i/>
          <w:iCs/>
          <w:lang w:val="en-US"/>
        </w:rPr>
        <w:t>Contract Law</w:t>
      </w:r>
      <w:r w:rsidRPr="008204F0">
        <w:rPr>
          <w:rFonts w:ascii="Times" w:hAnsi="Times"/>
          <w:lang w:val="en-US"/>
        </w:rPr>
        <w:t>. 8</w:t>
      </w:r>
      <w:r w:rsidRPr="008204F0">
        <w:rPr>
          <w:rFonts w:ascii="Times" w:hAnsi="Times"/>
          <w:vertAlign w:val="superscript"/>
          <w:lang w:val="en-US"/>
        </w:rPr>
        <w:t>th</w:t>
      </w:r>
      <w:r w:rsidRPr="008204F0">
        <w:rPr>
          <w:rFonts w:ascii="Times" w:hAnsi="Times"/>
          <w:lang w:val="en-US"/>
        </w:rPr>
        <w:t xml:space="preserve"> edition. London: </w:t>
      </w:r>
      <w:r w:rsidR="00D33212" w:rsidRPr="008204F0">
        <w:rPr>
          <w:rFonts w:ascii="Times" w:hAnsi="Times"/>
          <w:lang w:val="en-US"/>
        </w:rPr>
        <w:t xml:space="preserve">Longman. </w:t>
      </w:r>
    </w:p>
    <w:p w14:paraId="2967431D" w14:textId="77777777" w:rsidR="00D33212" w:rsidRDefault="00D33212" w:rsidP="003024B2">
      <w:pPr>
        <w:pStyle w:val="ListParagraph"/>
        <w:rPr>
          <w:rFonts w:ascii="Times" w:hAnsi="Times"/>
          <w:lang w:val="en-US"/>
        </w:rPr>
      </w:pPr>
    </w:p>
    <w:p w14:paraId="4534C276" w14:textId="79866ABA" w:rsidR="00D33212" w:rsidRPr="008204F0" w:rsidRDefault="00D33212" w:rsidP="003024B2">
      <w:pPr>
        <w:rPr>
          <w:rFonts w:ascii="Times" w:hAnsi="Times"/>
          <w:lang w:val="en-US"/>
        </w:rPr>
      </w:pPr>
      <w:r w:rsidRPr="008204F0">
        <w:rPr>
          <w:rFonts w:ascii="Times" w:hAnsi="Times"/>
          <w:lang w:val="en-US"/>
        </w:rPr>
        <w:t>Poole, J. (2016</w:t>
      </w:r>
      <w:r w:rsidRPr="003024B2">
        <w:rPr>
          <w:rFonts w:ascii="Times" w:hAnsi="Times"/>
          <w:i/>
          <w:iCs/>
          <w:lang w:val="en-US"/>
        </w:rPr>
        <w:t>) Contract Law</w:t>
      </w:r>
      <w:r w:rsidRPr="008204F0">
        <w:rPr>
          <w:rFonts w:ascii="Times" w:hAnsi="Times"/>
          <w:lang w:val="en-US"/>
        </w:rPr>
        <w:t>. 13</w:t>
      </w:r>
      <w:r w:rsidRPr="008204F0">
        <w:rPr>
          <w:rFonts w:ascii="Times" w:hAnsi="Times"/>
          <w:vertAlign w:val="superscript"/>
          <w:lang w:val="en-US"/>
        </w:rPr>
        <w:t>th</w:t>
      </w:r>
      <w:r w:rsidRPr="008204F0">
        <w:rPr>
          <w:rFonts w:ascii="Times" w:hAnsi="Times"/>
          <w:lang w:val="en-US"/>
        </w:rPr>
        <w:t xml:space="preserve"> edition. Oxford: OUP Oxford. </w:t>
      </w:r>
    </w:p>
    <w:p w14:paraId="64ED0C5D" w14:textId="750038E1" w:rsidR="00C07609" w:rsidRPr="008204F0" w:rsidRDefault="00C07609" w:rsidP="003024B2">
      <w:pPr>
        <w:rPr>
          <w:rFonts w:ascii="Times" w:hAnsi="Times"/>
          <w:lang w:val="en-US"/>
        </w:rPr>
      </w:pPr>
    </w:p>
    <w:p w14:paraId="2492FB90" w14:textId="1E63EEBC" w:rsidR="00C07609" w:rsidRDefault="003024B2" w:rsidP="003024B2">
      <w:pPr>
        <w:rPr>
          <w:rFonts w:ascii="Times" w:hAnsi="Times"/>
          <w:lang w:val="en-US"/>
        </w:rPr>
      </w:pPr>
      <w:r>
        <w:rPr>
          <w:rFonts w:ascii="Times" w:hAnsi="Times"/>
          <w:lang w:val="en-US"/>
        </w:rPr>
        <w:t xml:space="preserve">Peel, E. (2015) </w:t>
      </w:r>
      <w:r w:rsidR="00C07609" w:rsidRPr="003024B2">
        <w:rPr>
          <w:rFonts w:ascii="Times" w:hAnsi="Times"/>
          <w:i/>
          <w:iCs/>
          <w:lang w:val="en-US"/>
        </w:rPr>
        <w:t>Treitel on The Law of Contrac</w:t>
      </w:r>
      <w:r w:rsidRPr="003024B2">
        <w:rPr>
          <w:rFonts w:ascii="Times" w:hAnsi="Times"/>
          <w:i/>
          <w:iCs/>
          <w:lang w:val="en-US"/>
        </w:rPr>
        <w:t>t.</w:t>
      </w:r>
      <w:r w:rsidR="00C07609" w:rsidRPr="008204F0">
        <w:rPr>
          <w:rFonts w:ascii="Times" w:hAnsi="Times"/>
          <w:lang w:val="en-US"/>
        </w:rPr>
        <w:t xml:space="preserve"> 14</w:t>
      </w:r>
      <w:r w:rsidRPr="003024B2">
        <w:rPr>
          <w:rFonts w:ascii="Times" w:hAnsi="Times"/>
          <w:vertAlign w:val="superscript"/>
          <w:lang w:val="en-US"/>
        </w:rPr>
        <w:t>th</w:t>
      </w:r>
      <w:r>
        <w:rPr>
          <w:rFonts w:ascii="Times" w:hAnsi="Times"/>
          <w:lang w:val="en-US"/>
        </w:rPr>
        <w:t xml:space="preserve"> </w:t>
      </w:r>
      <w:r w:rsidRPr="008204F0">
        <w:rPr>
          <w:rFonts w:ascii="Times" w:hAnsi="Times"/>
          <w:lang w:val="en-US"/>
        </w:rPr>
        <w:t>edition</w:t>
      </w:r>
      <w:r>
        <w:rPr>
          <w:rFonts w:ascii="Times" w:hAnsi="Times"/>
          <w:lang w:val="en-US"/>
        </w:rPr>
        <w:t xml:space="preserve">. </w:t>
      </w:r>
      <w:r w:rsidR="00C07609" w:rsidRPr="008204F0">
        <w:rPr>
          <w:rFonts w:ascii="Times" w:hAnsi="Times"/>
          <w:lang w:val="en-US"/>
        </w:rPr>
        <w:t xml:space="preserve"> London: Sweet &amp; Maxwell. </w:t>
      </w:r>
    </w:p>
    <w:p w14:paraId="5AC22B2B" w14:textId="65FEE91C" w:rsidR="003A7E85" w:rsidRDefault="003A7E85" w:rsidP="003024B2">
      <w:pPr>
        <w:rPr>
          <w:rFonts w:ascii="Times" w:hAnsi="Times"/>
          <w:lang w:val="en-US"/>
        </w:rPr>
      </w:pPr>
    </w:p>
    <w:p w14:paraId="7F41C4DD" w14:textId="757C4F47" w:rsidR="003A7E85" w:rsidRPr="00CF1314" w:rsidRDefault="003A7E85" w:rsidP="003024B2">
      <w:pPr>
        <w:rPr>
          <w:rFonts w:ascii="Times" w:hAnsi="Times"/>
        </w:rPr>
      </w:pPr>
      <w:r w:rsidRPr="00CF1314">
        <w:rPr>
          <w:rFonts w:ascii="Times" w:hAnsi="Times"/>
          <w:lang w:val="en-US"/>
        </w:rPr>
        <w:t>Marson, J. and Ferris, K. (2015</w:t>
      </w:r>
      <w:r w:rsidR="00CF1314" w:rsidRPr="00CF1314">
        <w:rPr>
          <w:rFonts w:ascii="Times" w:hAnsi="Times"/>
          <w:lang w:val="en-US"/>
        </w:rPr>
        <w:t xml:space="preserve">) Essential Features of a valid Contract. DOI: </w:t>
      </w:r>
      <w:hyperlink r:id="rId7" w:tgtFrame="_blank" w:history="1">
        <w:r w:rsidR="00CF1314" w:rsidRPr="00CF1314">
          <w:rPr>
            <w:rStyle w:val="Hyperlink"/>
            <w:rFonts w:ascii="Times" w:hAnsi="Times"/>
            <w:bdr w:val="none" w:sz="0" w:space="0" w:color="auto" w:frame="1"/>
            <w:shd w:val="clear" w:color="auto" w:fill="FFFFFF"/>
          </w:rPr>
          <w:t>10.1093/he/9780198766285.003.0006</w:t>
        </w:r>
      </w:hyperlink>
      <w:r w:rsidR="00CF1314" w:rsidRPr="00CF1314">
        <w:rPr>
          <w:rFonts w:ascii="Times" w:hAnsi="Times"/>
        </w:rPr>
        <w:t>.</w:t>
      </w:r>
    </w:p>
    <w:p w14:paraId="5D6B9C29" w14:textId="2A849667" w:rsidR="003A7E85" w:rsidRPr="00CF1314" w:rsidRDefault="003A7E85" w:rsidP="003024B2">
      <w:pPr>
        <w:rPr>
          <w:rFonts w:ascii="Times" w:hAnsi="Times"/>
          <w:lang w:val="en-US"/>
        </w:rPr>
      </w:pPr>
    </w:p>
    <w:p w14:paraId="3B8AAE02" w14:textId="6C2DD3AD" w:rsidR="003A7E85" w:rsidRPr="00CF1314" w:rsidRDefault="003A7E85" w:rsidP="003024B2">
      <w:pPr>
        <w:rPr>
          <w:rFonts w:ascii="Times" w:hAnsi="Times"/>
          <w:lang w:val="en-US"/>
        </w:rPr>
      </w:pPr>
      <w:r w:rsidRPr="00CF1314">
        <w:rPr>
          <w:rFonts w:ascii="Times" w:hAnsi="Times"/>
          <w:lang w:val="en-US"/>
        </w:rPr>
        <w:t>Morawetz, V. (1925)</w:t>
      </w:r>
      <w:r w:rsidRPr="00CF1314">
        <w:rPr>
          <w:rFonts w:ascii="Times" w:hAnsi="Times"/>
        </w:rPr>
        <w:t xml:space="preserve"> </w:t>
      </w:r>
      <w:r w:rsidR="00A74E49" w:rsidRPr="00CF1314">
        <w:rPr>
          <w:rFonts w:ascii="Times" w:hAnsi="Times"/>
        </w:rPr>
        <w:t>‘</w:t>
      </w:r>
      <w:r w:rsidR="00A74E49" w:rsidRPr="00CF1314">
        <w:rPr>
          <w:rFonts w:ascii="Times" w:hAnsi="Times"/>
          <w:lang w:val="en-US"/>
        </w:rPr>
        <w:t xml:space="preserve">The Elements of a Contract’, </w:t>
      </w:r>
      <w:r w:rsidR="00A74E49" w:rsidRPr="00CF1314">
        <w:rPr>
          <w:rFonts w:ascii="Times" w:hAnsi="Times"/>
          <w:i/>
          <w:iCs/>
          <w:lang w:val="en-US"/>
        </w:rPr>
        <w:t>American Bar Association Journal,</w:t>
      </w:r>
      <w:r w:rsidR="00A74E49" w:rsidRPr="00CF1314">
        <w:rPr>
          <w:rFonts w:ascii="Times" w:hAnsi="Times"/>
          <w:lang w:val="en-US"/>
        </w:rPr>
        <w:t xml:space="preserve"> (11)2, pp. 87-90. </w:t>
      </w:r>
    </w:p>
    <w:p w14:paraId="1C2A122E" w14:textId="1AA16950" w:rsidR="003A7E85" w:rsidRPr="00CF1314" w:rsidRDefault="003A7E85" w:rsidP="003024B2">
      <w:pPr>
        <w:rPr>
          <w:rFonts w:ascii="Times" w:hAnsi="Times"/>
          <w:lang w:val="en-US"/>
        </w:rPr>
      </w:pPr>
    </w:p>
    <w:p w14:paraId="3D51D40A" w14:textId="77777777" w:rsidR="00CF1314" w:rsidRPr="008204F0" w:rsidRDefault="00CF1314" w:rsidP="003024B2">
      <w:pPr>
        <w:rPr>
          <w:rFonts w:ascii="Times" w:hAnsi="Times"/>
          <w:lang w:val="en-US"/>
        </w:rPr>
      </w:pPr>
    </w:p>
    <w:sectPr w:rsidR="00CF1314" w:rsidRPr="008204F0">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B1066" w14:textId="77777777" w:rsidR="0039581D" w:rsidRDefault="0039581D" w:rsidP="000B7C4F">
      <w:r>
        <w:separator/>
      </w:r>
    </w:p>
  </w:endnote>
  <w:endnote w:type="continuationSeparator" w:id="0">
    <w:p w14:paraId="7C18EBCF" w14:textId="77777777" w:rsidR="0039581D" w:rsidRDefault="0039581D" w:rsidP="000B7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8419510"/>
      <w:docPartObj>
        <w:docPartGallery w:val="Page Numbers (Bottom of Page)"/>
        <w:docPartUnique/>
      </w:docPartObj>
    </w:sdtPr>
    <w:sdtContent>
      <w:p w14:paraId="5C3424C2" w14:textId="7344650F" w:rsidR="003123BB" w:rsidRDefault="003123BB" w:rsidP="005277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FEDB69" w14:textId="77777777" w:rsidR="003123BB" w:rsidRDefault="003123BB" w:rsidP="003123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5045998"/>
      <w:docPartObj>
        <w:docPartGallery w:val="Page Numbers (Bottom of Page)"/>
        <w:docPartUnique/>
      </w:docPartObj>
    </w:sdtPr>
    <w:sdtContent>
      <w:p w14:paraId="6C051DC8" w14:textId="69BFF04F" w:rsidR="003123BB" w:rsidRDefault="003123BB" w:rsidP="005277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B27A28" w14:textId="77777777" w:rsidR="003123BB" w:rsidRDefault="003123BB" w:rsidP="003123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A2B5D" w14:textId="77777777" w:rsidR="0039581D" w:rsidRDefault="0039581D" w:rsidP="000B7C4F">
      <w:r>
        <w:separator/>
      </w:r>
    </w:p>
  </w:footnote>
  <w:footnote w:type="continuationSeparator" w:id="0">
    <w:p w14:paraId="64014C3D" w14:textId="77777777" w:rsidR="0039581D" w:rsidRDefault="0039581D" w:rsidP="000B7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6C212" w14:textId="1CD6C753" w:rsidR="000B7C4F" w:rsidRPr="000B7C4F" w:rsidRDefault="000B7C4F" w:rsidP="000B7C4F">
    <w:pPr>
      <w:pStyle w:val="Header"/>
      <w:jc w:val="right"/>
      <w:rPr>
        <w:rFonts w:ascii="Times" w:hAnsi="Times"/>
        <w:sz w:val="22"/>
        <w:szCs w:val="22"/>
        <w:lang w:val="en-US"/>
      </w:rPr>
    </w:pPr>
    <w:r w:rsidRPr="000B7C4F">
      <w:rPr>
        <w:rFonts w:ascii="Times" w:hAnsi="Times"/>
        <w:sz w:val="22"/>
        <w:szCs w:val="22"/>
        <w:lang w:val="en-US"/>
      </w:rPr>
      <w:t>Ulziijargal Batbaatar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7452E"/>
    <w:multiLevelType w:val="hybridMultilevel"/>
    <w:tmpl w:val="6CCE7412"/>
    <w:lvl w:ilvl="0" w:tplc="46AE17B0">
      <w:start w:val="1"/>
      <w:numFmt w:val="bullet"/>
      <w:lvlText w:val="-"/>
      <w:lvlJc w:val="left"/>
      <w:pPr>
        <w:tabs>
          <w:tab w:val="num" w:pos="720"/>
        </w:tabs>
        <w:ind w:left="720" w:hanging="360"/>
      </w:pPr>
      <w:rPr>
        <w:rFonts w:ascii="Times New Roman" w:hAnsi="Times New Roman" w:hint="default"/>
      </w:rPr>
    </w:lvl>
    <w:lvl w:ilvl="1" w:tplc="0FC67EB4" w:tentative="1">
      <w:start w:val="1"/>
      <w:numFmt w:val="bullet"/>
      <w:lvlText w:val="-"/>
      <w:lvlJc w:val="left"/>
      <w:pPr>
        <w:tabs>
          <w:tab w:val="num" w:pos="1440"/>
        </w:tabs>
        <w:ind w:left="1440" w:hanging="360"/>
      </w:pPr>
      <w:rPr>
        <w:rFonts w:ascii="Times New Roman" w:hAnsi="Times New Roman" w:hint="default"/>
      </w:rPr>
    </w:lvl>
    <w:lvl w:ilvl="2" w:tplc="2DDCDE26" w:tentative="1">
      <w:start w:val="1"/>
      <w:numFmt w:val="bullet"/>
      <w:lvlText w:val="-"/>
      <w:lvlJc w:val="left"/>
      <w:pPr>
        <w:tabs>
          <w:tab w:val="num" w:pos="2160"/>
        </w:tabs>
        <w:ind w:left="2160" w:hanging="360"/>
      </w:pPr>
      <w:rPr>
        <w:rFonts w:ascii="Times New Roman" w:hAnsi="Times New Roman" w:hint="default"/>
      </w:rPr>
    </w:lvl>
    <w:lvl w:ilvl="3" w:tplc="FECC9642" w:tentative="1">
      <w:start w:val="1"/>
      <w:numFmt w:val="bullet"/>
      <w:lvlText w:val="-"/>
      <w:lvlJc w:val="left"/>
      <w:pPr>
        <w:tabs>
          <w:tab w:val="num" w:pos="2880"/>
        </w:tabs>
        <w:ind w:left="2880" w:hanging="360"/>
      </w:pPr>
      <w:rPr>
        <w:rFonts w:ascii="Times New Roman" w:hAnsi="Times New Roman" w:hint="default"/>
      </w:rPr>
    </w:lvl>
    <w:lvl w:ilvl="4" w:tplc="0EA67650" w:tentative="1">
      <w:start w:val="1"/>
      <w:numFmt w:val="bullet"/>
      <w:lvlText w:val="-"/>
      <w:lvlJc w:val="left"/>
      <w:pPr>
        <w:tabs>
          <w:tab w:val="num" w:pos="3600"/>
        </w:tabs>
        <w:ind w:left="3600" w:hanging="360"/>
      </w:pPr>
      <w:rPr>
        <w:rFonts w:ascii="Times New Roman" w:hAnsi="Times New Roman" w:hint="default"/>
      </w:rPr>
    </w:lvl>
    <w:lvl w:ilvl="5" w:tplc="3902587E" w:tentative="1">
      <w:start w:val="1"/>
      <w:numFmt w:val="bullet"/>
      <w:lvlText w:val="-"/>
      <w:lvlJc w:val="left"/>
      <w:pPr>
        <w:tabs>
          <w:tab w:val="num" w:pos="4320"/>
        </w:tabs>
        <w:ind w:left="4320" w:hanging="360"/>
      </w:pPr>
      <w:rPr>
        <w:rFonts w:ascii="Times New Roman" w:hAnsi="Times New Roman" w:hint="default"/>
      </w:rPr>
    </w:lvl>
    <w:lvl w:ilvl="6" w:tplc="60923372" w:tentative="1">
      <w:start w:val="1"/>
      <w:numFmt w:val="bullet"/>
      <w:lvlText w:val="-"/>
      <w:lvlJc w:val="left"/>
      <w:pPr>
        <w:tabs>
          <w:tab w:val="num" w:pos="5040"/>
        </w:tabs>
        <w:ind w:left="5040" w:hanging="360"/>
      </w:pPr>
      <w:rPr>
        <w:rFonts w:ascii="Times New Roman" w:hAnsi="Times New Roman" w:hint="default"/>
      </w:rPr>
    </w:lvl>
    <w:lvl w:ilvl="7" w:tplc="1B722536" w:tentative="1">
      <w:start w:val="1"/>
      <w:numFmt w:val="bullet"/>
      <w:lvlText w:val="-"/>
      <w:lvlJc w:val="left"/>
      <w:pPr>
        <w:tabs>
          <w:tab w:val="num" w:pos="5760"/>
        </w:tabs>
        <w:ind w:left="5760" w:hanging="360"/>
      </w:pPr>
      <w:rPr>
        <w:rFonts w:ascii="Times New Roman" w:hAnsi="Times New Roman" w:hint="default"/>
      </w:rPr>
    </w:lvl>
    <w:lvl w:ilvl="8" w:tplc="E1B0DE2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F316BAA"/>
    <w:multiLevelType w:val="hybridMultilevel"/>
    <w:tmpl w:val="DB04D4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751D84"/>
    <w:multiLevelType w:val="hybridMultilevel"/>
    <w:tmpl w:val="7B08573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26406"/>
    <w:multiLevelType w:val="hybridMultilevel"/>
    <w:tmpl w:val="214CC23E"/>
    <w:lvl w:ilvl="0" w:tplc="48C88F0C">
      <w:start w:val="1"/>
      <w:numFmt w:val="bullet"/>
      <w:lvlText w:val="•"/>
      <w:lvlJc w:val="left"/>
      <w:pPr>
        <w:tabs>
          <w:tab w:val="num" w:pos="720"/>
        </w:tabs>
        <w:ind w:left="720" w:hanging="360"/>
      </w:pPr>
      <w:rPr>
        <w:rFonts w:ascii="Corbel" w:hAnsi="Corbel" w:hint="default"/>
      </w:rPr>
    </w:lvl>
    <w:lvl w:ilvl="1" w:tplc="2E303D6A" w:tentative="1">
      <w:start w:val="1"/>
      <w:numFmt w:val="bullet"/>
      <w:lvlText w:val="•"/>
      <w:lvlJc w:val="left"/>
      <w:pPr>
        <w:tabs>
          <w:tab w:val="num" w:pos="1440"/>
        </w:tabs>
        <w:ind w:left="1440" w:hanging="360"/>
      </w:pPr>
      <w:rPr>
        <w:rFonts w:ascii="Corbel" w:hAnsi="Corbel" w:hint="default"/>
      </w:rPr>
    </w:lvl>
    <w:lvl w:ilvl="2" w:tplc="63A879AA" w:tentative="1">
      <w:start w:val="1"/>
      <w:numFmt w:val="bullet"/>
      <w:lvlText w:val="•"/>
      <w:lvlJc w:val="left"/>
      <w:pPr>
        <w:tabs>
          <w:tab w:val="num" w:pos="2160"/>
        </w:tabs>
        <w:ind w:left="2160" w:hanging="360"/>
      </w:pPr>
      <w:rPr>
        <w:rFonts w:ascii="Corbel" w:hAnsi="Corbel" w:hint="default"/>
      </w:rPr>
    </w:lvl>
    <w:lvl w:ilvl="3" w:tplc="DF9C109C" w:tentative="1">
      <w:start w:val="1"/>
      <w:numFmt w:val="bullet"/>
      <w:lvlText w:val="•"/>
      <w:lvlJc w:val="left"/>
      <w:pPr>
        <w:tabs>
          <w:tab w:val="num" w:pos="2880"/>
        </w:tabs>
        <w:ind w:left="2880" w:hanging="360"/>
      </w:pPr>
      <w:rPr>
        <w:rFonts w:ascii="Corbel" w:hAnsi="Corbel" w:hint="default"/>
      </w:rPr>
    </w:lvl>
    <w:lvl w:ilvl="4" w:tplc="B0040A6E" w:tentative="1">
      <w:start w:val="1"/>
      <w:numFmt w:val="bullet"/>
      <w:lvlText w:val="•"/>
      <w:lvlJc w:val="left"/>
      <w:pPr>
        <w:tabs>
          <w:tab w:val="num" w:pos="3600"/>
        </w:tabs>
        <w:ind w:left="3600" w:hanging="360"/>
      </w:pPr>
      <w:rPr>
        <w:rFonts w:ascii="Corbel" w:hAnsi="Corbel" w:hint="default"/>
      </w:rPr>
    </w:lvl>
    <w:lvl w:ilvl="5" w:tplc="8B7A4E22" w:tentative="1">
      <w:start w:val="1"/>
      <w:numFmt w:val="bullet"/>
      <w:lvlText w:val="•"/>
      <w:lvlJc w:val="left"/>
      <w:pPr>
        <w:tabs>
          <w:tab w:val="num" w:pos="4320"/>
        </w:tabs>
        <w:ind w:left="4320" w:hanging="360"/>
      </w:pPr>
      <w:rPr>
        <w:rFonts w:ascii="Corbel" w:hAnsi="Corbel" w:hint="default"/>
      </w:rPr>
    </w:lvl>
    <w:lvl w:ilvl="6" w:tplc="F5F20C8A" w:tentative="1">
      <w:start w:val="1"/>
      <w:numFmt w:val="bullet"/>
      <w:lvlText w:val="•"/>
      <w:lvlJc w:val="left"/>
      <w:pPr>
        <w:tabs>
          <w:tab w:val="num" w:pos="5040"/>
        </w:tabs>
        <w:ind w:left="5040" w:hanging="360"/>
      </w:pPr>
      <w:rPr>
        <w:rFonts w:ascii="Corbel" w:hAnsi="Corbel" w:hint="default"/>
      </w:rPr>
    </w:lvl>
    <w:lvl w:ilvl="7" w:tplc="8B92DD66" w:tentative="1">
      <w:start w:val="1"/>
      <w:numFmt w:val="bullet"/>
      <w:lvlText w:val="•"/>
      <w:lvlJc w:val="left"/>
      <w:pPr>
        <w:tabs>
          <w:tab w:val="num" w:pos="5760"/>
        </w:tabs>
        <w:ind w:left="5760" w:hanging="360"/>
      </w:pPr>
      <w:rPr>
        <w:rFonts w:ascii="Corbel" w:hAnsi="Corbel" w:hint="default"/>
      </w:rPr>
    </w:lvl>
    <w:lvl w:ilvl="8" w:tplc="270E912E" w:tentative="1">
      <w:start w:val="1"/>
      <w:numFmt w:val="bullet"/>
      <w:lvlText w:val="•"/>
      <w:lvlJc w:val="left"/>
      <w:pPr>
        <w:tabs>
          <w:tab w:val="num" w:pos="6480"/>
        </w:tabs>
        <w:ind w:left="6480" w:hanging="360"/>
      </w:pPr>
      <w:rPr>
        <w:rFonts w:ascii="Corbel" w:hAnsi="Corbel" w:hint="default"/>
      </w:rPr>
    </w:lvl>
  </w:abstractNum>
  <w:abstractNum w:abstractNumId="4" w15:restartNumberingAfterBreak="0">
    <w:nsid w:val="78151A00"/>
    <w:multiLevelType w:val="hybridMultilevel"/>
    <w:tmpl w:val="344CA852"/>
    <w:lvl w:ilvl="0" w:tplc="CC50CB74">
      <w:start w:val="1"/>
      <w:numFmt w:val="bullet"/>
      <w:lvlText w:val="-"/>
      <w:lvlJc w:val="left"/>
      <w:pPr>
        <w:tabs>
          <w:tab w:val="num" w:pos="720"/>
        </w:tabs>
        <w:ind w:left="720" w:hanging="360"/>
      </w:pPr>
      <w:rPr>
        <w:rFonts w:ascii="Times New Roman" w:hAnsi="Times New Roman" w:hint="default"/>
      </w:rPr>
    </w:lvl>
    <w:lvl w:ilvl="1" w:tplc="949A6DCA" w:tentative="1">
      <w:start w:val="1"/>
      <w:numFmt w:val="bullet"/>
      <w:lvlText w:val="-"/>
      <w:lvlJc w:val="left"/>
      <w:pPr>
        <w:tabs>
          <w:tab w:val="num" w:pos="1440"/>
        </w:tabs>
        <w:ind w:left="1440" w:hanging="360"/>
      </w:pPr>
      <w:rPr>
        <w:rFonts w:ascii="Times New Roman" w:hAnsi="Times New Roman" w:hint="default"/>
      </w:rPr>
    </w:lvl>
    <w:lvl w:ilvl="2" w:tplc="3A38C4B6" w:tentative="1">
      <w:start w:val="1"/>
      <w:numFmt w:val="bullet"/>
      <w:lvlText w:val="-"/>
      <w:lvlJc w:val="left"/>
      <w:pPr>
        <w:tabs>
          <w:tab w:val="num" w:pos="2160"/>
        </w:tabs>
        <w:ind w:left="2160" w:hanging="360"/>
      </w:pPr>
      <w:rPr>
        <w:rFonts w:ascii="Times New Roman" w:hAnsi="Times New Roman" w:hint="default"/>
      </w:rPr>
    </w:lvl>
    <w:lvl w:ilvl="3" w:tplc="10D8A784" w:tentative="1">
      <w:start w:val="1"/>
      <w:numFmt w:val="bullet"/>
      <w:lvlText w:val="-"/>
      <w:lvlJc w:val="left"/>
      <w:pPr>
        <w:tabs>
          <w:tab w:val="num" w:pos="2880"/>
        </w:tabs>
        <w:ind w:left="2880" w:hanging="360"/>
      </w:pPr>
      <w:rPr>
        <w:rFonts w:ascii="Times New Roman" w:hAnsi="Times New Roman" w:hint="default"/>
      </w:rPr>
    </w:lvl>
    <w:lvl w:ilvl="4" w:tplc="1BE0EAF0" w:tentative="1">
      <w:start w:val="1"/>
      <w:numFmt w:val="bullet"/>
      <w:lvlText w:val="-"/>
      <w:lvlJc w:val="left"/>
      <w:pPr>
        <w:tabs>
          <w:tab w:val="num" w:pos="3600"/>
        </w:tabs>
        <w:ind w:left="3600" w:hanging="360"/>
      </w:pPr>
      <w:rPr>
        <w:rFonts w:ascii="Times New Roman" w:hAnsi="Times New Roman" w:hint="default"/>
      </w:rPr>
    </w:lvl>
    <w:lvl w:ilvl="5" w:tplc="7CBE089E" w:tentative="1">
      <w:start w:val="1"/>
      <w:numFmt w:val="bullet"/>
      <w:lvlText w:val="-"/>
      <w:lvlJc w:val="left"/>
      <w:pPr>
        <w:tabs>
          <w:tab w:val="num" w:pos="4320"/>
        </w:tabs>
        <w:ind w:left="4320" w:hanging="360"/>
      </w:pPr>
      <w:rPr>
        <w:rFonts w:ascii="Times New Roman" w:hAnsi="Times New Roman" w:hint="default"/>
      </w:rPr>
    </w:lvl>
    <w:lvl w:ilvl="6" w:tplc="E68640E8" w:tentative="1">
      <w:start w:val="1"/>
      <w:numFmt w:val="bullet"/>
      <w:lvlText w:val="-"/>
      <w:lvlJc w:val="left"/>
      <w:pPr>
        <w:tabs>
          <w:tab w:val="num" w:pos="5040"/>
        </w:tabs>
        <w:ind w:left="5040" w:hanging="360"/>
      </w:pPr>
      <w:rPr>
        <w:rFonts w:ascii="Times New Roman" w:hAnsi="Times New Roman" w:hint="default"/>
      </w:rPr>
    </w:lvl>
    <w:lvl w:ilvl="7" w:tplc="94BA1460" w:tentative="1">
      <w:start w:val="1"/>
      <w:numFmt w:val="bullet"/>
      <w:lvlText w:val="-"/>
      <w:lvlJc w:val="left"/>
      <w:pPr>
        <w:tabs>
          <w:tab w:val="num" w:pos="5760"/>
        </w:tabs>
        <w:ind w:left="5760" w:hanging="360"/>
      </w:pPr>
      <w:rPr>
        <w:rFonts w:ascii="Times New Roman" w:hAnsi="Times New Roman" w:hint="default"/>
      </w:rPr>
    </w:lvl>
    <w:lvl w:ilvl="8" w:tplc="0D7E0BC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9295AC9"/>
    <w:multiLevelType w:val="hybridMultilevel"/>
    <w:tmpl w:val="2F288FAA"/>
    <w:lvl w:ilvl="0" w:tplc="04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FE2"/>
    <w:rsid w:val="00010470"/>
    <w:rsid w:val="00016874"/>
    <w:rsid w:val="000638F6"/>
    <w:rsid w:val="0006523C"/>
    <w:rsid w:val="0008253B"/>
    <w:rsid w:val="00087314"/>
    <w:rsid w:val="00093EEB"/>
    <w:rsid w:val="000B7C4F"/>
    <w:rsid w:val="000F6FE2"/>
    <w:rsid w:val="00156C09"/>
    <w:rsid w:val="001629B7"/>
    <w:rsid w:val="001A3C81"/>
    <w:rsid w:val="001C1702"/>
    <w:rsid w:val="001E1436"/>
    <w:rsid w:val="00222F82"/>
    <w:rsid w:val="002240C9"/>
    <w:rsid w:val="002379E7"/>
    <w:rsid w:val="00263859"/>
    <w:rsid w:val="00290AC0"/>
    <w:rsid w:val="0029545A"/>
    <w:rsid w:val="002A5E31"/>
    <w:rsid w:val="002B2330"/>
    <w:rsid w:val="003024B2"/>
    <w:rsid w:val="003123BB"/>
    <w:rsid w:val="00315FBD"/>
    <w:rsid w:val="0032633B"/>
    <w:rsid w:val="00367AD3"/>
    <w:rsid w:val="0039581D"/>
    <w:rsid w:val="003A7E85"/>
    <w:rsid w:val="003B0E8C"/>
    <w:rsid w:val="003C6E70"/>
    <w:rsid w:val="003F1C26"/>
    <w:rsid w:val="003F416F"/>
    <w:rsid w:val="00401BCF"/>
    <w:rsid w:val="00415B2E"/>
    <w:rsid w:val="004802A5"/>
    <w:rsid w:val="00483827"/>
    <w:rsid w:val="0049264C"/>
    <w:rsid w:val="004C2787"/>
    <w:rsid w:val="004C53B2"/>
    <w:rsid w:val="004D7B1B"/>
    <w:rsid w:val="0050279A"/>
    <w:rsid w:val="0053132C"/>
    <w:rsid w:val="00537276"/>
    <w:rsid w:val="00590E0A"/>
    <w:rsid w:val="005F12E4"/>
    <w:rsid w:val="005F3CF9"/>
    <w:rsid w:val="00617567"/>
    <w:rsid w:val="0062779E"/>
    <w:rsid w:val="006E011D"/>
    <w:rsid w:val="006E744A"/>
    <w:rsid w:val="006F29D3"/>
    <w:rsid w:val="00707228"/>
    <w:rsid w:val="007139DA"/>
    <w:rsid w:val="00763BA8"/>
    <w:rsid w:val="00766812"/>
    <w:rsid w:val="007C4D34"/>
    <w:rsid w:val="007D4D10"/>
    <w:rsid w:val="007D5B92"/>
    <w:rsid w:val="007E479D"/>
    <w:rsid w:val="007E6352"/>
    <w:rsid w:val="00802436"/>
    <w:rsid w:val="00804786"/>
    <w:rsid w:val="008204F0"/>
    <w:rsid w:val="00854F57"/>
    <w:rsid w:val="008B1903"/>
    <w:rsid w:val="008C115A"/>
    <w:rsid w:val="008D29A7"/>
    <w:rsid w:val="00922057"/>
    <w:rsid w:val="00942CB6"/>
    <w:rsid w:val="00982E28"/>
    <w:rsid w:val="009B12B0"/>
    <w:rsid w:val="00A02F16"/>
    <w:rsid w:val="00A25FAD"/>
    <w:rsid w:val="00A74661"/>
    <w:rsid w:val="00A74E49"/>
    <w:rsid w:val="00A75940"/>
    <w:rsid w:val="00A75BAE"/>
    <w:rsid w:val="00A85444"/>
    <w:rsid w:val="00AA46B3"/>
    <w:rsid w:val="00AB1F2F"/>
    <w:rsid w:val="00AD18CB"/>
    <w:rsid w:val="00B66DD3"/>
    <w:rsid w:val="00B73ACD"/>
    <w:rsid w:val="00B90F05"/>
    <w:rsid w:val="00B94870"/>
    <w:rsid w:val="00BB1D2E"/>
    <w:rsid w:val="00BD10DD"/>
    <w:rsid w:val="00BF5C50"/>
    <w:rsid w:val="00C07609"/>
    <w:rsid w:val="00C2140E"/>
    <w:rsid w:val="00CD0926"/>
    <w:rsid w:val="00CD4304"/>
    <w:rsid w:val="00CD6A76"/>
    <w:rsid w:val="00CE16A3"/>
    <w:rsid w:val="00CF1314"/>
    <w:rsid w:val="00D019FA"/>
    <w:rsid w:val="00D058B3"/>
    <w:rsid w:val="00D10F0B"/>
    <w:rsid w:val="00D17B51"/>
    <w:rsid w:val="00D33212"/>
    <w:rsid w:val="00D92ED9"/>
    <w:rsid w:val="00DE03E8"/>
    <w:rsid w:val="00DF4B89"/>
    <w:rsid w:val="00E47E99"/>
    <w:rsid w:val="00E710F7"/>
    <w:rsid w:val="00ED283A"/>
    <w:rsid w:val="00EF1ECE"/>
    <w:rsid w:val="00F07682"/>
    <w:rsid w:val="00F44480"/>
    <w:rsid w:val="00FB28F4"/>
    <w:rsid w:val="00FD4762"/>
    <w:rsid w:val="00FE4D5A"/>
    <w:rsid w:val="00FF54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8AEB61"/>
  <w15:chartTrackingRefBased/>
  <w15:docId w15:val="{03369170-9F41-CE4D-862B-5ED03C23A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629B7"/>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FE2"/>
    <w:pPr>
      <w:ind w:left="720"/>
      <w:contextualSpacing/>
    </w:pPr>
  </w:style>
  <w:style w:type="paragraph" w:styleId="Header">
    <w:name w:val="header"/>
    <w:basedOn w:val="Normal"/>
    <w:link w:val="HeaderChar"/>
    <w:uiPriority w:val="99"/>
    <w:unhideWhenUsed/>
    <w:rsid w:val="000B7C4F"/>
    <w:pPr>
      <w:tabs>
        <w:tab w:val="center" w:pos="4513"/>
        <w:tab w:val="right" w:pos="9026"/>
      </w:tabs>
    </w:pPr>
  </w:style>
  <w:style w:type="character" w:customStyle="1" w:styleId="HeaderChar">
    <w:name w:val="Header Char"/>
    <w:basedOn w:val="DefaultParagraphFont"/>
    <w:link w:val="Header"/>
    <w:uiPriority w:val="99"/>
    <w:rsid w:val="000B7C4F"/>
  </w:style>
  <w:style w:type="paragraph" w:styleId="Footer">
    <w:name w:val="footer"/>
    <w:basedOn w:val="Normal"/>
    <w:link w:val="FooterChar"/>
    <w:uiPriority w:val="99"/>
    <w:unhideWhenUsed/>
    <w:rsid w:val="000B7C4F"/>
    <w:pPr>
      <w:tabs>
        <w:tab w:val="center" w:pos="4513"/>
        <w:tab w:val="right" w:pos="9026"/>
      </w:tabs>
    </w:pPr>
  </w:style>
  <w:style w:type="character" w:customStyle="1" w:styleId="FooterChar">
    <w:name w:val="Footer Char"/>
    <w:basedOn w:val="DefaultParagraphFont"/>
    <w:link w:val="Footer"/>
    <w:uiPriority w:val="99"/>
    <w:rsid w:val="000B7C4F"/>
  </w:style>
  <w:style w:type="paragraph" w:styleId="NormalWeb">
    <w:name w:val="Normal (Web)"/>
    <w:basedOn w:val="Normal"/>
    <w:uiPriority w:val="99"/>
    <w:semiHidden/>
    <w:unhideWhenUsed/>
    <w:rsid w:val="00C0760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3A7E85"/>
    <w:rPr>
      <w:color w:val="0563C1" w:themeColor="hyperlink"/>
      <w:u w:val="single"/>
    </w:rPr>
  </w:style>
  <w:style w:type="character" w:styleId="UnresolvedMention">
    <w:name w:val="Unresolved Mention"/>
    <w:basedOn w:val="DefaultParagraphFont"/>
    <w:uiPriority w:val="99"/>
    <w:semiHidden/>
    <w:unhideWhenUsed/>
    <w:rsid w:val="003A7E85"/>
    <w:rPr>
      <w:color w:val="605E5C"/>
      <w:shd w:val="clear" w:color="auto" w:fill="E1DFDD"/>
    </w:rPr>
  </w:style>
  <w:style w:type="character" w:customStyle="1" w:styleId="Heading2Char">
    <w:name w:val="Heading 2 Char"/>
    <w:basedOn w:val="DefaultParagraphFont"/>
    <w:link w:val="Heading2"/>
    <w:uiPriority w:val="9"/>
    <w:rsid w:val="001629B7"/>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A74E49"/>
    <w:rPr>
      <w:color w:val="954F72" w:themeColor="followedHyperlink"/>
      <w:u w:val="single"/>
    </w:rPr>
  </w:style>
  <w:style w:type="character" w:styleId="PageNumber">
    <w:name w:val="page number"/>
    <w:basedOn w:val="DefaultParagraphFont"/>
    <w:uiPriority w:val="99"/>
    <w:semiHidden/>
    <w:unhideWhenUsed/>
    <w:rsid w:val="003123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4471">
      <w:bodyDiv w:val="1"/>
      <w:marLeft w:val="0"/>
      <w:marRight w:val="0"/>
      <w:marTop w:val="0"/>
      <w:marBottom w:val="0"/>
      <w:divBdr>
        <w:top w:val="none" w:sz="0" w:space="0" w:color="auto"/>
        <w:left w:val="none" w:sz="0" w:space="0" w:color="auto"/>
        <w:bottom w:val="none" w:sz="0" w:space="0" w:color="auto"/>
        <w:right w:val="none" w:sz="0" w:space="0" w:color="auto"/>
      </w:divBdr>
      <w:divsChild>
        <w:div w:id="1213879760">
          <w:marLeft w:val="0"/>
          <w:marRight w:val="0"/>
          <w:marTop w:val="0"/>
          <w:marBottom w:val="0"/>
          <w:divBdr>
            <w:top w:val="none" w:sz="0" w:space="0" w:color="auto"/>
            <w:left w:val="none" w:sz="0" w:space="0" w:color="auto"/>
            <w:bottom w:val="none" w:sz="0" w:space="0" w:color="auto"/>
            <w:right w:val="none" w:sz="0" w:space="0" w:color="auto"/>
          </w:divBdr>
        </w:div>
        <w:div w:id="834341669">
          <w:marLeft w:val="0"/>
          <w:marRight w:val="0"/>
          <w:marTop w:val="0"/>
          <w:marBottom w:val="0"/>
          <w:divBdr>
            <w:top w:val="none" w:sz="0" w:space="0" w:color="auto"/>
            <w:left w:val="none" w:sz="0" w:space="0" w:color="auto"/>
            <w:bottom w:val="none" w:sz="0" w:space="0" w:color="auto"/>
            <w:right w:val="none" w:sz="0" w:space="0" w:color="auto"/>
          </w:divBdr>
        </w:div>
        <w:div w:id="209462860">
          <w:marLeft w:val="0"/>
          <w:marRight w:val="0"/>
          <w:marTop w:val="0"/>
          <w:marBottom w:val="0"/>
          <w:divBdr>
            <w:top w:val="none" w:sz="0" w:space="0" w:color="auto"/>
            <w:left w:val="none" w:sz="0" w:space="0" w:color="auto"/>
            <w:bottom w:val="none" w:sz="0" w:space="0" w:color="auto"/>
            <w:right w:val="none" w:sz="0" w:space="0" w:color="auto"/>
          </w:divBdr>
        </w:div>
        <w:div w:id="887912161">
          <w:marLeft w:val="0"/>
          <w:marRight w:val="0"/>
          <w:marTop w:val="0"/>
          <w:marBottom w:val="0"/>
          <w:divBdr>
            <w:top w:val="none" w:sz="0" w:space="0" w:color="auto"/>
            <w:left w:val="none" w:sz="0" w:space="0" w:color="auto"/>
            <w:bottom w:val="none" w:sz="0" w:space="0" w:color="auto"/>
            <w:right w:val="none" w:sz="0" w:space="0" w:color="auto"/>
          </w:divBdr>
        </w:div>
        <w:div w:id="939140468">
          <w:marLeft w:val="0"/>
          <w:marRight w:val="0"/>
          <w:marTop w:val="0"/>
          <w:marBottom w:val="0"/>
          <w:divBdr>
            <w:top w:val="none" w:sz="0" w:space="0" w:color="auto"/>
            <w:left w:val="none" w:sz="0" w:space="0" w:color="auto"/>
            <w:bottom w:val="none" w:sz="0" w:space="0" w:color="auto"/>
            <w:right w:val="none" w:sz="0" w:space="0" w:color="auto"/>
          </w:divBdr>
        </w:div>
        <w:div w:id="1398868439">
          <w:marLeft w:val="0"/>
          <w:marRight w:val="0"/>
          <w:marTop w:val="0"/>
          <w:marBottom w:val="0"/>
          <w:divBdr>
            <w:top w:val="none" w:sz="0" w:space="0" w:color="auto"/>
            <w:left w:val="none" w:sz="0" w:space="0" w:color="auto"/>
            <w:bottom w:val="none" w:sz="0" w:space="0" w:color="auto"/>
            <w:right w:val="none" w:sz="0" w:space="0" w:color="auto"/>
          </w:divBdr>
        </w:div>
        <w:div w:id="2009281437">
          <w:marLeft w:val="0"/>
          <w:marRight w:val="0"/>
          <w:marTop w:val="0"/>
          <w:marBottom w:val="0"/>
          <w:divBdr>
            <w:top w:val="none" w:sz="0" w:space="0" w:color="auto"/>
            <w:left w:val="none" w:sz="0" w:space="0" w:color="auto"/>
            <w:bottom w:val="none" w:sz="0" w:space="0" w:color="auto"/>
            <w:right w:val="none" w:sz="0" w:space="0" w:color="auto"/>
          </w:divBdr>
        </w:div>
        <w:div w:id="377122689">
          <w:marLeft w:val="0"/>
          <w:marRight w:val="0"/>
          <w:marTop w:val="0"/>
          <w:marBottom w:val="0"/>
          <w:divBdr>
            <w:top w:val="none" w:sz="0" w:space="0" w:color="auto"/>
            <w:left w:val="none" w:sz="0" w:space="0" w:color="auto"/>
            <w:bottom w:val="none" w:sz="0" w:space="0" w:color="auto"/>
            <w:right w:val="none" w:sz="0" w:space="0" w:color="auto"/>
          </w:divBdr>
        </w:div>
        <w:div w:id="1199004957">
          <w:marLeft w:val="0"/>
          <w:marRight w:val="0"/>
          <w:marTop w:val="0"/>
          <w:marBottom w:val="0"/>
          <w:divBdr>
            <w:top w:val="none" w:sz="0" w:space="0" w:color="auto"/>
            <w:left w:val="none" w:sz="0" w:space="0" w:color="auto"/>
            <w:bottom w:val="none" w:sz="0" w:space="0" w:color="auto"/>
            <w:right w:val="none" w:sz="0" w:space="0" w:color="auto"/>
          </w:divBdr>
        </w:div>
        <w:div w:id="1374504930">
          <w:marLeft w:val="0"/>
          <w:marRight w:val="0"/>
          <w:marTop w:val="0"/>
          <w:marBottom w:val="0"/>
          <w:divBdr>
            <w:top w:val="none" w:sz="0" w:space="0" w:color="auto"/>
            <w:left w:val="none" w:sz="0" w:space="0" w:color="auto"/>
            <w:bottom w:val="none" w:sz="0" w:space="0" w:color="auto"/>
            <w:right w:val="none" w:sz="0" w:space="0" w:color="auto"/>
          </w:divBdr>
        </w:div>
        <w:div w:id="1264338119">
          <w:marLeft w:val="0"/>
          <w:marRight w:val="0"/>
          <w:marTop w:val="0"/>
          <w:marBottom w:val="0"/>
          <w:divBdr>
            <w:top w:val="none" w:sz="0" w:space="0" w:color="auto"/>
            <w:left w:val="none" w:sz="0" w:space="0" w:color="auto"/>
            <w:bottom w:val="none" w:sz="0" w:space="0" w:color="auto"/>
            <w:right w:val="none" w:sz="0" w:space="0" w:color="auto"/>
          </w:divBdr>
        </w:div>
        <w:div w:id="416632358">
          <w:marLeft w:val="0"/>
          <w:marRight w:val="0"/>
          <w:marTop w:val="0"/>
          <w:marBottom w:val="0"/>
          <w:divBdr>
            <w:top w:val="none" w:sz="0" w:space="0" w:color="auto"/>
            <w:left w:val="none" w:sz="0" w:space="0" w:color="auto"/>
            <w:bottom w:val="none" w:sz="0" w:space="0" w:color="auto"/>
            <w:right w:val="none" w:sz="0" w:space="0" w:color="auto"/>
          </w:divBdr>
        </w:div>
        <w:div w:id="407461319">
          <w:marLeft w:val="0"/>
          <w:marRight w:val="0"/>
          <w:marTop w:val="0"/>
          <w:marBottom w:val="0"/>
          <w:divBdr>
            <w:top w:val="none" w:sz="0" w:space="0" w:color="auto"/>
            <w:left w:val="none" w:sz="0" w:space="0" w:color="auto"/>
            <w:bottom w:val="none" w:sz="0" w:space="0" w:color="auto"/>
            <w:right w:val="none" w:sz="0" w:space="0" w:color="auto"/>
          </w:divBdr>
        </w:div>
        <w:div w:id="1299215505">
          <w:marLeft w:val="0"/>
          <w:marRight w:val="0"/>
          <w:marTop w:val="0"/>
          <w:marBottom w:val="0"/>
          <w:divBdr>
            <w:top w:val="none" w:sz="0" w:space="0" w:color="auto"/>
            <w:left w:val="none" w:sz="0" w:space="0" w:color="auto"/>
            <w:bottom w:val="none" w:sz="0" w:space="0" w:color="auto"/>
            <w:right w:val="none" w:sz="0" w:space="0" w:color="auto"/>
          </w:divBdr>
        </w:div>
        <w:div w:id="429787110">
          <w:marLeft w:val="0"/>
          <w:marRight w:val="0"/>
          <w:marTop w:val="0"/>
          <w:marBottom w:val="0"/>
          <w:divBdr>
            <w:top w:val="none" w:sz="0" w:space="0" w:color="auto"/>
            <w:left w:val="none" w:sz="0" w:space="0" w:color="auto"/>
            <w:bottom w:val="none" w:sz="0" w:space="0" w:color="auto"/>
            <w:right w:val="none" w:sz="0" w:space="0" w:color="auto"/>
          </w:divBdr>
        </w:div>
        <w:div w:id="369841307">
          <w:marLeft w:val="0"/>
          <w:marRight w:val="0"/>
          <w:marTop w:val="0"/>
          <w:marBottom w:val="0"/>
          <w:divBdr>
            <w:top w:val="none" w:sz="0" w:space="0" w:color="auto"/>
            <w:left w:val="none" w:sz="0" w:space="0" w:color="auto"/>
            <w:bottom w:val="none" w:sz="0" w:space="0" w:color="auto"/>
            <w:right w:val="none" w:sz="0" w:space="0" w:color="auto"/>
          </w:divBdr>
        </w:div>
        <w:div w:id="1367173083">
          <w:marLeft w:val="0"/>
          <w:marRight w:val="0"/>
          <w:marTop w:val="0"/>
          <w:marBottom w:val="0"/>
          <w:divBdr>
            <w:top w:val="none" w:sz="0" w:space="0" w:color="auto"/>
            <w:left w:val="none" w:sz="0" w:space="0" w:color="auto"/>
            <w:bottom w:val="none" w:sz="0" w:space="0" w:color="auto"/>
            <w:right w:val="none" w:sz="0" w:space="0" w:color="auto"/>
          </w:divBdr>
        </w:div>
        <w:div w:id="1618415174">
          <w:marLeft w:val="0"/>
          <w:marRight w:val="0"/>
          <w:marTop w:val="0"/>
          <w:marBottom w:val="0"/>
          <w:divBdr>
            <w:top w:val="none" w:sz="0" w:space="0" w:color="auto"/>
            <w:left w:val="none" w:sz="0" w:space="0" w:color="auto"/>
            <w:bottom w:val="none" w:sz="0" w:space="0" w:color="auto"/>
            <w:right w:val="none" w:sz="0" w:space="0" w:color="auto"/>
          </w:divBdr>
        </w:div>
        <w:div w:id="211816810">
          <w:marLeft w:val="0"/>
          <w:marRight w:val="0"/>
          <w:marTop w:val="0"/>
          <w:marBottom w:val="0"/>
          <w:divBdr>
            <w:top w:val="none" w:sz="0" w:space="0" w:color="auto"/>
            <w:left w:val="none" w:sz="0" w:space="0" w:color="auto"/>
            <w:bottom w:val="none" w:sz="0" w:space="0" w:color="auto"/>
            <w:right w:val="none" w:sz="0" w:space="0" w:color="auto"/>
          </w:divBdr>
        </w:div>
        <w:div w:id="224218841">
          <w:marLeft w:val="0"/>
          <w:marRight w:val="0"/>
          <w:marTop w:val="0"/>
          <w:marBottom w:val="0"/>
          <w:divBdr>
            <w:top w:val="none" w:sz="0" w:space="0" w:color="auto"/>
            <w:left w:val="none" w:sz="0" w:space="0" w:color="auto"/>
            <w:bottom w:val="none" w:sz="0" w:space="0" w:color="auto"/>
            <w:right w:val="none" w:sz="0" w:space="0" w:color="auto"/>
          </w:divBdr>
        </w:div>
        <w:div w:id="1869248952">
          <w:marLeft w:val="0"/>
          <w:marRight w:val="0"/>
          <w:marTop w:val="0"/>
          <w:marBottom w:val="0"/>
          <w:divBdr>
            <w:top w:val="none" w:sz="0" w:space="0" w:color="auto"/>
            <w:left w:val="none" w:sz="0" w:space="0" w:color="auto"/>
            <w:bottom w:val="none" w:sz="0" w:space="0" w:color="auto"/>
            <w:right w:val="none" w:sz="0" w:space="0" w:color="auto"/>
          </w:divBdr>
        </w:div>
        <w:div w:id="832718682">
          <w:marLeft w:val="0"/>
          <w:marRight w:val="0"/>
          <w:marTop w:val="0"/>
          <w:marBottom w:val="0"/>
          <w:divBdr>
            <w:top w:val="none" w:sz="0" w:space="0" w:color="auto"/>
            <w:left w:val="none" w:sz="0" w:space="0" w:color="auto"/>
            <w:bottom w:val="none" w:sz="0" w:space="0" w:color="auto"/>
            <w:right w:val="none" w:sz="0" w:space="0" w:color="auto"/>
          </w:divBdr>
        </w:div>
        <w:div w:id="1870799902">
          <w:marLeft w:val="0"/>
          <w:marRight w:val="0"/>
          <w:marTop w:val="0"/>
          <w:marBottom w:val="0"/>
          <w:divBdr>
            <w:top w:val="none" w:sz="0" w:space="0" w:color="auto"/>
            <w:left w:val="none" w:sz="0" w:space="0" w:color="auto"/>
            <w:bottom w:val="none" w:sz="0" w:space="0" w:color="auto"/>
            <w:right w:val="none" w:sz="0" w:space="0" w:color="auto"/>
          </w:divBdr>
        </w:div>
        <w:div w:id="940720637">
          <w:marLeft w:val="0"/>
          <w:marRight w:val="0"/>
          <w:marTop w:val="0"/>
          <w:marBottom w:val="0"/>
          <w:divBdr>
            <w:top w:val="none" w:sz="0" w:space="0" w:color="auto"/>
            <w:left w:val="none" w:sz="0" w:space="0" w:color="auto"/>
            <w:bottom w:val="none" w:sz="0" w:space="0" w:color="auto"/>
            <w:right w:val="none" w:sz="0" w:space="0" w:color="auto"/>
          </w:divBdr>
        </w:div>
        <w:div w:id="589896527">
          <w:marLeft w:val="0"/>
          <w:marRight w:val="0"/>
          <w:marTop w:val="0"/>
          <w:marBottom w:val="0"/>
          <w:divBdr>
            <w:top w:val="none" w:sz="0" w:space="0" w:color="auto"/>
            <w:left w:val="none" w:sz="0" w:space="0" w:color="auto"/>
            <w:bottom w:val="none" w:sz="0" w:space="0" w:color="auto"/>
            <w:right w:val="none" w:sz="0" w:space="0" w:color="auto"/>
          </w:divBdr>
        </w:div>
        <w:div w:id="826482249">
          <w:marLeft w:val="0"/>
          <w:marRight w:val="0"/>
          <w:marTop w:val="0"/>
          <w:marBottom w:val="0"/>
          <w:divBdr>
            <w:top w:val="none" w:sz="0" w:space="0" w:color="auto"/>
            <w:left w:val="none" w:sz="0" w:space="0" w:color="auto"/>
            <w:bottom w:val="none" w:sz="0" w:space="0" w:color="auto"/>
            <w:right w:val="none" w:sz="0" w:space="0" w:color="auto"/>
          </w:divBdr>
        </w:div>
        <w:div w:id="1557473427">
          <w:marLeft w:val="0"/>
          <w:marRight w:val="0"/>
          <w:marTop w:val="0"/>
          <w:marBottom w:val="0"/>
          <w:divBdr>
            <w:top w:val="none" w:sz="0" w:space="0" w:color="auto"/>
            <w:left w:val="none" w:sz="0" w:space="0" w:color="auto"/>
            <w:bottom w:val="none" w:sz="0" w:space="0" w:color="auto"/>
            <w:right w:val="none" w:sz="0" w:space="0" w:color="auto"/>
          </w:divBdr>
        </w:div>
        <w:div w:id="381448113">
          <w:marLeft w:val="0"/>
          <w:marRight w:val="0"/>
          <w:marTop w:val="0"/>
          <w:marBottom w:val="0"/>
          <w:divBdr>
            <w:top w:val="none" w:sz="0" w:space="0" w:color="auto"/>
            <w:left w:val="none" w:sz="0" w:space="0" w:color="auto"/>
            <w:bottom w:val="none" w:sz="0" w:space="0" w:color="auto"/>
            <w:right w:val="none" w:sz="0" w:space="0" w:color="auto"/>
          </w:divBdr>
        </w:div>
        <w:div w:id="2133553494">
          <w:marLeft w:val="0"/>
          <w:marRight w:val="0"/>
          <w:marTop w:val="0"/>
          <w:marBottom w:val="0"/>
          <w:divBdr>
            <w:top w:val="none" w:sz="0" w:space="0" w:color="auto"/>
            <w:left w:val="none" w:sz="0" w:space="0" w:color="auto"/>
            <w:bottom w:val="none" w:sz="0" w:space="0" w:color="auto"/>
            <w:right w:val="none" w:sz="0" w:space="0" w:color="auto"/>
          </w:divBdr>
        </w:div>
        <w:div w:id="754327365">
          <w:marLeft w:val="0"/>
          <w:marRight w:val="0"/>
          <w:marTop w:val="0"/>
          <w:marBottom w:val="0"/>
          <w:divBdr>
            <w:top w:val="none" w:sz="0" w:space="0" w:color="auto"/>
            <w:left w:val="none" w:sz="0" w:space="0" w:color="auto"/>
            <w:bottom w:val="none" w:sz="0" w:space="0" w:color="auto"/>
            <w:right w:val="none" w:sz="0" w:space="0" w:color="auto"/>
          </w:divBdr>
        </w:div>
        <w:div w:id="782768710">
          <w:marLeft w:val="0"/>
          <w:marRight w:val="0"/>
          <w:marTop w:val="0"/>
          <w:marBottom w:val="0"/>
          <w:divBdr>
            <w:top w:val="none" w:sz="0" w:space="0" w:color="auto"/>
            <w:left w:val="none" w:sz="0" w:space="0" w:color="auto"/>
            <w:bottom w:val="none" w:sz="0" w:space="0" w:color="auto"/>
            <w:right w:val="none" w:sz="0" w:space="0" w:color="auto"/>
          </w:divBdr>
        </w:div>
        <w:div w:id="25102879">
          <w:marLeft w:val="0"/>
          <w:marRight w:val="0"/>
          <w:marTop w:val="0"/>
          <w:marBottom w:val="0"/>
          <w:divBdr>
            <w:top w:val="none" w:sz="0" w:space="0" w:color="auto"/>
            <w:left w:val="none" w:sz="0" w:space="0" w:color="auto"/>
            <w:bottom w:val="none" w:sz="0" w:space="0" w:color="auto"/>
            <w:right w:val="none" w:sz="0" w:space="0" w:color="auto"/>
          </w:divBdr>
        </w:div>
        <w:div w:id="1218320696">
          <w:marLeft w:val="0"/>
          <w:marRight w:val="0"/>
          <w:marTop w:val="0"/>
          <w:marBottom w:val="0"/>
          <w:divBdr>
            <w:top w:val="none" w:sz="0" w:space="0" w:color="auto"/>
            <w:left w:val="none" w:sz="0" w:space="0" w:color="auto"/>
            <w:bottom w:val="none" w:sz="0" w:space="0" w:color="auto"/>
            <w:right w:val="none" w:sz="0" w:space="0" w:color="auto"/>
          </w:divBdr>
        </w:div>
      </w:divsChild>
    </w:div>
    <w:div w:id="342973136">
      <w:bodyDiv w:val="1"/>
      <w:marLeft w:val="0"/>
      <w:marRight w:val="0"/>
      <w:marTop w:val="0"/>
      <w:marBottom w:val="0"/>
      <w:divBdr>
        <w:top w:val="none" w:sz="0" w:space="0" w:color="auto"/>
        <w:left w:val="none" w:sz="0" w:space="0" w:color="auto"/>
        <w:bottom w:val="none" w:sz="0" w:space="0" w:color="auto"/>
        <w:right w:val="none" w:sz="0" w:space="0" w:color="auto"/>
      </w:divBdr>
    </w:div>
    <w:div w:id="650989791">
      <w:bodyDiv w:val="1"/>
      <w:marLeft w:val="0"/>
      <w:marRight w:val="0"/>
      <w:marTop w:val="0"/>
      <w:marBottom w:val="0"/>
      <w:divBdr>
        <w:top w:val="none" w:sz="0" w:space="0" w:color="auto"/>
        <w:left w:val="none" w:sz="0" w:space="0" w:color="auto"/>
        <w:bottom w:val="none" w:sz="0" w:space="0" w:color="auto"/>
        <w:right w:val="none" w:sz="0" w:space="0" w:color="auto"/>
      </w:divBdr>
    </w:div>
    <w:div w:id="791746120">
      <w:bodyDiv w:val="1"/>
      <w:marLeft w:val="0"/>
      <w:marRight w:val="0"/>
      <w:marTop w:val="0"/>
      <w:marBottom w:val="0"/>
      <w:divBdr>
        <w:top w:val="none" w:sz="0" w:space="0" w:color="auto"/>
        <w:left w:val="none" w:sz="0" w:space="0" w:color="auto"/>
        <w:bottom w:val="none" w:sz="0" w:space="0" w:color="auto"/>
        <w:right w:val="none" w:sz="0" w:space="0" w:color="auto"/>
      </w:divBdr>
      <w:divsChild>
        <w:div w:id="124391417">
          <w:marLeft w:val="0"/>
          <w:marRight w:val="0"/>
          <w:marTop w:val="0"/>
          <w:marBottom w:val="0"/>
          <w:divBdr>
            <w:top w:val="none" w:sz="0" w:space="0" w:color="auto"/>
            <w:left w:val="none" w:sz="0" w:space="0" w:color="auto"/>
            <w:bottom w:val="none" w:sz="0" w:space="0" w:color="auto"/>
            <w:right w:val="none" w:sz="0" w:space="0" w:color="auto"/>
          </w:divBdr>
        </w:div>
        <w:div w:id="1052778362">
          <w:marLeft w:val="0"/>
          <w:marRight w:val="0"/>
          <w:marTop w:val="0"/>
          <w:marBottom w:val="0"/>
          <w:divBdr>
            <w:top w:val="none" w:sz="0" w:space="0" w:color="auto"/>
            <w:left w:val="none" w:sz="0" w:space="0" w:color="auto"/>
            <w:bottom w:val="none" w:sz="0" w:space="0" w:color="auto"/>
            <w:right w:val="none" w:sz="0" w:space="0" w:color="auto"/>
          </w:divBdr>
        </w:div>
        <w:div w:id="582565627">
          <w:marLeft w:val="0"/>
          <w:marRight w:val="0"/>
          <w:marTop w:val="0"/>
          <w:marBottom w:val="0"/>
          <w:divBdr>
            <w:top w:val="none" w:sz="0" w:space="0" w:color="auto"/>
            <w:left w:val="none" w:sz="0" w:space="0" w:color="auto"/>
            <w:bottom w:val="none" w:sz="0" w:space="0" w:color="auto"/>
            <w:right w:val="none" w:sz="0" w:space="0" w:color="auto"/>
          </w:divBdr>
        </w:div>
        <w:div w:id="1166437827">
          <w:marLeft w:val="0"/>
          <w:marRight w:val="0"/>
          <w:marTop w:val="0"/>
          <w:marBottom w:val="0"/>
          <w:divBdr>
            <w:top w:val="none" w:sz="0" w:space="0" w:color="auto"/>
            <w:left w:val="none" w:sz="0" w:space="0" w:color="auto"/>
            <w:bottom w:val="none" w:sz="0" w:space="0" w:color="auto"/>
            <w:right w:val="none" w:sz="0" w:space="0" w:color="auto"/>
          </w:divBdr>
        </w:div>
        <w:div w:id="1749378832">
          <w:marLeft w:val="0"/>
          <w:marRight w:val="0"/>
          <w:marTop w:val="0"/>
          <w:marBottom w:val="0"/>
          <w:divBdr>
            <w:top w:val="none" w:sz="0" w:space="0" w:color="auto"/>
            <w:left w:val="none" w:sz="0" w:space="0" w:color="auto"/>
            <w:bottom w:val="none" w:sz="0" w:space="0" w:color="auto"/>
            <w:right w:val="none" w:sz="0" w:space="0" w:color="auto"/>
          </w:divBdr>
        </w:div>
        <w:div w:id="1934121797">
          <w:marLeft w:val="0"/>
          <w:marRight w:val="0"/>
          <w:marTop w:val="0"/>
          <w:marBottom w:val="0"/>
          <w:divBdr>
            <w:top w:val="none" w:sz="0" w:space="0" w:color="auto"/>
            <w:left w:val="none" w:sz="0" w:space="0" w:color="auto"/>
            <w:bottom w:val="none" w:sz="0" w:space="0" w:color="auto"/>
            <w:right w:val="none" w:sz="0" w:space="0" w:color="auto"/>
          </w:divBdr>
        </w:div>
        <w:div w:id="472675895">
          <w:marLeft w:val="0"/>
          <w:marRight w:val="0"/>
          <w:marTop w:val="0"/>
          <w:marBottom w:val="0"/>
          <w:divBdr>
            <w:top w:val="none" w:sz="0" w:space="0" w:color="auto"/>
            <w:left w:val="none" w:sz="0" w:space="0" w:color="auto"/>
            <w:bottom w:val="none" w:sz="0" w:space="0" w:color="auto"/>
            <w:right w:val="none" w:sz="0" w:space="0" w:color="auto"/>
          </w:divBdr>
        </w:div>
        <w:div w:id="1455057097">
          <w:marLeft w:val="0"/>
          <w:marRight w:val="0"/>
          <w:marTop w:val="0"/>
          <w:marBottom w:val="0"/>
          <w:divBdr>
            <w:top w:val="none" w:sz="0" w:space="0" w:color="auto"/>
            <w:left w:val="none" w:sz="0" w:space="0" w:color="auto"/>
            <w:bottom w:val="none" w:sz="0" w:space="0" w:color="auto"/>
            <w:right w:val="none" w:sz="0" w:space="0" w:color="auto"/>
          </w:divBdr>
        </w:div>
        <w:div w:id="15548766">
          <w:marLeft w:val="0"/>
          <w:marRight w:val="0"/>
          <w:marTop w:val="0"/>
          <w:marBottom w:val="0"/>
          <w:divBdr>
            <w:top w:val="none" w:sz="0" w:space="0" w:color="auto"/>
            <w:left w:val="none" w:sz="0" w:space="0" w:color="auto"/>
            <w:bottom w:val="none" w:sz="0" w:space="0" w:color="auto"/>
            <w:right w:val="none" w:sz="0" w:space="0" w:color="auto"/>
          </w:divBdr>
        </w:div>
        <w:div w:id="1418092104">
          <w:marLeft w:val="0"/>
          <w:marRight w:val="0"/>
          <w:marTop w:val="0"/>
          <w:marBottom w:val="0"/>
          <w:divBdr>
            <w:top w:val="none" w:sz="0" w:space="0" w:color="auto"/>
            <w:left w:val="none" w:sz="0" w:space="0" w:color="auto"/>
            <w:bottom w:val="none" w:sz="0" w:space="0" w:color="auto"/>
            <w:right w:val="none" w:sz="0" w:space="0" w:color="auto"/>
          </w:divBdr>
        </w:div>
        <w:div w:id="498080900">
          <w:marLeft w:val="0"/>
          <w:marRight w:val="0"/>
          <w:marTop w:val="0"/>
          <w:marBottom w:val="0"/>
          <w:divBdr>
            <w:top w:val="none" w:sz="0" w:space="0" w:color="auto"/>
            <w:left w:val="none" w:sz="0" w:space="0" w:color="auto"/>
            <w:bottom w:val="none" w:sz="0" w:space="0" w:color="auto"/>
            <w:right w:val="none" w:sz="0" w:space="0" w:color="auto"/>
          </w:divBdr>
        </w:div>
        <w:div w:id="300310415">
          <w:marLeft w:val="0"/>
          <w:marRight w:val="0"/>
          <w:marTop w:val="0"/>
          <w:marBottom w:val="0"/>
          <w:divBdr>
            <w:top w:val="none" w:sz="0" w:space="0" w:color="auto"/>
            <w:left w:val="none" w:sz="0" w:space="0" w:color="auto"/>
            <w:bottom w:val="none" w:sz="0" w:space="0" w:color="auto"/>
            <w:right w:val="none" w:sz="0" w:space="0" w:color="auto"/>
          </w:divBdr>
        </w:div>
        <w:div w:id="338234556">
          <w:marLeft w:val="0"/>
          <w:marRight w:val="0"/>
          <w:marTop w:val="0"/>
          <w:marBottom w:val="0"/>
          <w:divBdr>
            <w:top w:val="none" w:sz="0" w:space="0" w:color="auto"/>
            <w:left w:val="none" w:sz="0" w:space="0" w:color="auto"/>
            <w:bottom w:val="none" w:sz="0" w:space="0" w:color="auto"/>
            <w:right w:val="none" w:sz="0" w:space="0" w:color="auto"/>
          </w:divBdr>
        </w:div>
        <w:div w:id="183251379">
          <w:marLeft w:val="0"/>
          <w:marRight w:val="0"/>
          <w:marTop w:val="0"/>
          <w:marBottom w:val="0"/>
          <w:divBdr>
            <w:top w:val="none" w:sz="0" w:space="0" w:color="auto"/>
            <w:left w:val="none" w:sz="0" w:space="0" w:color="auto"/>
            <w:bottom w:val="none" w:sz="0" w:space="0" w:color="auto"/>
            <w:right w:val="none" w:sz="0" w:space="0" w:color="auto"/>
          </w:divBdr>
        </w:div>
        <w:div w:id="817839657">
          <w:marLeft w:val="0"/>
          <w:marRight w:val="0"/>
          <w:marTop w:val="0"/>
          <w:marBottom w:val="0"/>
          <w:divBdr>
            <w:top w:val="none" w:sz="0" w:space="0" w:color="auto"/>
            <w:left w:val="none" w:sz="0" w:space="0" w:color="auto"/>
            <w:bottom w:val="none" w:sz="0" w:space="0" w:color="auto"/>
            <w:right w:val="none" w:sz="0" w:space="0" w:color="auto"/>
          </w:divBdr>
        </w:div>
        <w:div w:id="1323436556">
          <w:marLeft w:val="0"/>
          <w:marRight w:val="0"/>
          <w:marTop w:val="0"/>
          <w:marBottom w:val="0"/>
          <w:divBdr>
            <w:top w:val="none" w:sz="0" w:space="0" w:color="auto"/>
            <w:left w:val="none" w:sz="0" w:space="0" w:color="auto"/>
            <w:bottom w:val="none" w:sz="0" w:space="0" w:color="auto"/>
            <w:right w:val="none" w:sz="0" w:space="0" w:color="auto"/>
          </w:divBdr>
        </w:div>
        <w:div w:id="84424219">
          <w:marLeft w:val="0"/>
          <w:marRight w:val="0"/>
          <w:marTop w:val="0"/>
          <w:marBottom w:val="0"/>
          <w:divBdr>
            <w:top w:val="none" w:sz="0" w:space="0" w:color="auto"/>
            <w:left w:val="none" w:sz="0" w:space="0" w:color="auto"/>
            <w:bottom w:val="none" w:sz="0" w:space="0" w:color="auto"/>
            <w:right w:val="none" w:sz="0" w:space="0" w:color="auto"/>
          </w:divBdr>
        </w:div>
        <w:div w:id="1259563764">
          <w:marLeft w:val="0"/>
          <w:marRight w:val="0"/>
          <w:marTop w:val="0"/>
          <w:marBottom w:val="0"/>
          <w:divBdr>
            <w:top w:val="none" w:sz="0" w:space="0" w:color="auto"/>
            <w:left w:val="none" w:sz="0" w:space="0" w:color="auto"/>
            <w:bottom w:val="none" w:sz="0" w:space="0" w:color="auto"/>
            <w:right w:val="none" w:sz="0" w:space="0" w:color="auto"/>
          </w:divBdr>
        </w:div>
        <w:div w:id="1110705212">
          <w:marLeft w:val="0"/>
          <w:marRight w:val="0"/>
          <w:marTop w:val="0"/>
          <w:marBottom w:val="0"/>
          <w:divBdr>
            <w:top w:val="none" w:sz="0" w:space="0" w:color="auto"/>
            <w:left w:val="none" w:sz="0" w:space="0" w:color="auto"/>
            <w:bottom w:val="none" w:sz="0" w:space="0" w:color="auto"/>
            <w:right w:val="none" w:sz="0" w:space="0" w:color="auto"/>
          </w:divBdr>
        </w:div>
        <w:div w:id="234098311">
          <w:marLeft w:val="0"/>
          <w:marRight w:val="0"/>
          <w:marTop w:val="0"/>
          <w:marBottom w:val="0"/>
          <w:divBdr>
            <w:top w:val="none" w:sz="0" w:space="0" w:color="auto"/>
            <w:left w:val="none" w:sz="0" w:space="0" w:color="auto"/>
            <w:bottom w:val="none" w:sz="0" w:space="0" w:color="auto"/>
            <w:right w:val="none" w:sz="0" w:space="0" w:color="auto"/>
          </w:divBdr>
        </w:div>
        <w:div w:id="1587572066">
          <w:marLeft w:val="0"/>
          <w:marRight w:val="0"/>
          <w:marTop w:val="0"/>
          <w:marBottom w:val="0"/>
          <w:divBdr>
            <w:top w:val="none" w:sz="0" w:space="0" w:color="auto"/>
            <w:left w:val="none" w:sz="0" w:space="0" w:color="auto"/>
            <w:bottom w:val="none" w:sz="0" w:space="0" w:color="auto"/>
            <w:right w:val="none" w:sz="0" w:space="0" w:color="auto"/>
          </w:divBdr>
        </w:div>
        <w:div w:id="2129275001">
          <w:marLeft w:val="0"/>
          <w:marRight w:val="0"/>
          <w:marTop w:val="0"/>
          <w:marBottom w:val="0"/>
          <w:divBdr>
            <w:top w:val="none" w:sz="0" w:space="0" w:color="auto"/>
            <w:left w:val="none" w:sz="0" w:space="0" w:color="auto"/>
            <w:bottom w:val="none" w:sz="0" w:space="0" w:color="auto"/>
            <w:right w:val="none" w:sz="0" w:space="0" w:color="auto"/>
          </w:divBdr>
        </w:div>
        <w:div w:id="719131959">
          <w:marLeft w:val="0"/>
          <w:marRight w:val="0"/>
          <w:marTop w:val="0"/>
          <w:marBottom w:val="0"/>
          <w:divBdr>
            <w:top w:val="none" w:sz="0" w:space="0" w:color="auto"/>
            <w:left w:val="none" w:sz="0" w:space="0" w:color="auto"/>
            <w:bottom w:val="none" w:sz="0" w:space="0" w:color="auto"/>
            <w:right w:val="none" w:sz="0" w:space="0" w:color="auto"/>
          </w:divBdr>
        </w:div>
        <w:div w:id="2069919755">
          <w:marLeft w:val="0"/>
          <w:marRight w:val="0"/>
          <w:marTop w:val="0"/>
          <w:marBottom w:val="0"/>
          <w:divBdr>
            <w:top w:val="none" w:sz="0" w:space="0" w:color="auto"/>
            <w:left w:val="none" w:sz="0" w:space="0" w:color="auto"/>
            <w:bottom w:val="none" w:sz="0" w:space="0" w:color="auto"/>
            <w:right w:val="none" w:sz="0" w:space="0" w:color="auto"/>
          </w:divBdr>
        </w:div>
        <w:div w:id="1970699656">
          <w:marLeft w:val="0"/>
          <w:marRight w:val="0"/>
          <w:marTop w:val="0"/>
          <w:marBottom w:val="0"/>
          <w:divBdr>
            <w:top w:val="none" w:sz="0" w:space="0" w:color="auto"/>
            <w:left w:val="none" w:sz="0" w:space="0" w:color="auto"/>
            <w:bottom w:val="none" w:sz="0" w:space="0" w:color="auto"/>
            <w:right w:val="none" w:sz="0" w:space="0" w:color="auto"/>
          </w:divBdr>
        </w:div>
        <w:div w:id="1989168023">
          <w:marLeft w:val="0"/>
          <w:marRight w:val="0"/>
          <w:marTop w:val="0"/>
          <w:marBottom w:val="0"/>
          <w:divBdr>
            <w:top w:val="none" w:sz="0" w:space="0" w:color="auto"/>
            <w:left w:val="none" w:sz="0" w:space="0" w:color="auto"/>
            <w:bottom w:val="none" w:sz="0" w:space="0" w:color="auto"/>
            <w:right w:val="none" w:sz="0" w:space="0" w:color="auto"/>
          </w:divBdr>
        </w:div>
        <w:div w:id="1856073057">
          <w:marLeft w:val="0"/>
          <w:marRight w:val="0"/>
          <w:marTop w:val="0"/>
          <w:marBottom w:val="0"/>
          <w:divBdr>
            <w:top w:val="none" w:sz="0" w:space="0" w:color="auto"/>
            <w:left w:val="none" w:sz="0" w:space="0" w:color="auto"/>
            <w:bottom w:val="none" w:sz="0" w:space="0" w:color="auto"/>
            <w:right w:val="none" w:sz="0" w:space="0" w:color="auto"/>
          </w:divBdr>
        </w:div>
        <w:div w:id="1494031117">
          <w:marLeft w:val="0"/>
          <w:marRight w:val="0"/>
          <w:marTop w:val="0"/>
          <w:marBottom w:val="0"/>
          <w:divBdr>
            <w:top w:val="none" w:sz="0" w:space="0" w:color="auto"/>
            <w:left w:val="none" w:sz="0" w:space="0" w:color="auto"/>
            <w:bottom w:val="none" w:sz="0" w:space="0" w:color="auto"/>
            <w:right w:val="none" w:sz="0" w:space="0" w:color="auto"/>
          </w:divBdr>
        </w:div>
        <w:div w:id="1512989748">
          <w:marLeft w:val="0"/>
          <w:marRight w:val="0"/>
          <w:marTop w:val="0"/>
          <w:marBottom w:val="0"/>
          <w:divBdr>
            <w:top w:val="none" w:sz="0" w:space="0" w:color="auto"/>
            <w:left w:val="none" w:sz="0" w:space="0" w:color="auto"/>
            <w:bottom w:val="none" w:sz="0" w:space="0" w:color="auto"/>
            <w:right w:val="none" w:sz="0" w:space="0" w:color="auto"/>
          </w:divBdr>
        </w:div>
        <w:div w:id="990980797">
          <w:marLeft w:val="0"/>
          <w:marRight w:val="0"/>
          <w:marTop w:val="0"/>
          <w:marBottom w:val="0"/>
          <w:divBdr>
            <w:top w:val="none" w:sz="0" w:space="0" w:color="auto"/>
            <w:left w:val="none" w:sz="0" w:space="0" w:color="auto"/>
            <w:bottom w:val="none" w:sz="0" w:space="0" w:color="auto"/>
            <w:right w:val="none" w:sz="0" w:space="0" w:color="auto"/>
          </w:divBdr>
        </w:div>
        <w:div w:id="786509104">
          <w:marLeft w:val="0"/>
          <w:marRight w:val="0"/>
          <w:marTop w:val="0"/>
          <w:marBottom w:val="0"/>
          <w:divBdr>
            <w:top w:val="none" w:sz="0" w:space="0" w:color="auto"/>
            <w:left w:val="none" w:sz="0" w:space="0" w:color="auto"/>
            <w:bottom w:val="none" w:sz="0" w:space="0" w:color="auto"/>
            <w:right w:val="none" w:sz="0" w:space="0" w:color="auto"/>
          </w:divBdr>
        </w:div>
        <w:div w:id="459880721">
          <w:marLeft w:val="0"/>
          <w:marRight w:val="0"/>
          <w:marTop w:val="0"/>
          <w:marBottom w:val="0"/>
          <w:divBdr>
            <w:top w:val="none" w:sz="0" w:space="0" w:color="auto"/>
            <w:left w:val="none" w:sz="0" w:space="0" w:color="auto"/>
            <w:bottom w:val="none" w:sz="0" w:space="0" w:color="auto"/>
            <w:right w:val="none" w:sz="0" w:space="0" w:color="auto"/>
          </w:divBdr>
        </w:div>
        <w:div w:id="1358578157">
          <w:marLeft w:val="0"/>
          <w:marRight w:val="0"/>
          <w:marTop w:val="0"/>
          <w:marBottom w:val="0"/>
          <w:divBdr>
            <w:top w:val="none" w:sz="0" w:space="0" w:color="auto"/>
            <w:left w:val="none" w:sz="0" w:space="0" w:color="auto"/>
            <w:bottom w:val="none" w:sz="0" w:space="0" w:color="auto"/>
            <w:right w:val="none" w:sz="0" w:space="0" w:color="auto"/>
          </w:divBdr>
        </w:div>
      </w:divsChild>
    </w:div>
    <w:div w:id="899709177">
      <w:bodyDiv w:val="1"/>
      <w:marLeft w:val="0"/>
      <w:marRight w:val="0"/>
      <w:marTop w:val="0"/>
      <w:marBottom w:val="0"/>
      <w:divBdr>
        <w:top w:val="none" w:sz="0" w:space="0" w:color="auto"/>
        <w:left w:val="none" w:sz="0" w:space="0" w:color="auto"/>
        <w:bottom w:val="none" w:sz="0" w:space="0" w:color="auto"/>
        <w:right w:val="none" w:sz="0" w:space="0" w:color="auto"/>
      </w:divBdr>
    </w:div>
    <w:div w:id="1033775319">
      <w:bodyDiv w:val="1"/>
      <w:marLeft w:val="0"/>
      <w:marRight w:val="0"/>
      <w:marTop w:val="0"/>
      <w:marBottom w:val="0"/>
      <w:divBdr>
        <w:top w:val="none" w:sz="0" w:space="0" w:color="auto"/>
        <w:left w:val="none" w:sz="0" w:space="0" w:color="auto"/>
        <w:bottom w:val="none" w:sz="0" w:space="0" w:color="auto"/>
        <w:right w:val="none" w:sz="0" w:space="0" w:color="auto"/>
      </w:divBdr>
    </w:div>
    <w:div w:id="1183011814">
      <w:bodyDiv w:val="1"/>
      <w:marLeft w:val="0"/>
      <w:marRight w:val="0"/>
      <w:marTop w:val="0"/>
      <w:marBottom w:val="0"/>
      <w:divBdr>
        <w:top w:val="none" w:sz="0" w:space="0" w:color="auto"/>
        <w:left w:val="none" w:sz="0" w:space="0" w:color="auto"/>
        <w:bottom w:val="none" w:sz="0" w:space="0" w:color="auto"/>
        <w:right w:val="none" w:sz="0" w:space="0" w:color="auto"/>
      </w:divBdr>
    </w:div>
    <w:div w:id="1370839121">
      <w:bodyDiv w:val="1"/>
      <w:marLeft w:val="0"/>
      <w:marRight w:val="0"/>
      <w:marTop w:val="0"/>
      <w:marBottom w:val="0"/>
      <w:divBdr>
        <w:top w:val="none" w:sz="0" w:space="0" w:color="auto"/>
        <w:left w:val="none" w:sz="0" w:space="0" w:color="auto"/>
        <w:bottom w:val="none" w:sz="0" w:space="0" w:color="auto"/>
        <w:right w:val="none" w:sz="0" w:space="0" w:color="auto"/>
      </w:divBdr>
      <w:divsChild>
        <w:div w:id="714431190">
          <w:marLeft w:val="274"/>
          <w:marRight w:val="0"/>
          <w:marTop w:val="0"/>
          <w:marBottom w:val="0"/>
          <w:divBdr>
            <w:top w:val="none" w:sz="0" w:space="0" w:color="auto"/>
            <w:left w:val="none" w:sz="0" w:space="0" w:color="auto"/>
            <w:bottom w:val="none" w:sz="0" w:space="0" w:color="auto"/>
            <w:right w:val="none" w:sz="0" w:space="0" w:color="auto"/>
          </w:divBdr>
        </w:div>
        <w:div w:id="127825336">
          <w:marLeft w:val="274"/>
          <w:marRight w:val="0"/>
          <w:marTop w:val="0"/>
          <w:marBottom w:val="0"/>
          <w:divBdr>
            <w:top w:val="none" w:sz="0" w:space="0" w:color="auto"/>
            <w:left w:val="none" w:sz="0" w:space="0" w:color="auto"/>
            <w:bottom w:val="none" w:sz="0" w:space="0" w:color="auto"/>
            <w:right w:val="none" w:sz="0" w:space="0" w:color="auto"/>
          </w:divBdr>
        </w:div>
      </w:divsChild>
    </w:div>
    <w:div w:id="1727097883">
      <w:bodyDiv w:val="1"/>
      <w:marLeft w:val="0"/>
      <w:marRight w:val="0"/>
      <w:marTop w:val="0"/>
      <w:marBottom w:val="0"/>
      <w:divBdr>
        <w:top w:val="none" w:sz="0" w:space="0" w:color="auto"/>
        <w:left w:val="none" w:sz="0" w:space="0" w:color="auto"/>
        <w:bottom w:val="none" w:sz="0" w:space="0" w:color="auto"/>
        <w:right w:val="none" w:sz="0" w:space="0" w:color="auto"/>
      </w:divBdr>
    </w:div>
    <w:div w:id="1780875413">
      <w:bodyDiv w:val="1"/>
      <w:marLeft w:val="0"/>
      <w:marRight w:val="0"/>
      <w:marTop w:val="0"/>
      <w:marBottom w:val="0"/>
      <w:divBdr>
        <w:top w:val="none" w:sz="0" w:space="0" w:color="auto"/>
        <w:left w:val="none" w:sz="0" w:space="0" w:color="auto"/>
        <w:bottom w:val="none" w:sz="0" w:space="0" w:color="auto"/>
        <w:right w:val="none" w:sz="0" w:space="0" w:color="auto"/>
      </w:divBdr>
    </w:div>
    <w:div w:id="1826239583">
      <w:bodyDiv w:val="1"/>
      <w:marLeft w:val="0"/>
      <w:marRight w:val="0"/>
      <w:marTop w:val="0"/>
      <w:marBottom w:val="0"/>
      <w:divBdr>
        <w:top w:val="none" w:sz="0" w:space="0" w:color="auto"/>
        <w:left w:val="none" w:sz="0" w:space="0" w:color="auto"/>
        <w:bottom w:val="none" w:sz="0" w:space="0" w:color="auto"/>
        <w:right w:val="none" w:sz="0" w:space="0" w:color="auto"/>
      </w:divBdr>
    </w:div>
    <w:div w:id="1946688850">
      <w:bodyDiv w:val="1"/>
      <w:marLeft w:val="0"/>
      <w:marRight w:val="0"/>
      <w:marTop w:val="0"/>
      <w:marBottom w:val="0"/>
      <w:divBdr>
        <w:top w:val="none" w:sz="0" w:space="0" w:color="auto"/>
        <w:left w:val="none" w:sz="0" w:space="0" w:color="auto"/>
        <w:bottom w:val="none" w:sz="0" w:space="0" w:color="auto"/>
        <w:right w:val="none" w:sz="0" w:space="0" w:color="auto"/>
      </w:divBdr>
      <w:divsChild>
        <w:div w:id="1864392347">
          <w:marLeft w:val="360"/>
          <w:marRight w:val="0"/>
          <w:marTop w:val="280"/>
          <w:marBottom w:val="0"/>
          <w:divBdr>
            <w:top w:val="none" w:sz="0" w:space="0" w:color="auto"/>
            <w:left w:val="none" w:sz="0" w:space="0" w:color="auto"/>
            <w:bottom w:val="none" w:sz="0" w:space="0" w:color="auto"/>
            <w:right w:val="none" w:sz="0" w:space="0" w:color="auto"/>
          </w:divBdr>
        </w:div>
        <w:div w:id="203569155">
          <w:marLeft w:val="360"/>
          <w:marRight w:val="0"/>
          <w:marTop w:val="280"/>
          <w:marBottom w:val="0"/>
          <w:divBdr>
            <w:top w:val="none" w:sz="0" w:space="0" w:color="auto"/>
            <w:left w:val="none" w:sz="0" w:space="0" w:color="auto"/>
            <w:bottom w:val="none" w:sz="0" w:space="0" w:color="auto"/>
            <w:right w:val="none" w:sz="0" w:space="0" w:color="auto"/>
          </w:divBdr>
        </w:div>
      </w:divsChild>
    </w:div>
    <w:div w:id="2067682334">
      <w:bodyDiv w:val="1"/>
      <w:marLeft w:val="0"/>
      <w:marRight w:val="0"/>
      <w:marTop w:val="0"/>
      <w:marBottom w:val="0"/>
      <w:divBdr>
        <w:top w:val="none" w:sz="0" w:space="0" w:color="auto"/>
        <w:left w:val="none" w:sz="0" w:space="0" w:color="auto"/>
        <w:bottom w:val="none" w:sz="0" w:space="0" w:color="auto"/>
        <w:right w:val="none" w:sz="0" w:space="0" w:color="auto"/>
      </w:divBdr>
      <w:divsChild>
        <w:div w:id="292252681">
          <w:marLeft w:val="274"/>
          <w:marRight w:val="0"/>
          <w:marTop w:val="0"/>
          <w:marBottom w:val="0"/>
          <w:divBdr>
            <w:top w:val="none" w:sz="0" w:space="0" w:color="auto"/>
            <w:left w:val="none" w:sz="0" w:space="0" w:color="auto"/>
            <w:bottom w:val="none" w:sz="0" w:space="0" w:color="auto"/>
            <w:right w:val="none" w:sz="0" w:space="0" w:color="auto"/>
          </w:divBdr>
        </w:div>
        <w:div w:id="1902253307">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dx.doi.org/10.1093/he/9780198766285.003.000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7</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Ulziijargal Batbaatar (2010630)</dc:creator>
  <cp:keywords/>
  <dc:description/>
  <cp:lastModifiedBy>Ulziijargal Batbaatar (2010630)</cp:lastModifiedBy>
  <cp:revision>3</cp:revision>
  <dcterms:created xsi:type="dcterms:W3CDTF">2022-03-04T22:59:00Z</dcterms:created>
  <dcterms:modified xsi:type="dcterms:W3CDTF">2022-03-04T23:02:00Z</dcterms:modified>
</cp:coreProperties>
</file>