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8F872"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cs="Arial"/>
          <w:noProof/>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17EF6A4F" wp14:editId="72BF1958">
            <wp:extent cx="2475230" cy="1237615"/>
            <wp:effectExtent l="0" t="0" r="1270" b="635"/>
            <wp:docPr id="1201846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75230" cy="1237615"/>
                    </a:xfrm>
                    <a:prstGeom prst="rect">
                      <a:avLst/>
                    </a:prstGeom>
                    <a:noFill/>
                  </pic:spPr>
                </pic:pic>
              </a:graphicData>
            </a:graphic>
          </wp:inline>
        </w:drawing>
      </w:r>
    </w:p>
    <w:p w14:paraId="3C8CC95C"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2C31E4" w14:textId="77777777" w:rsidR="00682D60" w:rsidRDefault="00682D60"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ECE144" w14:textId="77777777" w:rsidR="00682D60" w:rsidRDefault="00682D60"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40E3B8" w14:textId="77777777" w:rsidR="00682D60" w:rsidRDefault="00682D60"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74C0D4" w14:textId="3B339563" w:rsidR="00822AEF" w:rsidRPr="00682D60" w:rsidRDefault="003A1AA8" w:rsidP="00822AEF">
      <w:pPr>
        <w:spacing w:before="0" w:after="0" w:line="240" w:lineRule="auto"/>
        <w:jc w:val="center"/>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2D60">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Management</w:t>
      </w:r>
    </w:p>
    <w:p w14:paraId="4491B7F8" w14:textId="6AAA9721" w:rsidR="00822AEF" w:rsidRPr="00682D60" w:rsidRDefault="00822AEF" w:rsidP="00822AEF">
      <w:pPr>
        <w:spacing w:before="0" w:after="0" w:line="240" w:lineRule="auto"/>
        <w:jc w:val="center"/>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2D60">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LCBB5005</w:t>
      </w:r>
    </w:p>
    <w:p w14:paraId="7DC016A6" w14:textId="42FC7BD7" w:rsidR="00682D60" w:rsidRPr="00682D60" w:rsidRDefault="00682D60" w:rsidP="00822AEF">
      <w:pPr>
        <w:spacing w:before="0" w:after="0" w:line="240" w:lineRule="auto"/>
        <w:jc w:val="center"/>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2D60">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Assessment 1</w:t>
      </w:r>
    </w:p>
    <w:p w14:paraId="520A2E18" w14:textId="77777777" w:rsidR="00822AEF" w:rsidRPr="00682D60" w:rsidRDefault="003A1AA8" w:rsidP="00822AEF">
      <w:pPr>
        <w:spacing w:before="0" w:after="0" w:line="240" w:lineRule="auto"/>
        <w:jc w:val="center"/>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2D60">
        <w:rPr>
          <w:rFonts w:cs="Arial"/>
          <w:color w:val="4472C4" w:themeColor="accent1"/>
          <w:sz w:val="48"/>
          <w:szCs w:val="4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Essay (Project Plan)</w:t>
      </w:r>
    </w:p>
    <w:p w14:paraId="4AE34DE2"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9ABD14"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ADADE9"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FD2950"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BF3B3F"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517003"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DEFABD"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E2136B"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18A181"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FA76F1"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187FC3"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D8E268"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9D58D8"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85BF5B"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22165F" w14:textId="77777777" w:rsidR="00822AEF" w:rsidRDefault="00822AEF" w:rsidP="00822AEF">
      <w:pPr>
        <w:spacing w:before="0" w:after="0" w:line="240" w:lineRule="auto"/>
        <w:jc w:val="center"/>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C5615E" w14:textId="77777777" w:rsidR="00682D60" w:rsidRDefault="00682D60" w:rsidP="00822AEF">
      <w:pPr>
        <w:spacing w:before="0" w:after="0" w:line="240" w:lineRule="auto"/>
        <w:jc w:val="left"/>
        <w:rPr>
          <w:rFonts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F87CAE" w14:textId="15AFD685" w:rsidR="00822AEF" w:rsidRPr="00822AEF" w:rsidRDefault="00822AEF" w:rsidP="00822AEF">
      <w:pPr>
        <w:spacing w:before="0" w:after="0" w:line="240" w:lineRule="auto"/>
        <w:jc w:val="left"/>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22AEF">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Name: </w:t>
      </w:r>
      <w:r>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Elena Goranova</w:t>
      </w:r>
    </w:p>
    <w:p w14:paraId="7AD40F4D" w14:textId="6AC714F4" w:rsidR="00822AEF" w:rsidRPr="00822AEF" w:rsidRDefault="00822AEF" w:rsidP="00822AEF">
      <w:pPr>
        <w:spacing w:before="0" w:after="0" w:line="240" w:lineRule="auto"/>
        <w:jc w:val="left"/>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22AEF">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2122365</w:t>
      </w:r>
    </w:p>
    <w:p w14:paraId="2A81AA51" w14:textId="3194D77B" w:rsidR="003A1AA8" w:rsidRPr="00A943BD" w:rsidRDefault="00822AEF" w:rsidP="00822AEF">
      <w:pPr>
        <w:spacing w:before="0" w:after="0" w:line="240" w:lineRule="auto"/>
        <w:jc w:val="left"/>
        <w:rPr>
          <w:rFonts w:ascii="Times New Roman" w:hAnsi="Times New Roman" w:cs="Times New Roman"/>
          <w:color w:val="4472C4" w:themeColor="accent1"/>
          <w:sz w:val="40"/>
          <w:szCs w:val="4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22AEF">
        <w:rPr>
          <w:rFonts w:ascii="Times New Roman" w:hAnsi="Times New Roman" w:cs="Times New Roman"/>
          <w:color w:val="4472C4" w:themeColor="accent1"/>
          <w:sz w:val="28"/>
          <w:szCs w:val="2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Anupam Mazumdar</w:t>
      </w:r>
      <w:r w:rsidR="003A1AA8" w:rsidRPr="00A943BD">
        <w:rPr>
          <w:rFonts w:ascii="Times New Roman" w:hAnsi="Times New Roman" w:cs="Times New Roman"/>
          <w:color w:val="4472C4" w:themeColor="accent1"/>
          <w:sz w:val="40"/>
          <w:szCs w:val="4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4B6FBD17" w14:textId="24306BF7" w:rsidR="004936C4" w:rsidRPr="003A1AA8" w:rsidRDefault="004936C4">
      <w:pPr>
        <w:rPr>
          <w:rFonts w:ascii="Times New Roman" w:hAnsi="Times New Roman" w:cs="Times New Roman"/>
          <w:lang w:val="en-US"/>
        </w:rPr>
      </w:pPr>
      <w:r w:rsidRPr="003A1AA8">
        <w:rPr>
          <w:rFonts w:ascii="Times New Roman" w:hAnsi="Times New Roman" w:cs="Times New Roman"/>
          <w:lang w:val="en-US"/>
        </w:rPr>
        <w:lastRenderedPageBreak/>
        <w:t xml:space="preserve">Introduction </w:t>
      </w:r>
    </w:p>
    <w:p w14:paraId="18B60921" w14:textId="77777777" w:rsidR="004936C4" w:rsidRPr="003A1AA8" w:rsidRDefault="004936C4">
      <w:pPr>
        <w:rPr>
          <w:rFonts w:ascii="Times New Roman" w:hAnsi="Times New Roman" w:cs="Times New Roman"/>
          <w:lang w:val="en-US"/>
        </w:rPr>
      </w:pPr>
      <w:r w:rsidRPr="003A1AA8">
        <w:rPr>
          <w:rFonts w:ascii="Times New Roman" w:hAnsi="Times New Roman" w:cs="Times New Roman"/>
          <w:lang w:val="en-US"/>
        </w:rPr>
        <w:t xml:space="preserve">The present essay takes a case study approach to critically evaluate one of the most current high-profile construction projects in the UK, the Hinkley Point C Nuclear power plant. The essay will </w:t>
      </w:r>
      <w:proofErr w:type="spellStart"/>
      <w:r w:rsidRPr="003A1AA8">
        <w:rPr>
          <w:rFonts w:ascii="Times New Roman" w:hAnsi="Times New Roman" w:cs="Times New Roman"/>
          <w:lang w:val="en-US"/>
        </w:rPr>
        <w:t>utilise</w:t>
      </w:r>
      <w:proofErr w:type="spellEnd"/>
      <w:r w:rsidRPr="003A1AA8">
        <w:rPr>
          <w:rFonts w:ascii="Times New Roman" w:hAnsi="Times New Roman" w:cs="Times New Roman"/>
          <w:lang w:val="en-US"/>
        </w:rPr>
        <w:t xml:space="preserve"> different types of project management tools to evaluate the performance of the project. </w:t>
      </w:r>
    </w:p>
    <w:p w14:paraId="1A88EE70" w14:textId="77777777" w:rsidR="00EA41E3" w:rsidRPr="003A1AA8" w:rsidRDefault="00D536A2">
      <w:pPr>
        <w:rPr>
          <w:rFonts w:ascii="Times New Roman" w:hAnsi="Times New Roman" w:cs="Times New Roman"/>
          <w:lang w:val="en-US"/>
        </w:rPr>
      </w:pPr>
      <w:r w:rsidRPr="003A1AA8">
        <w:rPr>
          <w:rFonts w:ascii="Times New Roman" w:hAnsi="Times New Roman" w:cs="Times New Roman"/>
          <w:lang w:val="en-US"/>
        </w:rPr>
        <w:t xml:space="preserve">Project Management </w:t>
      </w:r>
    </w:p>
    <w:p w14:paraId="1230020D" w14:textId="77777777" w:rsidR="00335247" w:rsidRPr="00335247" w:rsidRDefault="00335247" w:rsidP="00335247">
      <w:pPr>
        <w:rPr>
          <w:rFonts w:ascii="Times New Roman" w:hAnsi="Times New Roman" w:cs="Times New Roman"/>
          <w:lang w:val="en-US"/>
        </w:rPr>
      </w:pPr>
      <w:r w:rsidRPr="00335247">
        <w:rPr>
          <w:rFonts w:ascii="Times New Roman" w:hAnsi="Times New Roman" w:cs="Times New Roman"/>
          <w:lang w:val="en-US"/>
        </w:rPr>
        <w:t>Project manage</w:t>
      </w:r>
      <w:r>
        <w:rPr>
          <w:rFonts w:ascii="Times New Roman" w:hAnsi="Times New Roman" w:cs="Times New Roman"/>
          <w:lang w:val="en-US"/>
        </w:rPr>
        <w:t>ment</w:t>
      </w:r>
      <w:r w:rsidRPr="00335247">
        <w:rPr>
          <w:rFonts w:ascii="Times New Roman" w:hAnsi="Times New Roman" w:cs="Times New Roman"/>
          <w:lang w:val="en-US"/>
        </w:rPr>
        <w:t xml:space="preserve"> </w:t>
      </w:r>
      <w:r>
        <w:rPr>
          <w:rFonts w:ascii="Times New Roman" w:hAnsi="Times New Roman" w:cs="Times New Roman"/>
          <w:lang w:val="en-US"/>
        </w:rPr>
        <w:t xml:space="preserve">typically undertakes </w:t>
      </w:r>
      <w:r w:rsidRPr="00335247">
        <w:rPr>
          <w:rFonts w:ascii="Times New Roman" w:hAnsi="Times New Roman" w:cs="Times New Roman"/>
          <w:lang w:val="en-US"/>
        </w:rPr>
        <w:t>initiating, coordinating, carrying out, monitoring, and shutting down a team's activity in order to meet goals and meet deadlines. The fundamental purpose of project management is to ensure that the desired goals are achieved within the time and financial resources provided. According to Levitt (2011), this all-encompassing and strategic sector handles a range of issues, including time and money management, as well as quality, scope, and risk.</w:t>
      </w:r>
    </w:p>
    <w:p w14:paraId="56CB6B83" w14:textId="77777777" w:rsidR="00D536A2" w:rsidRPr="003A1AA8" w:rsidRDefault="00335247" w:rsidP="00335247">
      <w:pPr>
        <w:rPr>
          <w:rFonts w:ascii="Times New Roman" w:hAnsi="Times New Roman" w:cs="Times New Roman"/>
          <w:lang w:val="en-US"/>
        </w:rPr>
      </w:pPr>
      <w:r w:rsidRPr="00335247">
        <w:rPr>
          <w:rFonts w:ascii="Times New Roman" w:hAnsi="Times New Roman" w:cs="Times New Roman"/>
          <w:lang w:val="en-US"/>
        </w:rPr>
        <w:t xml:space="preserve">It is determined </w:t>
      </w:r>
      <w:proofErr w:type="gramStart"/>
      <w:r w:rsidRPr="00335247">
        <w:rPr>
          <w:rFonts w:ascii="Times New Roman" w:hAnsi="Times New Roman" w:cs="Times New Roman"/>
          <w:lang w:val="en-US"/>
        </w:rPr>
        <w:t>whether or not</w:t>
      </w:r>
      <w:proofErr w:type="gramEnd"/>
      <w:r w:rsidRPr="00335247">
        <w:rPr>
          <w:rFonts w:ascii="Times New Roman" w:hAnsi="Times New Roman" w:cs="Times New Roman"/>
          <w:lang w:val="en-US"/>
        </w:rPr>
        <w:t xml:space="preserve"> a project will be completed from the outset of the project management process. The first step in any planning process is to define the scope of the project and its primary goals. Even after the project's launch phase is complete, project planners will continue to meticulously manage the complexity of bringing together </w:t>
      </w:r>
      <w:proofErr w:type="gramStart"/>
      <w:r w:rsidRPr="00335247">
        <w:rPr>
          <w:rFonts w:ascii="Times New Roman" w:hAnsi="Times New Roman" w:cs="Times New Roman"/>
          <w:lang w:val="en-US"/>
        </w:rPr>
        <w:t>all of</w:t>
      </w:r>
      <w:proofErr w:type="gramEnd"/>
      <w:r w:rsidRPr="00335247">
        <w:rPr>
          <w:rFonts w:ascii="Times New Roman" w:hAnsi="Times New Roman" w:cs="Times New Roman"/>
          <w:lang w:val="en-US"/>
        </w:rPr>
        <w:t xml:space="preserve"> the necessary components for execution. Some of the many key considerations that must be taken while designing the design of a project include time restrictions, the availability of resources, the assignment of roles and responsibilities, and the </w:t>
      </w:r>
      <w:r>
        <w:rPr>
          <w:rFonts w:ascii="Times New Roman" w:hAnsi="Times New Roman" w:cs="Times New Roman"/>
          <w:lang w:val="en-US"/>
        </w:rPr>
        <w:t>establishment</w:t>
      </w:r>
      <w:r w:rsidRPr="00335247">
        <w:rPr>
          <w:rFonts w:ascii="Times New Roman" w:hAnsi="Times New Roman" w:cs="Times New Roman"/>
          <w:lang w:val="en-US"/>
        </w:rPr>
        <w:t xml:space="preserve"> of open lines of communication</w:t>
      </w:r>
      <w:r w:rsidR="00D536A2" w:rsidRPr="003A1AA8">
        <w:rPr>
          <w:rFonts w:ascii="Times New Roman" w:hAnsi="Times New Roman" w:cs="Times New Roman"/>
          <w:lang w:val="en-US"/>
        </w:rPr>
        <w:t>. The expansion of the project's scope into unforeseen areas is a crucial factor in the failure of efforts. Careful preparation</w:t>
      </w:r>
      <w:r w:rsidR="003A1AA8" w:rsidRPr="003A1AA8">
        <w:rPr>
          <w:rFonts w:ascii="Times New Roman" w:hAnsi="Times New Roman" w:cs="Times New Roman"/>
          <w:lang w:val="en-US"/>
        </w:rPr>
        <w:t xml:space="preserve"> could </w:t>
      </w:r>
      <w:r w:rsidR="00D536A2" w:rsidRPr="003A1AA8">
        <w:rPr>
          <w:rFonts w:ascii="Times New Roman" w:hAnsi="Times New Roman" w:cs="Times New Roman"/>
          <w:lang w:val="en-US"/>
        </w:rPr>
        <w:t>help to decrease this danger</w:t>
      </w:r>
      <w:r w:rsidR="003A1AA8" w:rsidRPr="003A1AA8">
        <w:rPr>
          <w:rFonts w:ascii="Times New Roman" w:hAnsi="Times New Roman" w:cs="Times New Roman"/>
          <w:lang w:val="en-US"/>
        </w:rPr>
        <w:t xml:space="preserve"> (Schwalbe, 2009).</w:t>
      </w:r>
    </w:p>
    <w:p w14:paraId="54E862AC"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The next phase of a project is known as implementation, and it is during this phase that the essential activities for completing the assignment and generating the final product or service are completed. To ensure that a project's execution phase is carried out properly and efficiently, it is typically required to dedicate a significant amount of time, financial resources, and human capital to it. Furthermore, this phase necessitates a high level of cooperation. Monitoring and control activities must be carried out concurrently with the project execution phase in order to guarantee that the project stays within the timeline that has been established. In this scenario, the management team assesses where the project is in relation to the original plan and makes any necessary modifications.</w:t>
      </w:r>
    </w:p>
    <w:p w14:paraId="721E3167"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At this moment, the project is nearing completion. During this phase, the project is successfully finished, and all remaining deliverables and resources are completed and made available. Post-</w:t>
      </w:r>
      <w:r w:rsidRPr="003A1AA8">
        <w:rPr>
          <w:rFonts w:ascii="Times New Roman" w:hAnsi="Times New Roman" w:cs="Times New Roman"/>
          <w:lang w:val="en-US"/>
        </w:rPr>
        <w:lastRenderedPageBreak/>
        <w:t>mortems on finished projects are an important element of the process. During these evaluations, team members discuss the project's accomplishments and problems, which leads to proposals for future efforts. Only</w:t>
      </w:r>
      <w:r w:rsidR="003A1AA8">
        <w:rPr>
          <w:rFonts w:ascii="Times New Roman" w:hAnsi="Times New Roman" w:cs="Times New Roman"/>
          <w:lang w:val="en-US"/>
        </w:rPr>
        <w:t xml:space="preserve"> through </w:t>
      </w:r>
      <w:r w:rsidRPr="003A1AA8">
        <w:rPr>
          <w:rFonts w:ascii="Times New Roman" w:hAnsi="Times New Roman" w:cs="Times New Roman"/>
          <w:lang w:val="en-US"/>
        </w:rPr>
        <w:t>an iterative process of self-reflection and rigorous review can project management be improved.</w:t>
      </w:r>
    </w:p>
    <w:p w14:paraId="0B5A4338"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 xml:space="preserve">The techniques and processes </w:t>
      </w:r>
      <w:proofErr w:type="spellStart"/>
      <w:r w:rsidRPr="003A1AA8">
        <w:rPr>
          <w:rFonts w:ascii="Times New Roman" w:hAnsi="Times New Roman" w:cs="Times New Roman"/>
          <w:lang w:val="en-US"/>
        </w:rPr>
        <w:t>utilised</w:t>
      </w:r>
      <w:proofErr w:type="spellEnd"/>
      <w:r w:rsidRPr="003A1AA8">
        <w:rPr>
          <w:rFonts w:ascii="Times New Roman" w:hAnsi="Times New Roman" w:cs="Times New Roman"/>
          <w:lang w:val="en-US"/>
        </w:rPr>
        <w:t xml:space="preserve"> in project management</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 xml:space="preserve">vary greatly depending on the specific characteristics of the project as well as the company involved in the process. Regardless, it is critical to remember that the fundamental concepts that drive project management have not altered. There are several modern project management methodologies, including Agile, Scrum, Lean, and Waterfall. Each of these approaches has its own set of advantages and disadvantages. A competent project manager will be knowledgeable about a range of strategies and will be able to choose the strategy that is best suited for both their team and the specific project they are working on. At its most basic level, project management entails the complex orchestration of numerous components inside a project to ensure the timely and successful delivery of a superior </w:t>
      </w:r>
      <w:proofErr w:type="gramStart"/>
      <w:r w:rsidRPr="003A1AA8">
        <w:rPr>
          <w:rFonts w:ascii="Times New Roman" w:hAnsi="Times New Roman" w:cs="Times New Roman"/>
          <w:lang w:val="en-US"/>
        </w:rPr>
        <w:t>final outcome</w:t>
      </w:r>
      <w:proofErr w:type="gramEnd"/>
      <w:r w:rsidRPr="003A1AA8">
        <w:rPr>
          <w:rFonts w:ascii="Times New Roman" w:hAnsi="Times New Roman" w:cs="Times New Roman"/>
          <w:lang w:val="en-US"/>
        </w:rPr>
        <w:t xml:space="preserve"> while adhering to financial constraints. This is done to guarantee that the project is finished on schedule and efficiently.</w:t>
      </w:r>
    </w:p>
    <w:p w14:paraId="20D16621"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 xml:space="preserve">Project Charter </w:t>
      </w:r>
    </w:p>
    <w:tbl>
      <w:tblPr>
        <w:tblStyle w:val="TableGridLight"/>
        <w:tblW w:w="9067" w:type="dxa"/>
        <w:tblLook w:val="04A0" w:firstRow="1" w:lastRow="0" w:firstColumn="1" w:lastColumn="0" w:noHBand="0" w:noVBand="1"/>
      </w:tblPr>
      <w:tblGrid>
        <w:gridCol w:w="2547"/>
        <w:gridCol w:w="6520"/>
      </w:tblGrid>
      <w:tr w:rsidR="00D536A2" w:rsidRPr="00D536A2" w14:paraId="495A1E2E" w14:textId="77777777" w:rsidTr="00D536A2">
        <w:tc>
          <w:tcPr>
            <w:tcW w:w="2547" w:type="dxa"/>
            <w:hideMark/>
          </w:tcPr>
          <w:p w14:paraId="1C47CEF7"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Project Charter Element</w:t>
            </w:r>
          </w:p>
        </w:tc>
        <w:tc>
          <w:tcPr>
            <w:tcW w:w="6520" w:type="dxa"/>
            <w:hideMark/>
          </w:tcPr>
          <w:p w14:paraId="09DB9E71"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Description</w:t>
            </w:r>
          </w:p>
        </w:tc>
      </w:tr>
      <w:tr w:rsidR="00D536A2" w:rsidRPr="00D536A2" w14:paraId="300468D6" w14:textId="77777777" w:rsidTr="00D536A2">
        <w:tc>
          <w:tcPr>
            <w:tcW w:w="2547" w:type="dxa"/>
            <w:hideMark/>
          </w:tcPr>
          <w:p w14:paraId="2144AF58"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Title</w:t>
            </w:r>
          </w:p>
        </w:tc>
        <w:tc>
          <w:tcPr>
            <w:tcW w:w="6520" w:type="dxa"/>
            <w:hideMark/>
          </w:tcPr>
          <w:p w14:paraId="63077445"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Hinkley Point C Nuclear Power Plant Construction</w:t>
            </w:r>
          </w:p>
        </w:tc>
      </w:tr>
      <w:tr w:rsidR="00D536A2" w:rsidRPr="00D536A2" w14:paraId="711B7A11" w14:textId="77777777" w:rsidTr="00D536A2">
        <w:tc>
          <w:tcPr>
            <w:tcW w:w="2547" w:type="dxa"/>
            <w:hideMark/>
          </w:tcPr>
          <w:p w14:paraId="3436B78E"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Sponsor</w:t>
            </w:r>
          </w:p>
        </w:tc>
        <w:tc>
          <w:tcPr>
            <w:tcW w:w="6520" w:type="dxa"/>
            <w:hideMark/>
          </w:tcPr>
          <w:p w14:paraId="322C85F3"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UK Government, EDF Energy</w:t>
            </w:r>
          </w:p>
        </w:tc>
      </w:tr>
      <w:tr w:rsidR="00D536A2" w:rsidRPr="00D536A2" w14:paraId="41565BDC" w14:textId="77777777" w:rsidTr="00D536A2">
        <w:tc>
          <w:tcPr>
            <w:tcW w:w="2547" w:type="dxa"/>
            <w:hideMark/>
          </w:tcPr>
          <w:p w14:paraId="4626C042"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Manager</w:t>
            </w:r>
          </w:p>
        </w:tc>
        <w:tc>
          <w:tcPr>
            <w:tcW w:w="6520" w:type="dxa"/>
            <w:hideMark/>
          </w:tcPr>
          <w:p w14:paraId="57AA74F9" w14:textId="77777777" w:rsidR="00D536A2" w:rsidRPr="00D536A2" w:rsidRDefault="00D536A2" w:rsidP="00D536A2">
            <w:pPr>
              <w:rPr>
                <w:rFonts w:ascii="Times New Roman" w:hAnsi="Times New Roman" w:cs="Times New Roman"/>
                <w:lang w:val="en-US"/>
              </w:rPr>
            </w:pPr>
            <w:r w:rsidRPr="003A1AA8">
              <w:rPr>
                <w:rFonts w:ascii="Times New Roman" w:hAnsi="Times New Roman" w:cs="Times New Roman"/>
                <w:lang w:val="en-US"/>
              </w:rPr>
              <w:t>-</w:t>
            </w:r>
          </w:p>
        </w:tc>
      </w:tr>
      <w:tr w:rsidR="00D536A2" w:rsidRPr="00D536A2" w14:paraId="77A0D7C8" w14:textId="77777777" w:rsidTr="00D536A2">
        <w:tc>
          <w:tcPr>
            <w:tcW w:w="2547" w:type="dxa"/>
            <w:hideMark/>
          </w:tcPr>
          <w:p w14:paraId="290ED3E0"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Start Date</w:t>
            </w:r>
          </w:p>
        </w:tc>
        <w:tc>
          <w:tcPr>
            <w:tcW w:w="6520" w:type="dxa"/>
            <w:hideMark/>
          </w:tcPr>
          <w:p w14:paraId="38E300C2" w14:textId="77777777" w:rsidR="00D536A2" w:rsidRPr="00D536A2" w:rsidRDefault="00D536A2" w:rsidP="00D536A2">
            <w:pPr>
              <w:rPr>
                <w:rFonts w:ascii="Times New Roman" w:hAnsi="Times New Roman" w:cs="Times New Roman"/>
                <w:lang w:val="en-US"/>
              </w:rPr>
            </w:pPr>
            <w:r w:rsidRPr="003A1AA8">
              <w:rPr>
                <w:rFonts w:ascii="Times New Roman" w:hAnsi="Times New Roman" w:cs="Times New Roman"/>
                <w:lang w:val="en-US"/>
              </w:rPr>
              <w:t>2016</w:t>
            </w:r>
          </w:p>
        </w:tc>
      </w:tr>
      <w:tr w:rsidR="00D536A2" w:rsidRPr="00D536A2" w14:paraId="700649B2" w14:textId="77777777" w:rsidTr="00D536A2">
        <w:tc>
          <w:tcPr>
            <w:tcW w:w="2547" w:type="dxa"/>
            <w:hideMark/>
          </w:tcPr>
          <w:p w14:paraId="70831488"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End Date</w:t>
            </w:r>
          </w:p>
        </w:tc>
        <w:tc>
          <w:tcPr>
            <w:tcW w:w="6520" w:type="dxa"/>
            <w:hideMark/>
          </w:tcPr>
          <w:p w14:paraId="6FB78F6D" w14:textId="77777777" w:rsidR="00D536A2" w:rsidRPr="00D536A2" w:rsidRDefault="00D536A2" w:rsidP="00D536A2">
            <w:pPr>
              <w:rPr>
                <w:rFonts w:ascii="Times New Roman" w:hAnsi="Times New Roman" w:cs="Times New Roman"/>
                <w:lang w:val="en-US"/>
              </w:rPr>
            </w:pPr>
            <w:r w:rsidRPr="003A1AA8">
              <w:rPr>
                <w:rFonts w:ascii="Times New Roman" w:hAnsi="Times New Roman" w:cs="Times New Roman"/>
                <w:lang w:val="en-US"/>
              </w:rPr>
              <w:t>2025</w:t>
            </w:r>
          </w:p>
        </w:tc>
      </w:tr>
      <w:tr w:rsidR="00D536A2" w:rsidRPr="00D536A2" w14:paraId="2200DBCD" w14:textId="77777777" w:rsidTr="00D536A2">
        <w:tc>
          <w:tcPr>
            <w:tcW w:w="2547" w:type="dxa"/>
            <w:hideMark/>
          </w:tcPr>
          <w:p w14:paraId="3C4630AB"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Budget</w:t>
            </w:r>
          </w:p>
        </w:tc>
        <w:tc>
          <w:tcPr>
            <w:tcW w:w="6520" w:type="dxa"/>
            <w:hideMark/>
          </w:tcPr>
          <w:p w14:paraId="6BC5E576" w14:textId="77777777" w:rsidR="00D536A2" w:rsidRPr="00D536A2" w:rsidRDefault="00D536A2" w:rsidP="00D536A2">
            <w:pPr>
              <w:rPr>
                <w:rFonts w:ascii="Times New Roman" w:hAnsi="Times New Roman" w:cs="Times New Roman"/>
                <w:lang w:val="en-US"/>
              </w:rPr>
            </w:pPr>
            <w:r w:rsidRPr="00D536A2">
              <w:rPr>
                <w:rFonts w:ascii="Times New Roman" w:hAnsi="Times New Roman" w:cs="Times New Roman"/>
              </w:rPr>
              <w:t>£25–£26 billion</w:t>
            </w:r>
            <w:r w:rsidR="004936C4" w:rsidRPr="003A1AA8">
              <w:rPr>
                <w:rFonts w:ascii="Times New Roman" w:hAnsi="Times New Roman" w:cs="Times New Roman"/>
                <w:lang w:val="en-US"/>
              </w:rPr>
              <w:t xml:space="preserve"> (Estimated)</w:t>
            </w:r>
          </w:p>
        </w:tc>
      </w:tr>
      <w:tr w:rsidR="00D536A2" w:rsidRPr="00D536A2" w14:paraId="7A17D064" w14:textId="77777777" w:rsidTr="00D536A2">
        <w:tc>
          <w:tcPr>
            <w:tcW w:w="2547" w:type="dxa"/>
            <w:hideMark/>
          </w:tcPr>
          <w:p w14:paraId="15FD0B96"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Scope</w:t>
            </w:r>
          </w:p>
        </w:tc>
        <w:tc>
          <w:tcPr>
            <w:tcW w:w="6520" w:type="dxa"/>
            <w:hideMark/>
          </w:tcPr>
          <w:p w14:paraId="27B2313E" w14:textId="77777777" w:rsidR="00D536A2" w:rsidRPr="00D536A2" w:rsidRDefault="00D536A2" w:rsidP="00D536A2">
            <w:pPr>
              <w:rPr>
                <w:rFonts w:ascii="Times New Roman" w:hAnsi="Times New Roman" w:cs="Times New Roman"/>
                <w:lang w:val="en-US"/>
              </w:rPr>
            </w:pPr>
            <w:r w:rsidRPr="00D536A2">
              <w:rPr>
                <w:rFonts w:ascii="Times New Roman" w:hAnsi="Times New Roman" w:cs="Times New Roman"/>
              </w:rPr>
              <w:t xml:space="preserve">Construction of a nuclear power plant with two EPR reactors capable of providing electricity for 6 million homes, creation of </w:t>
            </w:r>
            <w:r w:rsidRPr="00D536A2">
              <w:rPr>
                <w:rFonts w:ascii="Times New Roman" w:hAnsi="Times New Roman" w:cs="Times New Roman"/>
              </w:rPr>
              <w:lastRenderedPageBreak/>
              <w:t>25,000 job opportunities, and procurement of up to 1,000 apprenticeships</w:t>
            </w:r>
            <w:r w:rsidR="003A1AA8" w:rsidRPr="003A1AA8">
              <w:rPr>
                <w:rFonts w:ascii="Times New Roman" w:hAnsi="Times New Roman" w:cs="Times New Roman"/>
                <w:lang w:val="en-US"/>
              </w:rPr>
              <w:t xml:space="preserve"> (EDF, 2016)</w:t>
            </w:r>
          </w:p>
        </w:tc>
      </w:tr>
      <w:tr w:rsidR="00D536A2" w:rsidRPr="00D536A2" w14:paraId="0DB2C147" w14:textId="77777777" w:rsidTr="00D536A2">
        <w:tc>
          <w:tcPr>
            <w:tcW w:w="2547" w:type="dxa"/>
            <w:hideMark/>
          </w:tcPr>
          <w:p w14:paraId="7EA2875B"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lastRenderedPageBreak/>
              <w:t>Project Objective</w:t>
            </w:r>
          </w:p>
        </w:tc>
        <w:tc>
          <w:tcPr>
            <w:tcW w:w="6520" w:type="dxa"/>
            <w:hideMark/>
          </w:tcPr>
          <w:p w14:paraId="3C2FB801"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To significantly contribute to the UK's carbon emission reduction efforts by offsetting an estimated 9 million tons of CO2 emissions per year.</w:t>
            </w:r>
          </w:p>
        </w:tc>
      </w:tr>
      <w:tr w:rsidR="00D536A2" w:rsidRPr="00D536A2" w14:paraId="05383693" w14:textId="77777777" w:rsidTr="00D536A2">
        <w:tc>
          <w:tcPr>
            <w:tcW w:w="2547" w:type="dxa"/>
            <w:hideMark/>
          </w:tcPr>
          <w:p w14:paraId="1DAD7C23"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Major Deliverables</w:t>
            </w:r>
          </w:p>
        </w:tc>
        <w:tc>
          <w:tcPr>
            <w:tcW w:w="6520" w:type="dxa"/>
            <w:hideMark/>
          </w:tcPr>
          <w:p w14:paraId="23801F29"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Two operational EPR reactors, Infrastructure for supporting facilities, Employment and apprenticeship opportunities</w:t>
            </w:r>
          </w:p>
        </w:tc>
      </w:tr>
      <w:tr w:rsidR="00D536A2" w:rsidRPr="00D536A2" w14:paraId="762AB60F" w14:textId="77777777" w:rsidTr="00D536A2">
        <w:tc>
          <w:tcPr>
            <w:tcW w:w="2547" w:type="dxa"/>
            <w:hideMark/>
          </w:tcPr>
          <w:p w14:paraId="58924E3D"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Key Stakeholders</w:t>
            </w:r>
          </w:p>
        </w:tc>
        <w:tc>
          <w:tcPr>
            <w:tcW w:w="6520" w:type="dxa"/>
            <w:hideMark/>
          </w:tcPr>
          <w:p w14:paraId="7FD053C5"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UK Government, EDF Energy, Local Communities, Future Employees, UK Economy</w:t>
            </w:r>
          </w:p>
        </w:tc>
      </w:tr>
      <w:tr w:rsidR="00D536A2" w:rsidRPr="00D536A2" w14:paraId="259BA65B" w14:textId="77777777" w:rsidTr="00D536A2">
        <w:tc>
          <w:tcPr>
            <w:tcW w:w="2547" w:type="dxa"/>
            <w:hideMark/>
          </w:tcPr>
          <w:p w14:paraId="5F974346"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Project Risks</w:t>
            </w:r>
          </w:p>
        </w:tc>
        <w:tc>
          <w:tcPr>
            <w:tcW w:w="6520" w:type="dxa"/>
            <w:hideMark/>
          </w:tcPr>
          <w:p w14:paraId="48FCCEF0"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Technical difficulties in construction, Regulatory challenges, Environmental concerns, Budget overruns, Delays in schedule</w:t>
            </w:r>
          </w:p>
        </w:tc>
      </w:tr>
      <w:tr w:rsidR="00D536A2" w:rsidRPr="00D536A2" w14:paraId="0DCB24EA" w14:textId="77777777" w:rsidTr="00D536A2">
        <w:tc>
          <w:tcPr>
            <w:tcW w:w="2547" w:type="dxa"/>
            <w:hideMark/>
          </w:tcPr>
          <w:p w14:paraId="5F49AA61"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Success Criteria</w:t>
            </w:r>
          </w:p>
        </w:tc>
        <w:tc>
          <w:tcPr>
            <w:tcW w:w="6520" w:type="dxa"/>
            <w:hideMark/>
          </w:tcPr>
          <w:p w14:paraId="281A235B"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Successful construction and operation of two EPR reactors, Meeting employment and apprenticeship goals, Positive impact on the local economy, Meeting the target of carbon emission reduction</w:t>
            </w:r>
          </w:p>
        </w:tc>
      </w:tr>
      <w:tr w:rsidR="00D536A2" w:rsidRPr="00D536A2" w14:paraId="56A4468A" w14:textId="77777777" w:rsidTr="00D536A2">
        <w:tc>
          <w:tcPr>
            <w:tcW w:w="2547" w:type="dxa"/>
            <w:hideMark/>
          </w:tcPr>
          <w:p w14:paraId="4553EA17"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Assumptions</w:t>
            </w:r>
          </w:p>
        </w:tc>
        <w:tc>
          <w:tcPr>
            <w:tcW w:w="6520" w:type="dxa"/>
            <w:hideMark/>
          </w:tcPr>
          <w:p w14:paraId="3F486054"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 xml:space="preserve">Availability of sufficient funds, Compliance with safety and environmental regulations, Availability of skilled </w:t>
            </w:r>
            <w:proofErr w:type="spellStart"/>
            <w:r w:rsidRPr="00D536A2">
              <w:rPr>
                <w:rFonts w:ascii="Times New Roman" w:hAnsi="Times New Roman" w:cs="Times New Roman"/>
              </w:rPr>
              <w:t>labor</w:t>
            </w:r>
            <w:proofErr w:type="spellEnd"/>
            <w:r w:rsidRPr="00D536A2">
              <w:rPr>
                <w:rFonts w:ascii="Times New Roman" w:hAnsi="Times New Roman" w:cs="Times New Roman"/>
              </w:rPr>
              <w:t>, Market demand for low-carbon electricity</w:t>
            </w:r>
          </w:p>
        </w:tc>
      </w:tr>
      <w:tr w:rsidR="00D536A2" w:rsidRPr="00D536A2" w14:paraId="351DDAD1" w14:textId="77777777" w:rsidTr="00D536A2">
        <w:tc>
          <w:tcPr>
            <w:tcW w:w="2547" w:type="dxa"/>
            <w:hideMark/>
          </w:tcPr>
          <w:p w14:paraId="7732F5AB" w14:textId="77777777" w:rsidR="00D536A2" w:rsidRPr="00D536A2" w:rsidRDefault="00D536A2" w:rsidP="00D536A2">
            <w:pPr>
              <w:rPr>
                <w:rFonts w:ascii="Times New Roman" w:hAnsi="Times New Roman" w:cs="Times New Roman"/>
              </w:rPr>
            </w:pPr>
            <w:r w:rsidRPr="00D536A2">
              <w:rPr>
                <w:rFonts w:ascii="Times New Roman" w:hAnsi="Times New Roman" w:cs="Times New Roman"/>
                <w:b/>
                <w:bCs/>
              </w:rPr>
              <w:t>Constraints</w:t>
            </w:r>
          </w:p>
        </w:tc>
        <w:tc>
          <w:tcPr>
            <w:tcW w:w="6520" w:type="dxa"/>
            <w:hideMark/>
          </w:tcPr>
          <w:p w14:paraId="7907A3A5"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 xml:space="preserve">Regulatory requirements, Environmental impact mitigation, Budget and timeline, Availability of resources and skilled </w:t>
            </w:r>
            <w:proofErr w:type="spellStart"/>
            <w:r w:rsidRPr="00D536A2">
              <w:rPr>
                <w:rFonts w:ascii="Times New Roman" w:hAnsi="Times New Roman" w:cs="Times New Roman"/>
              </w:rPr>
              <w:t>labor</w:t>
            </w:r>
            <w:proofErr w:type="spellEnd"/>
          </w:p>
        </w:tc>
      </w:tr>
    </w:tbl>
    <w:p w14:paraId="556050BA"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 xml:space="preserve">Project Scope </w:t>
      </w:r>
    </w:p>
    <w:p w14:paraId="6B05D060"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The project scope includes all activities, deliverables, and timelines the team must complete to meet project goals. It defines what's in and out of the project. A well-defined project scope prevents scope creep, unites stakeholders, and guides change request choices.</w:t>
      </w:r>
    </w:p>
    <w:p w14:paraId="5917E6CA"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The Hinkley Point C project has several key components:</w:t>
      </w:r>
    </w:p>
    <w:p w14:paraId="04FDAD3A"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Construction of Two EPR Reactors: The project involves building two low-carbon EPR reactors. This comprises reactors, their infrastructure, facilities, and safety precautions.</w:t>
      </w:r>
    </w:p>
    <w:p w14:paraId="12EB3562"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lastRenderedPageBreak/>
        <w:t xml:space="preserve">Powering households: Hinkley Point C will power six million households. This aim requires reactor </w:t>
      </w:r>
      <w:proofErr w:type="spellStart"/>
      <w:r w:rsidRPr="003A1AA8">
        <w:rPr>
          <w:rFonts w:ascii="Times New Roman" w:hAnsi="Times New Roman" w:cs="Times New Roman"/>
          <w:lang w:val="en-US"/>
        </w:rPr>
        <w:t>synchronisation</w:t>
      </w:r>
      <w:proofErr w:type="spellEnd"/>
      <w:r w:rsidRPr="003A1AA8">
        <w:rPr>
          <w:rFonts w:ascii="Times New Roman" w:hAnsi="Times New Roman" w:cs="Times New Roman"/>
          <w:lang w:val="en-US"/>
        </w:rPr>
        <w:t xml:space="preserve"> with the UK's national grid and dependable electricity output</w:t>
      </w:r>
      <w:r w:rsidR="003A1AA8" w:rsidRPr="003A1AA8">
        <w:rPr>
          <w:rFonts w:ascii="Times New Roman" w:hAnsi="Times New Roman" w:cs="Times New Roman"/>
          <w:lang w:val="en-US"/>
        </w:rPr>
        <w:t xml:space="preserve"> (Laing O’Rourke, 2019).</w:t>
      </w:r>
    </w:p>
    <w:p w14:paraId="646BA3A0"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Employment: The initiative aims to create 25,000 jobs. This covers both plant builders and operators.</w:t>
      </w:r>
    </w:p>
    <w:p w14:paraId="107125B7"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Apprenticeships: The initiative will provide 1,000 nuclear power industry apprenticeships.</w:t>
      </w:r>
    </w:p>
    <w:p w14:paraId="5FC0A93B"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Revenue: UK firms will get 64% of the project's construction value. The project involves extensive procurement and local supply chain participation.</w:t>
      </w:r>
    </w:p>
    <w:p w14:paraId="7D292EC5"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 xml:space="preserve">Carbon Emission Reduction: Hinkley Point C will also help cut UK carbon emissions. Over 60 years, the facility will offset 9 million </w:t>
      </w:r>
      <w:proofErr w:type="spellStart"/>
      <w:r w:rsidRPr="003A1AA8">
        <w:rPr>
          <w:rFonts w:ascii="Times New Roman" w:hAnsi="Times New Roman" w:cs="Times New Roman"/>
          <w:lang w:val="en-US"/>
        </w:rPr>
        <w:t>tonnes</w:t>
      </w:r>
      <w:proofErr w:type="spellEnd"/>
      <w:r w:rsidRPr="003A1AA8">
        <w:rPr>
          <w:rFonts w:ascii="Times New Roman" w:hAnsi="Times New Roman" w:cs="Times New Roman"/>
          <w:lang w:val="en-US"/>
        </w:rPr>
        <w:t xml:space="preserve"> of CO2 emissions. Thus, the project comprises long-term operations and environmental effect monitoring and reporting. To manage a project of this size and complexity, a formal and rigorous project scope statement that clearly specifies the project's deliverables, objectives, and tasks must be created.</w:t>
      </w:r>
      <w:r w:rsidR="003A1AA8" w:rsidRPr="003A1AA8">
        <w:rPr>
          <w:rFonts w:ascii="Times New Roman" w:hAnsi="Times New Roman" w:cs="Times New Roman"/>
          <w:lang w:val="en-US"/>
        </w:rPr>
        <w:t xml:space="preserve"> (Walker, 2015).</w:t>
      </w:r>
      <w:r w:rsidRPr="003A1AA8">
        <w:rPr>
          <w:rFonts w:ascii="Times New Roman" w:hAnsi="Times New Roman" w:cs="Times New Roman"/>
          <w:lang w:val="en-US"/>
        </w:rPr>
        <w:t xml:space="preserve"> This keeps the project on track by ensuring all stakeholders understand it.</w:t>
      </w:r>
    </w:p>
    <w:p w14:paraId="2FF442D0" w14:textId="77777777" w:rsidR="00D536A2" w:rsidRPr="003A1AA8" w:rsidRDefault="00D536A2" w:rsidP="00D536A2">
      <w:pPr>
        <w:rPr>
          <w:rFonts w:ascii="Times New Roman" w:hAnsi="Times New Roman" w:cs="Times New Roman"/>
          <w:lang w:val="en-US"/>
        </w:rPr>
      </w:pPr>
      <w:r w:rsidRPr="003A1AA8">
        <w:rPr>
          <w:rFonts w:ascii="Times New Roman" w:hAnsi="Times New Roman" w:cs="Times New Roman"/>
          <w:lang w:val="en-US"/>
        </w:rPr>
        <w:t xml:space="preserve">Budgetary Analysis </w:t>
      </w:r>
    </w:p>
    <w:tbl>
      <w:tblPr>
        <w:tblStyle w:val="TableGridLight"/>
        <w:tblW w:w="8926" w:type="dxa"/>
        <w:tblLook w:val="04A0" w:firstRow="1" w:lastRow="0" w:firstColumn="1" w:lastColumn="0" w:noHBand="0" w:noVBand="1"/>
      </w:tblPr>
      <w:tblGrid>
        <w:gridCol w:w="3114"/>
        <w:gridCol w:w="3118"/>
        <w:gridCol w:w="2694"/>
      </w:tblGrid>
      <w:tr w:rsidR="00D536A2" w:rsidRPr="00D536A2" w14:paraId="5040C26B" w14:textId="77777777" w:rsidTr="00D536A2">
        <w:tc>
          <w:tcPr>
            <w:tcW w:w="3114" w:type="dxa"/>
            <w:hideMark/>
          </w:tcPr>
          <w:p w14:paraId="48B3FA28"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Budget item</w:t>
            </w:r>
          </w:p>
        </w:tc>
        <w:tc>
          <w:tcPr>
            <w:tcW w:w="3118" w:type="dxa"/>
            <w:hideMark/>
          </w:tcPr>
          <w:p w14:paraId="3B90AD25"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Original estimate</w:t>
            </w:r>
          </w:p>
        </w:tc>
        <w:tc>
          <w:tcPr>
            <w:tcW w:w="2694" w:type="dxa"/>
            <w:hideMark/>
          </w:tcPr>
          <w:p w14:paraId="384F2B66" w14:textId="77777777" w:rsidR="00D536A2" w:rsidRPr="00D536A2" w:rsidRDefault="00D536A2" w:rsidP="00D536A2">
            <w:pPr>
              <w:rPr>
                <w:rFonts w:ascii="Times New Roman" w:hAnsi="Times New Roman" w:cs="Times New Roman"/>
                <w:b/>
                <w:bCs/>
              </w:rPr>
            </w:pPr>
            <w:r w:rsidRPr="00D536A2">
              <w:rPr>
                <w:rFonts w:ascii="Times New Roman" w:hAnsi="Times New Roman" w:cs="Times New Roman"/>
                <w:b/>
                <w:bCs/>
              </w:rPr>
              <w:t>Current estimate</w:t>
            </w:r>
          </w:p>
        </w:tc>
      </w:tr>
      <w:tr w:rsidR="00D536A2" w:rsidRPr="00D536A2" w14:paraId="08BBA13E" w14:textId="77777777" w:rsidTr="00D536A2">
        <w:tc>
          <w:tcPr>
            <w:tcW w:w="3114" w:type="dxa"/>
            <w:hideMark/>
          </w:tcPr>
          <w:p w14:paraId="5F6F5EF5"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Construction cost</w:t>
            </w:r>
          </w:p>
        </w:tc>
        <w:tc>
          <w:tcPr>
            <w:tcW w:w="3118" w:type="dxa"/>
            <w:hideMark/>
          </w:tcPr>
          <w:p w14:paraId="4E9ABFE9"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£20.5 billion</w:t>
            </w:r>
          </w:p>
        </w:tc>
        <w:tc>
          <w:tcPr>
            <w:tcW w:w="2694" w:type="dxa"/>
            <w:hideMark/>
          </w:tcPr>
          <w:p w14:paraId="21C11E7F"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£32.7 billion</w:t>
            </w:r>
          </w:p>
        </w:tc>
      </w:tr>
      <w:tr w:rsidR="00D536A2" w:rsidRPr="00D536A2" w14:paraId="58853607" w14:textId="77777777" w:rsidTr="00D536A2">
        <w:tc>
          <w:tcPr>
            <w:tcW w:w="3114" w:type="dxa"/>
            <w:hideMark/>
          </w:tcPr>
          <w:p w14:paraId="2125765B"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Lifetime costs</w:t>
            </w:r>
          </w:p>
        </w:tc>
        <w:tc>
          <w:tcPr>
            <w:tcW w:w="3118" w:type="dxa"/>
            <w:hideMark/>
          </w:tcPr>
          <w:p w14:paraId="353A48B1"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£55 billion</w:t>
            </w:r>
          </w:p>
        </w:tc>
        <w:tc>
          <w:tcPr>
            <w:tcW w:w="2694" w:type="dxa"/>
            <w:hideMark/>
          </w:tcPr>
          <w:p w14:paraId="18037AA8"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£55 billion</w:t>
            </w:r>
          </w:p>
        </w:tc>
      </w:tr>
      <w:tr w:rsidR="00D536A2" w:rsidRPr="00D536A2" w14:paraId="752C632C" w14:textId="77777777" w:rsidTr="00D536A2">
        <w:tc>
          <w:tcPr>
            <w:tcW w:w="3114" w:type="dxa"/>
            <w:hideMark/>
          </w:tcPr>
          <w:p w14:paraId="097690D3"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Electricity generation</w:t>
            </w:r>
          </w:p>
        </w:tc>
        <w:tc>
          <w:tcPr>
            <w:tcW w:w="3118" w:type="dxa"/>
            <w:hideMark/>
          </w:tcPr>
          <w:p w14:paraId="249E9FCF"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3,260 MW</w:t>
            </w:r>
          </w:p>
        </w:tc>
        <w:tc>
          <w:tcPr>
            <w:tcW w:w="2694" w:type="dxa"/>
            <w:hideMark/>
          </w:tcPr>
          <w:p w14:paraId="746581AB"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3,260 MW</w:t>
            </w:r>
          </w:p>
        </w:tc>
      </w:tr>
      <w:tr w:rsidR="00D536A2" w:rsidRPr="00D536A2" w14:paraId="30F3D292" w14:textId="77777777" w:rsidTr="00D536A2">
        <w:tc>
          <w:tcPr>
            <w:tcW w:w="3114" w:type="dxa"/>
            <w:hideMark/>
          </w:tcPr>
          <w:p w14:paraId="42E577F6"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Operational life</w:t>
            </w:r>
          </w:p>
        </w:tc>
        <w:tc>
          <w:tcPr>
            <w:tcW w:w="3118" w:type="dxa"/>
            <w:hideMark/>
          </w:tcPr>
          <w:p w14:paraId="7837DE46"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60 years</w:t>
            </w:r>
          </w:p>
        </w:tc>
        <w:tc>
          <w:tcPr>
            <w:tcW w:w="2694" w:type="dxa"/>
            <w:hideMark/>
          </w:tcPr>
          <w:p w14:paraId="12570F54" w14:textId="77777777" w:rsidR="00D536A2" w:rsidRPr="00D536A2" w:rsidRDefault="00D536A2" w:rsidP="00D536A2">
            <w:pPr>
              <w:rPr>
                <w:rFonts w:ascii="Times New Roman" w:hAnsi="Times New Roman" w:cs="Times New Roman"/>
              </w:rPr>
            </w:pPr>
            <w:r w:rsidRPr="00D536A2">
              <w:rPr>
                <w:rFonts w:ascii="Times New Roman" w:hAnsi="Times New Roman" w:cs="Times New Roman"/>
              </w:rPr>
              <w:t>60 years</w:t>
            </w:r>
          </w:p>
        </w:tc>
      </w:tr>
    </w:tbl>
    <w:p w14:paraId="14E208B4"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Hinkley Point C was significantly impacted by cost overruns and delays. The initial budget of £20.5 billion has experienced an increase, resulting in a revised budget of £32.7 billion. The projected lifetime costs amount to £55 billion.</w:t>
      </w:r>
    </w:p>
    <w:p w14:paraId="3E7496D1"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 xml:space="preserve">The presence of project complexity is a significant factor contributing to cost overruns. Hinkley Point C, the inaugural nuclear power plant to be constructed in the United Kingdom after a hiatus of two decades, incorporates an innovative reactor design. The </w:t>
      </w:r>
      <w:proofErr w:type="gramStart"/>
      <w:r w:rsidRPr="003A1AA8">
        <w:rPr>
          <w:rFonts w:ascii="Times New Roman" w:hAnsi="Times New Roman" w:cs="Times New Roman"/>
          <w:lang w:val="en-US"/>
        </w:rPr>
        <w:t>aforementioned circumstances</w:t>
      </w:r>
      <w:proofErr w:type="gramEnd"/>
      <w:r w:rsidRPr="003A1AA8">
        <w:rPr>
          <w:rFonts w:ascii="Times New Roman" w:hAnsi="Times New Roman" w:cs="Times New Roman"/>
          <w:lang w:val="en-US"/>
        </w:rPr>
        <w:t xml:space="preserve"> have resulted in unanticipated challenges, notably the challenging soil conditions at the site. The occurrence of project delays resulted in an increase in costs beyond </w:t>
      </w:r>
      <w:r w:rsidRPr="003A1AA8">
        <w:rPr>
          <w:rFonts w:ascii="Times New Roman" w:hAnsi="Times New Roman" w:cs="Times New Roman"/>
          <w:lang w:val="en-US"/>
        </w:rPr>
        <w:lastRenderedPageBreak/>
        <w:t xml:space="preserve">the initially estimated budget. The implementation of the project has been rescheduled from 2025 to 2027. The </w:t>
      </w:r>
      <w:proofErr w:type="gramStart"/>
      <w:r w:rsidRPr="003A1AA8">
        <w:rPr>
          <w:rFonts w:ascii="Times New Roman" w:hAnsi="Times New Roman" w:cs="Times New Roman"/>
          <w:lang w:val="en-US"/>
        </w:rPr>
        <w:t>aforementioned circumstance</w:t>
      </w:r>
      <w:proofErr w:type="gramEnd"/>
      <w:r w:rsidRPr="003A1AA8">
        <w:rPr>
          <w:rFonts w:ascii="Times New Roman" w:hAnsi="Times New Roman" w:cs="Times New Roman"/>
          <w:lang w:val="en-US"/>
        </w:rPr>
        <w:t xml:space="preserve"> has led to an escalation in the interest expenses associated with project debt.</w:t>
      </w:r>
    </w:p>
    <w:p w14:paraId="19CA96F6"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Despite the occurrence of cost overruns and delays, it is anticipated that Hinkley Point C will bring about benefits to the United Kingdom. Over a span of six decades, a total of 3,260 megawatts of reliable and environmentally friendly electricity will be generated. The reduction of energy imports in the United Kingdom will contribute to the achievement of climate change objectives.</w:t>
      </w:r>
    </w:p>
    <w:p w14:paraId="0C0E1657" w14:textId="77777777" w:rsidR="00D536A2" w:rsidRPr="003A1AA8" w:rsidRDefault="004936C4" w:rsidP="00D536A2">
      <w:pPr>
        <w:rPr>
          <w:rFonts w:ascii="Times New Roman" w:hAnsi="Times New Roman" w:cs="Times New Roman"/>
          <w:lang w:val="en-US"/>
        </w:rPr>
      </w:pPr>
      <w:r w:rsidRPr="003A1AA8">
        <w:rPr>
          <w:rFonts w:ascii="Times New Roman" w:hAnsi="Times New Roman" w:cs="Times New Roman"/>
          <w:lang w:val="en-US"/>
        </w:rPr>
        <w:t xml:space="preserve">Stakeholder Analysis </w:t>
      </w:r>
    </w:p>
    <w:p w14:paraId="137BB936"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Without a complete stakeholder evaluation, project and strategy management would be unsatisfactory. The goal of this study is to assess and investigate the impact and influence of individuals and entities with a vested interest in the project, as well as any issues that</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 xml:space="preserve">occur </w:t>
      </w:r>
      <w:proofErr w:type="gramStart"/>
      <w:r w:rsidRPr="003A1AA8">
        <w:rPr>
          <w:rFonts w:ascii="Times New Roman" w:hAnsi="Times New Roman" w:cs="Times New Roman"/>
          <w:lang w:val="en-US"/>
        </w:rPr>
        <w:t>as a consequence of</w:t>
      </w:r>
      <w:proofErr w:type="gramEnd"/>
      <w:r w:rsidRPr="003A1AA8">
        <w:rPr>
          <w:rFonts w:ascii="Times New Roman" w:hAnsi="Times New Roman" w:cs="Times New Roman"/>
          <w:lang w:val="en-US"/>
        </w:rPr>
        <w:t xml:space="preserve"> their engagement. The </w:t>
      </w:r>
      <w:proofErr w:type="spellStart"/>
      <w:r w:rsidRPr="003A1AA8">
        <w:rPr>
          <w:rFonts w:ascii="Times New Roman" w:hAnsi="Times New Roman" w:cs="Times New Roman"/>
          <w:lang w:val="en-US"/>
        </w:rPr>
        <w:t>Mendelow</w:t>
      </w:r>
      <w:proofErr w:type="spellEnd"/>
      <w:r w:rsidRPr="003A1AA8">
        <w:rPr>
          <w:rFonts w:ascii="Times New Roman" w:hAnsi="Times New Roman" w:cs="Times New Roman"/>
          <w:lang w:val="en-US"/>
        </w:rPr>
        <w:t xml:space="preserve"> matrix is an effective way of arranging project stakeholders because it considers both the degree of influence and interest that each stakeholder group has in the project's success</w:t>
      </w:r>
      <w:r w:rsidR="003A1AA8" w:rsidRPr="003A1AA8">
        <w:rPr>
          <w:rFonts w:ascii="Times New Roman" w:hAnsi="Times New Roman" w:cs="Times New Roman"/>
          <w:lang w:val="en-US"/>
        </w:rPr>
        <w:t xml:space="preserve"> (Sears et al., 2015).</w:t>
      </w:r>
    </w:p>
    <w:p w14:paraId="0C7D098A"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 xml:space="preserve">High power and High Interest: These individuals have great expertise, credibility, and visibility in their respective industries. EDF Energy, the UK government, and the China General Nuclear Power Group (CGN) would all play important roles in the Hinkley Point C nuclear power plant's development. EDF Energy and CGN, the company's principal investors, contribute significantly financially. The government of the United Kingdom has considerable power </w:t>
      </w:r>
      <w:proofErr w:type="gramStart"/>
      <w:r w:rsidRPr="003A1AA8">
        <w:rPr>
          <w:rFonts w:ascii="Times New Roman" w:hAnsi="Times New Roman" w:cs="Times New Roman"/>
          <w:lang w:val="en-US"/>
        </w:rPr>
        <w:t>as a consequence of</w:t>
      </w:r>
      <w:proofErr w:type="gramEnd"/>
      <w:r w:rsidRPr="003A1AA8">
        <w:rPr>
          <w:rFonts w:ascii="Times New Roman" w:hAnsi="Times New Roman" w:cs="Times New Roman"/>
          <w:lang w:val="en-US"/>
        </w:rPr>
        <w:t xml:space="preserve"> its policy backing and the establishment of a set price for energy supplied. These stakeholders have a vested interest in the project's outcome and considerable influence over how it is finally addressed. They have shown a genuine concern for the project's success. Continuous monitoring, as well as people's engagement in crucial decision-making processes, are essential to accomplish this.</w:t>
      </w:r>
    </w:p>
    <w:p w14:paraId="33E39A19"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 xml:space="preserve">High Power and Low Interest: The Office of Nuclear Regulation (ONR) and the Environment Agency are two examples of regulatory agencies with significant power but minimal engagement. They have a significant influence because of the regulatory authority they hold; </w:t>
      </w:r>
      <w:proofErr w:type="gramStart"/>
      <w:r w:rsidRPr="003A1AA8">
        <w:rPr>
          <w:rFonts w:ascii="Times New Roman" w:hAnsi="Times New Roman" w:cs="Times New Roman"/>
          <w:lang w:val="en-US"/>
        </w:rPr>
        <w:t>yet,</w:t>
      </w:r>
      <w:proofErr w:type="gramEnd"/>
      <w:r w:rsidRPr="003A1AA8">
        <w:rPr>
          <w:rFonts w:ascii="Times New Roman" w:hAnsi="Times New Roman" w:cs="Times New Roman"/>
          <w:lang w:val="en-US"/>
        </w:rPr>
        <w:t xml:space="preserve"> the majority of their attention is focused on ensuring that the project complies with all standards, rather than the project's overall success. To lessen the possibility of encountering any potential challenges, it is critical to ensure that individuals have access to comprehensive information and that </w:t>
      </w:r>
      <w:proofErr w:type="gramStart"/>
      <w:r w:rsidRPr="003A1AA8">
        <w:rPr>
          <w:rFonts w:ascii="Times New Roman" w:hAnsi="Times New Roman" w:cs="Times New Roman"/>
          <w:lang w:val="en-US"/>
        </w:rPr>
        <w:t>all of</w:t>
      </w:r>
      <w:proofErr w:type="gramEnd"/>
      <w:r w:rsidRPr="003A1AA8">
        <w:rPr>
          <w:rFonts w:ascii="Times New Roman" w:hAnsi="Times New Roman" w:cs="Times New Roman"/>
          <w:lang w:val="en-US"/>
        </w:rPr>
        <w:t xml:space="preserve"> their questions and concerns are adequately handled.</w:t>
      </w:r>
    </w:p>
    <w:p w14:paraId="3D9B75F1"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lastRenderedPageBreak/>
        <w:t xml:space="preserve">Low Power and High Interest: This section provides a detailed explanation of the many stakeholders, which include local communities, environmental advocacy </w:t>
      </w:r>
      <w:proofErr w:type="spellStart"/>
      <w:r w:rsidRPr="003A1AA8">
        <w:rPr>
          <w:rFonts w:ascii="Times New Roman" w:hAnsi="Times New Roman" w:cs="Times New Roman"/>
          <w:lang w:val="en-US"/>
        </w:rPr>
        <w:t>organisations</w:t>
      </w:r>
      <w:proofErr w:type="spellEnd"/>
      <w:r w:rsidRPr="003A1AA8">
        <w:rPr>
          <w:rFonts w:ascii="Times New Roman" w:hAnsi="Times New Roman" w:cs="Times New Roman"/>
          <w:lang w:val="en-US"/>
        </w:rPr>
        <w:t>, and potential future workers. Through the functions that they play, these entities have a significant influence on the development of many sections of society as well as the environment. By being aware of the perspectives, interests, and concerns of individuals engaged, one</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 xml:space="preserve">stay updated about the dynamics and developments happening within these spheres. </w:t>
      </w:r>
      <w:r w:rsidR="00335247" w:rsidRPr="00335247">
        <w:rPr>
          <w:rFonts w:ascii="Times New Roman" w:hAnsi="Times New Roman" w:cs="Times New Roman"/>
          <w:lang w:val="en-US"/>
        </w:rPr>
        <w:t xml:space="preserve">Stakeholders care about the project's results because they might affect the local economy, environment, and people's well-being. Make sure people are informed and participating in decision-making. Allowing individuals to express themselves and provide support and understanding and </w:t>
      </w:r>
      <w:r w:rsidR="00335247">
        <w:rPr>
          <w:rFonts w:ascii="Times New Roman" w:hAnsi="Times New Roman" w:cs="Times New Roman"/>
          <w:lang w:val="en-US"/>
        </w:rPr>
        <w:t>address</w:t>
      </w:r>
      <w:r w:rsidR="00335247" w:rsidRPr="00335247">
        <w:rPr>
          <w:rFonts w:ascii="Times New Roman" w:hAnsi="Times New Roman" w:cs="Times New Roman"/>
          <w:lang w:val="en-US"/>
        </w:rPr>
        <w:t xml:space="preserve"> their worries is important</w:t>
      </w:r>
      <w:r w:rsidRPr="003A1AA8">
        <w:rPr>
          <w:rFonts w:ascii="Times New Roman" w:hAnsi="Times New Roman" w:cs="Times New Roman"/>
          <w:lang w:val="en-US"/>
        </w:rPr>
        <w:t>.</w:t>
      </w:r>
    </w:p>
    <w:p w14:paraId="1008759F"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Low Power and Low Interest: "</w:t>
      </w:r>
      <w:r w:rsidR="00335247">
        <w:rPr>
          <w:rFonts w:ascii="Times New Roman" w:hAnsi="Times New Roman" w:cs="Times New Roman"/>
          <w:lang w:val="en-US"/>
        </w:rPr>
        <w:t>Low</w:t>
      </w:r>
      <w:r w:rsidRPr="003A1AA8">
        <w:rPr>
          <w:rFonts w:ascii="Times New Roman" w:hAnsi="Times New Roman" w:cs="Times New Roman"/>
          <w:lang w:val="en-US"/>
        </w:rPr>
        <w:t xml:space="preserve"> power, low interest"</w:t>
      </w:r>
      <w:r w:rsidR="00335247">
        <w:rPr>
          <w:rFonts w:ascii="Times New Roman" w:hAnsi="Times New Roman" w:cs="Times New Roman"/>
          <w:lang w:val="en-US"/>
        </w:rPr>
        <w:t xml:space="preserve"> includes those individuals who neither have the power nor interest to influence the outcome of a project</w:t>
      </w:r>
      <w:r w:rsidRPr="003A1AA8">
        <w:rPr>
          <w:rFonts w:ascii="Times New Roman" w:hAnsi="Times New Roman" w:cs="Times New Roman"/>
          <w:lang w:val="en-US"/>
        </w:rPr>
        <w:t>. Their level of interest and influence over the project's outcomes is relatively minimal, given that the stakeholders in the issue are unlikely to face immediate consequences as a result of the project's outcomes. Nonetheless, it is critical to maintain a careful check on their engagement in order to detect any potential alterations in their interests or influence that</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have an impact on the project.</w:t>
      </w:r>
    </w:p>
    <w:p w14:paraId="2F950AC9" w14:textId="77777777" w:rsidR="004936C4" w:rsidRPr="003A1AA8" w:rsidRDefault="004936C4" w:rsidP="00D536A2">
      <w:pPr>
        <w:rPr>
          <w:rFonts w:ascii="Times New Roman" w:hAnsi="Times New Roman" w:cs="Times New Roman"/>
          <w:lang w:val="en-US"/>
        </w:rPr>
      </w:pPr>
      <w:r w:rsidRPr="003A1AA8">
        <w:rPr>
          <w:rFonts w:ascii="Times New Roman" w:hAnsi="Times New Roman" w:cs="Times New Roman"/>
          <w:lang w:val="en-US"/>
        </w:rPr>
        <w:t xml:space="preserve">Risk Matrix </w:t>
      </w:r>
    </w:p>
    <w:tbl>
      <w:tblPr>
        <w:tblStyle w:val="TableGridLight"/>
        <w:tblW w:w="9067" w:type="dxa"/>
        <w:tblLook w:val="04A0" w:firstRow="1" w:lastRow="0" w:firstColumn="1" w:lastColumn="0" w:noHBand="0" w:noVBand="1"/>
      </w:tblPr>
      <w:tblGrid>
        <w:gridCol w:w="1916"/>
        <w:gridCol w:w="1324"/>
        <w:gridCol w:w="1030"/>
        <w:gridCol w:w="1050"/>
        <w:gridCol w:w="3747"/>
      </w:tblGrid>
      <w:tr w:rsidR="004936C4" w:rsidRPr="004936C4" w14:paraId="2484EB75" w14:textId="77777777" w:rsidTr="004936C4">
        <w:tc>
          <w:tcPr>
            <w:tcW w:w="0" w:type="auto"/>
            <w:hideMark/>
          </w:tcPr>
          <w:p w14:paraId="03CB9970"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Risk</w:t>
            </w:r>
          </w:p>
        </w:tc>
        <w:tc>
          <w:tcPr>
            <w:tcW w:w="0" w:type="auto"/>
            <w:hideMark/>
          </w:tcPr>
          <w:p w14:paraId="34CA1E0D"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Likelihood</w:t>
            </w:r>
          </w:p>
        </w:tc>
        <w:tc>
          <w:tcPr>
            <w:tcW w:w="0" w:type="auto"/>
            <w:hideMark/>
          </w:tcPr>
          <w:p w14:paraId="48EFB3AF"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Impact</w:t>
            </w:r>
          </w:p>
        </w:tc>
        <w:tc>
          <w:tcPr>
            <w:tcW w:w="0" w:type="auto"/>
            <w:hideMark/>
          </w:tcPr>
          <w:p w14:paraId="2ECD2E0C"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Risk Level</w:t>
            </w:r>
          </w:p>
        </w:tc>
        <w:tc>
          <w:tcPr>
            <w:tcW w:w="3747" w:type="dxa"/>
            <w:hideMark/>
          </w:tcPr>
          <w:p w14:paraId="106C444D"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Mitigation Strategy</w:t>
            </w:r>
          </w:p>
        </w:tc>
      </w:tr>
      <w:tr w:rsidR="004936C4" w:rsidRPr="004936C4" w14:paraId="5F3F001E" w14:textId="77777777" w:rsidTr="004936C4">
        <w:tc>
          <w:tcPr>
            <w:tcW w:w="0" w:type="auto"/>
            <w:hideMark/>
          </w:tcPr>
          <w:p w14:paraId="1A49A4C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Technical difficulties in construction</w:t>
            </w:r>
          </w:p>
        </w:tc>
        <w:tc>
          <w:tcPr>
            <w:tcW w:w="0" w:type="auto"/>
            <w:hideMark/>
          </w:tcPr>
          <w:p w14:paraId="1643EFE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4757BAA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0B9F651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7CF507F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Detailed planning, hiring experienced personnel, maintaining a flexible approach to adapt to unexpected issues</w:t>
            </w:r>
          </w:p>
        </w:tc>
      </w:tr>
      <w:tr w:rsidR="004936C4" w:rsidRPr="004936C4" w14:paraId="3B3CCA19" w14:textId="77777777" w:rsidTr="004936C4">
        <w:tc>
          <w:tcPr>
            <w:tcW w:w="0" w:type="auto"/>
            <w:hideMark/>
          </w:tcPr>
          <w:p w14:paraId="0EF46F1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Regulatory challenges</w:t>
            </w:r>
          </w:p>
        </w:tc>
        <w:tc>
          <w:tcPr>
            <w:tcW w:w="0" w:type="auto"/>
            <w:hideMark/>
          </w:tcPr>
          <w:p w14:paraId="5255B5C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3D2C05B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5CE2FBB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0ADF7FF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Regular consultation with regulatory bodies, ensuring compliance with all relevant laws and regulations</w:t>
            </w:r>
          </w:p>
        </w:tc>
      </w:tr>
      <w:tr w:rsidR="004936C4" w:rsidRPr="004936C4" w14:paraId="0F71701B" w14:textId="77777777" w:rsidTr="004936C4">
        <w:tc>
          <w:tcPr>
            <w:tcW w:w="0" w:type="auto"/>
            <w:hideMark/>
          </w:tcPr>
          <w:p w14:paraId="2621F0B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Environmental concerns</w:t>
            </w:r>
          </w:p>
        </w:tc>
        <w:tc>
          <w:tcPr>
            <w:tcW w:w="0" w:type="auto"/>
            <w:hideMark/>
          </w:tcPr>
          <w:p w14:paraId="7F1D12FE"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196E8B0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40D8E6B5"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5C17930E"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 xml:space="preserve">Thorough environmental impact assessment, implementation of robust environmental management </w:t>
            </w:r>
            <w:r w:rsidRPr="004936C4">
              <w:rPr>
                <w:rFonts w:ascii="Times New Roman" w:hAnsi="Times New Roman" w:cs="Times New Roman"/>
              </w:rPr>
              <w:lastRenderedPageBreak/>
              <w:t>plans, engagement with environmental groups</w:t>
            </w:r>
          </w:p>
        </w:tc>
      </w:tr>
      <w:tr w:rsidR="004936C4" w:rsidRPr="004936C4" w14:paraId="2B148E1C" w14:textId="77777777" w:rsidTr="004936C4">
        <w:tc>
          <w:tcPr>
            <w:tcW w:w="0" w:type="auto"/>
            <w:hideMark/>
          </w:tcPr>
          <w:p w14:paraId="0DE6847E"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lastRenderedPageBreak/>
              <w:t>Budget overruns</w:t>
            </w:r>
          </w:p>
        </w:tc>
        <w:tc>
          <w:tcPr>
            <w:tcW w:w="0" w:type="auto"/>
            <w:hideMark/>
          </w:tcPr>
          <w:p w14:paraId="5F75909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3C38E14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6D261968"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69A99DB8" w14:textId="77777777" w:rsidR="004936C4" w:rsidRPr="004936C4" w:rsidRDefault="004936C4" w:rsidP="004936C4">
            <w:pPr>
              <w:rPr>
                <w:rFonts w:ascii="Times New Roman" w:hAnsi="Times New Roman" w:cs="Times New Roman"/>
                <w:lang w:val="en-US"/>
              </w:rPr>
            </w:pPr>
            <w:r w:rsidRPr="004936C4">
              <w:rPr>
                <w:rFonts w:ascii="Times New Roman" w:hAnsi="Times New Roman" w:cs="Times New Roman"/>
              </w:rPr>
              <w:t>Strict budget management, regular financial audits, contingency planning</w:t>
            </w:r>
            <w:r w:rsidR="003A1AA8" w:rsidRPr="003A1AA8">
              <w:rPr>
                <w:rFonts w:ascii="Times New Roman" w:hAnsi="Times New Roman" w:cs="Times New Roman"/>
                <w:lang w:val="en-US"/>
              </w:rPr>
              <w:t xml:space="preserve"> (Pollack, 2007).</w:t>
            </w:r>
          </w:p>
        </w:tc>
      </w:tr>
      <w:tr w:rsidR="004936C4" w:rsidRPr="004936C4" w14:paraId="54C868B0" w14:textId="77777777" w:rsidTr="004936C4">
        <w:tc>
          <w:tcPr>
            <w:tcW w:w="0" w:type="auto"/>
            <w:hideMark/>
          </w:tcPr>
          <w:p w14:paraId="4E9CA21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Delays in schedule</w:t>
            </w:r>
          </w:p>
        </w:tc>
        <w:tc>
          <w:tcPr>
            <w:tcW w:w="0" w:type="auto"/>
            <w:hideMark/>
          </w:tcPr>
          <w:p w14:paraId="6A02FEA1"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0FEF622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6D940DD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3747" w:type="dxa"/>
            <w:hideMark/>
          </w:tcPr>
          <w:p w14:paraId="63E49F8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Efficient project management, setting realistic timelines, contingency planning</w:t>
            </w:r>
          </w:p>
        </w:tc>
      </w:tr>
      <w:tr w:rsidR="004936C4" w:rsidRPr="004936C4" w14:paraId="66F7D819" w14:textId="77777777" w:rsidTr="004936C4">
        <w:tc>
          <w:tcPr>
            <w:tcW w:w="0" w:type="auto"/>
            <w:hideMark/>
          </w:tcPr>
          <w:p w14:paraId="27650AB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Workforce availability and skill gaps</w:t>
            </w:r>
          </w:p>
        </w:tc>
        <w:tc>
          <w:tcPr>
            <w:tcW w:w="0" w:type="auto"/>
            <w:hideMark/>
          </w:tcPr>
          <w:p w14:paraId="6A58119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4FA7161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5808049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3747" w:type="dxa"/>
            <w:hideMark/>
          </w:tcPr>
          <w:p w14:paraId="46A5F01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Recruitment planning, providing training and apprenticeships, collaboration with local educational institutions</w:t>
            </w:r>
          </w:p>
        </w:tc>
      </w:tr>
      <w:tr w:rsidR="004936C4" w:rsidRPr="004936C4" w14:paraId="1178D6BE" w14:textId="77777777" w:rsidTr="004936C4">
        <w:tc>
          <w:tcPr>
            <w:tcW w:w="0" w:type="auto"/>
            <w:hideMark/>
          </w:tcPr>
          <w:p w14:paraId="4D2A370F"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Market demand fluctuation for low-carbon electricity</w:t>
            </w:r>
          </w:p>
        </w:tc>
        <w:tc>
          <w:tcPr>
            <w:tcW w:w="0" w:type="auto"/>
            <w:hideMark/>
          </w:tcPr>
          <w:p w14:paraId="678F1D9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Low</w:t>
            </w:r>
          </w:p>
        </w:tc>
        <w:tc>
          <w:tcPr>
            <w:tcW w:w="0" w:type="auto"/>
            <w:hideMark/>
          </w:tcPr>
          <w:p w14:paraId="786E9C8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High</w:t>
            </w:r>
          </w:p>
        </w:tc>
        <w:tc>
          <w:tcPr>
            <w:tcW w:w="0" w:type="auto"/>
            <w:hideMark/>
          </w:tcPr>
          <w:p w14:paraId="4677676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3747" w:type="dxa"/>
            <w:hideMark/>
          </w:tcPr>
          <w:p w14:paraId="6DC74A4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Regular market research, diversifying energy production methods</w:t>
            </w:r>
          </w:p>
        </w:tc>
      </w:tr>
      <w:tr w:rsidR="004936C4" w:rsidRPr="004936C4" w14:paraId="6073A4DF" w14:textId="77777777" w:rsidTr="004936C4">
        <w:tc>
          <w:tcPr>
            <w:tcW w:w="0" w:type="auto"/>
            <w:hideMark/>
          </w:tcPr>
          <w:p w14:paraId="63D2E7C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Public opposition or negative public perception</w:t>
            </w:r>
          </w:p>
        </w:tc>
        <w:tc>
          <w:tcPr>
            <w:tcW w:w="0" w:type="auto"/>
            <w:hideMark/>
          </w:tcPr>
          <w:p w14:paraId="2D1386D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6128474F"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0" w:type="auto"/>
            <w:hideMark/>
          </w:tcPr>
          <w:p w14:paraId="614488C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Medium</w:t>
            </w:r>
          </w:p>
        </w:tc>
        <w:tc>
          <w:tcPr>
            <w:tcW w:w="3747" w:type="dxa"/>
            <w:hideMark/>
          </w:tcPr>
          <w:p w14:paraId="1D40F7E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Transparent communication with the public, engaging with local communities, managing public relations effectively</w:t>
            </w:r>
          </w:p>
        </w:tc>
      </w:tr>
    </w:tbl>
    <w:p w14:paraId="4F88E92F"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 xml:space="preserve">Complex projects like nuclear power plants typically have technical issues. Problems with building materials, design, ground conditions, or </w:t>
      </w:r>
      <w:proofErr w:type="spellStart"/>
      <w:r w:rsidRPr="003A1AA8">
        <w:rPr>
          <w:rFonts w:ascii="Times New Roman" w:hAnsi="Times New Roman" w:cs="Times New Roman"/>
          <w:lang w:val="en-US"/>
        </w:rPr>
        <w:t>specialised</w:t>
      </w:r>
      <w:proofErr w:type="spellEnd"/>
      <w:r w:rsidRPr="003A1AA8">
        <w:rPr>
          <w:rFonts w:ascii="Times New Roman" w:hAnsi="Times New Roman" w:cs="Times New Roman"/>
          <w:lang w:val="en-US"/>
        </w:rPr>
        <w:t xml:space="preserve"> equipment installation</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occur. Technical challenges in such a project are likely to cause delays and cost overruns. Planning, recruiting competent staff, and adapting to unanticipated challenges are mitigation techniques.</w:t>
      </w:r>
    </w:p>
    <w:p w14:paraId="526698AC"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Changes in the regulatory environment or project failures cause regulatory issues. Regulating the nuclear energy business is hard and risky. Consultation with regulatory agencies and compliance with all rules and regulations helps reduce such risks. Nuclear power plants</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harm the environment. Given public resistance and regulatory fines, environmental issues during the project are likely and impactful. A rigorous environmental impact assessment, strong environmental management strategies, and frequent environmental group interaction</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lastRenderedPageBreak/>
        <w:t>reduce this risk. Large, sophisticated projects often go over budget. Technical issues, delays, pricing inflation, and project scope modifications might cause unexpected expenditures. Overruns</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cause financial strain and project failure. Budgeting, financial audits, and contingency planning</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reduce this risk</w:t>
      </w:r>
      <w:r w:rsidR="003A1AA8" w:rsidRPr="003A1AA8">
        <w:rPr>
          <w:rFonts w:ascii="Times New Roman" w:hAnsi="Times New Roman" w:cs="Times New Roman"/>
          <w:lang w:val="en-US"/>
        </w:rPr>
        <w:t xml:space="preserve"> (Watt, 2017).</w:t>
      </w:r>
    </w:p>
    <w:p w14:paraId="44FBEE34"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 xml:space="preserve">Technical, regulatory, or personnel constraints might cause delays. Delays, like budget overruns, raise expenses and lose opportunities. Effective project management, realistic timeframes, and contingency planning reduce this risk. If there aren't enough skilled people or if the present </w:t>
      </w:r>
      <w:proofErr w:type="spellStart"/>
      <w:r w:rsidRPr="003A1AA8">
        <w:rPr>
          <w:rFonts w:ascii="Times New Roman" w:hAnsi="Times New Roman" w:cs="Times New Roman"/>
          <w:lang w:val="en-US"/>
        </w:rPr>
        <w:t>labour</w:t>
      </w:r>
      <w:proofErr w:type="spellEnd"/>
      <w:r w:rsidRPr="003A1AA8">
        <w:rPr>
          <w:rFonts w:ascii="Times New Roman" w:hAnsi="Times New Roman" w:cs="Times New Roman"/>
          <w:lang w:val="en-US"/>
        </w:rPr>
        <w:t xml:space="preserve"> lacks skills, the project</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 xml:space="preserve">struggle. Recruitment planning, apprenticeships, and collaboration with local educational institutions help decrease this </w:t>
      </w:r>
      <w:r w:rsidR="003A1AA8">
        <w:rPr>
          <w:rFonts w:ascii="Times New Roman" w:hAnsi="Times New Roman" w:cs="Times New Roman"/>
          <w:lang w:val="en-US"/>
        </w:rPr>
        <w:t>medium risk</w:t>
      </w:r>
      <w:r w:rsidRPr="003A1AA8">
        <w:rPr>
          <w:rFonts w:ascii="Times New Roman" w:hAnsi="Times New Roman" w:cs="Times New Roman"/>
          <w:lang w:val="en-US"/>
        </w:rPr>
        <w:t>.</w:t>
      </w:r>
    </w:p>
    <w:p w14:paraId="0FEE1410" w14:textId="77777777"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 xml:space="preserve">Market demand for low-carbon power fluctuates owing to energy policy, economic situations, and technical improvements. Although unlikely, such variations might have a big effect. Market analysis and energy production diversification reduce this risk. Environmental, safety and financial considerations might lead to public resistance or poor opinion. This danger has </w:t>
      </w:r>
      <w:r w:rsidR="003A1AA8">
        <w:rPr>
          <w:rFonts w:ascii="Times New Roman" w:hAnsi="Times New Roman" w:cs="Times New Roman"/>
          <w:lang w:val="en-US"/>
        </w:rPr>
        <w:t xml:space="preserve">a </w:t>
      </w:r>
      <w:r w:rsidRPr="003A1AA8">
        <w:rPr>
          <w:rFonts w:ascii="Times New Roman" w:hAnsi="Times New Roman" w:cs="Times New Roman"/>
          <w:lang w:val="en-US"/>
        </w:rPr>
        <w:t xml:space="preserve">medium-likelihood and </w:t>
      </w:r>
      <w:r w:rsidR="003A1AA8">
        <w:rPr>
          <w:rFonts w:ascii="Times New Roman" w:hAnsi="Times New Roman" w:cs="Times New Roman"/>
          <w:lang w:val="en-US"/>
        </w:rPr>
        <w:t>medium impact</w:t>
      </w:r>
      <w:r w:rsidRPr="003A1AA8">
        <w:rPr>
          <w:rFonts w:ascii="Times New Roman" w:hAnsi="Times New Roman" w:cs="Times New Roman"/>
          <w:lang w:val="en-US"/>
        </w:rPr>
        <w:t>. Transparent communication, community engagement, and good public relations</w:t>
      </w:r>
      <w:r w:rsidR="003A1AA8" w:rsidRPr="003A1AA8">
        <w:rPr>
          <w:rFonts w:ascii="Times New Roman" w:hAnsi="Times New Roman" w:cs="Times New Roman"/>
          <w:lang w:val="en-US"/>
        </w:rPr>
        <w:t xml:space="preserve"> could </w:t>
      </w:r>
      <w:r w:rsidRPr="003A1AA8">
        <w:rPr>
          <w:rFonts w:ascii="Times New Roman" w:hAnsi="Times New Roman" w:cs="Times New Roman"/>
          <w:lang w:val="en-US"/>
        </w:rPr>
        <w:t>mitigate this risk.</w:t>
      </w:r>
    </w:p>
    <w:p w14:paraId="3B84751E" w14:textId="77777777" w:rsidR="004936C4" w:rsidRPr="003A1AA8" w:rsidRDefault="004936C4" w:rsidP="00D536A2">
      <w:pPr>
        <w:rPr>
          <w:rFonts w:ascii="Times New Roman" w:hAnsi="Times New Roman" w:cs="Times New Roman"/>
          <w:lang w:val="en-US"/>
        </w:rPr>
      </w:pPr>
      <w:r w:rsidRPr="003A1AA8">
        <w:rPr>
          <w:rFonts w:ascii="Times New Roman" w:hAnsi="Times New Roman" w:cs="Times New Roman"/>
          <w:lang w:val="en-US"/>
        </w:rPr>
        <w:t xml:space="preserve">Communications Strategy </w:t>
      </w:r>
    </w:p>
    <w:tbl>
      <w:tblPr>
        <w:tblStyle w:val="TableGridLight"/>
        <w:tblW w:w="9648" w:type="dxa"/>
        <w:tblLook w:val="04A0" w:firstRow="1" w:lastRow="0" w:firstColumn="1" w:lastColumn="0" w:noHBand="0" w:noVBand="1"/>
      </w:tblPr>
      <w:tblGrid>
        <w:gridCol w:w="1727"/>
        <w:gridCol w:w="1979"/>
        <w:gridCol w:w="1826"/>
        <w:gridCol w:w="1938"/>
        <w:gridCol w:w="2178"/>
      </w:tblGrid>
      <w:tr w:rsidR="004936C4" w:rsidRPr="004936C4" w14:paraId="5AC4F597" w14:textId="77777777" w:rsidTr="004936C4">
        <w:tc>
          <w:tcPr>
            <w:tcW w:w="0" w:type="auto"/>
            <w:hideMark/>
          </w:tcPr>
          <w:p w14:paraId="638DC86D"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Stakeholder</w:t>
            </w:r>
          </w:p>
        </w:tc>
        <w:tc>
          <w:tcPr>
            <w:tcW w:w="0" w:type="auto"/>
            <w:hideMark/>
          </w:tcPr>
          <w:p w14:paraId="514EF735"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Communication Objective</w:t>
            </w:r>
          </w:p>
        </w:tc>
        <w:tc>
          <w:tcPr>
            <w:tcW w:w="0" w:type="auto"/>
            <w:hideMark/>
          </w:tcPr>
          <w:p w14:paraId="5D6E7E86"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Message</w:t>
            </w:r>
          </w:p>
        </w:tc>
        <w:tc>
          <w:tcPr>
            <w:tcW w:w="1938" w:type="dxa"/>
            <w:hideMark/>
          </w:tcPr>
          <w:p w14:paraId="72F8C573"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Method</w:t>
            </w:r>
          </w:p>
        </w:tc>
        <w:tc>
          <w:tcPr>
            <w:tcW w:w="2178" w:type="dxa"/>
            <w:hideMark/>
          </w:tcPr>
          <w:p w14:paraId="4CBBC6C3" w14:textId="77777777" w:rsidR="004936C4" w:rsidRPr="004936C4" w:rsidRDefault="004936C4" w:rsidP="004936C4">
            <w:pPr>
              <w:rPr>
                <w:rFonts w:ascii="Times New Roman" w:hAnsi="Times New Roman" w:cs="Times New Roman"/>
                <w:b/>
                <w:bCs/>
              </w:rPr>
            </w:pPr>
            <w:r w:rsidRPr="004936C4">
              <w:rPr>
                <w:rFonts w:ascii="Times New Roman" w:hAnsi="Times New Roman" w:cs="Times New Roman"/>
                <w:b/>
                <w:bCs/>
              </w:rPr>
              <w:t>Frequency</w:t>
            </w:r>
          </w:p>
        </w:tc>
      </w:tr>
      <w:tr w:rsidR="004936C4" w:rsidRPr="004936C4" w14:paraId="74046260" w14:textId="77777777" w:rsidTr="004936C4">
        <w:tc>
          <w:tcPr>
            <w:tcW w:w="0" w:type="auto"/>
            <w:hideMark/>
          </w:tcPr>
          <w:p w14:paraId="510E780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EDF Energy, CGN</w:t>
            </w:r>
          </w:p>
        </w:tc>
        <w:tc>
          <w:tcPr>
            <w:tcW w:w="0" w:type="auto"/>
            <w:hideMark/>
          </w:tcPr>
          <w:p w14:paraId="331F53A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Inform about project progress and risks</w:t>
            </w:r>
          </w:p>
        </w:tc>
        <w:tc>
          <w:tcPr>
            <w:tcW w:w="0" w:type="auto"/>
            <w:hideMark/>
          </w:tcPr>
          <w:p w14:paraId="53D9D0F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Project updates, Risk Mitigation plans</w:t>
            </w:r>
          </w:p>
        </w:tc>
        <w:tc>
          <w:tcPr>
            <w:tcW w:w="1938" w:type="dxa"/>
            <w:hideMark/>
          </w:tcPr>
          <w:p w14:paraId="66335C24"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Email updates, Progress reports, Meetings</w:t>
            </w:r>
          </w:p>
        </w:tc>
        <w:tc>
          <w:tcPr>
            <w:tcW w:w="2178" w:type="dxa"/>
            <w:hideMark/>
          </w:tcPr>
          <w:p w14:paraId="5B62AFF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Weekly/Bi-weekly</w:t>
            </w:r>
          </w:p>
        </w:tc>
      </w:tr>
      <w:tr w:rsidR="004936C4" w:rsidRPr="004936C4" w14:paraId="0960F989" w14:textId="77777777" w:rsidTr="004936C4">
        <w:tc>
          <w:tcPr>
            <w:tcW w:w="0" w:type="auto"/>
            <w:hideMark/>
          </w:tcPr>
          <w:p w14:paraId="673EF50F"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UK Government</w:t>
            </w:r>
          </w:p>
        </w:tc>
        <w:tc>
          <w:tcPr>
            <w:tcW w:w="0" w:type="auto"/>
            <w:hideMark/>
          </w:tcPr>
          <w:p w14:paraId="754C27C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Ensure alignment with policy goals and regulations</w:t>
            </w:r>
          </w:p>
        </w:tc>
        <w:tc>
          <w:tcPr>
            <w:tcW w:w="0" w:type="auto"/>
            <w:hideMark/>
          </w:tcPr>
          <w:p w14:paraId="059EC348"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Regulatory compliance updates, Environmental impact updates</w:t>
            </w:r>
          </w:p>
        </w:tc>
        <w:tc>
          <w:tcPr>
            <w:tcW w:w="1938" w:type="dxa"/>
            <w:hideMark/>
          </w:tcPr>
          <w:p w14:paraId="36B6474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Formal reports, Meetings</w:t>
            </w:r>
          </w:p>
        </w:tc>
        <w:tc>
          <w:tcPr>
            <w:tcW w:w="2178" w:type="dxa"/>
            <w:hideMark/>
          </w:tcPr>
          <w:p w14:paraId="09D9F38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Monthly/Quarterly</w:t>
            </w:r>
          </w:p>
        </w:tc>
      </w:tr>
      <w:tr w:rsidR="004936C4" w:rsidRPr="004936C4" w14:paraId="47D8E64B" w14:textId="77777777" w:rsidTr="004936C4">
        <w:tc>
          <w:tcPr>
            <w:tcW w:w="0" w:type="auto"/>
            <w:hideMark/>
          </w:tcPr>
          <w:p w14:paraId="6851AEA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 xml:space="preserve">Regulators (ONR, </w:t>
            </w:r>
            <w:r w:rsidRPr="004936C4">
              <w:rPr>
                <w:rFonts w:ascii="Times New Roman" w:hAnsi="Times New Roman" w:cs="Times New Roman"/>
              </w:rPr>
              <w:lastRenderedPageBreak/>
              <w:t>Environment Agency)</w:t>
            </w:r>
          </w:p>
        </w:tc>
        <w:tc>
          <w:tcPr>
            <w:tcW w:w="0" w:type="auto"/>
            <w:hideMark/>
          </w:tcPr>
          <w:p w14:paraId="20A6D54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lastRenderedPageBreak/>
              <w:t>Compliance with rules and regulations</w:t>
            </w:r>
          </w:p>
        </w:tc>
        <w:tc>
          <w:tcPr>
            <w:tcW w:w="0" w:type="auto"/>
            <w:hideMark/>
          </w:tcPr>
          <w:p w14:paraId="3B50C1A3" w14:textId="77777777" w:rsidR="004936C4" w:rsidRPr="004936C4" w:rsidRDefault="004936C4" w:rsidP="004936C4">
            <w:pPr>
              <w:rPr>
                <w:rFonts w:ascii="Times New Roman" w:hAnsi="Times New Roman" w:cs="Times New Roman"/>
                <w:lang w:val="en-US"/>
              </w:rPr>
            </w:pPr>
            <w:r w:rsidRPr="004936C4">
              <w:rPr>
                <w:rFonts w:ascii="Times New Roman" w:hAnsi="Times New Roman" w:cs="Times New Roman"/>
              </w:rPr>
              <w:t xml:space="preserve">Safety measures, Environmental </w:t>
            </w:r>
            <w:r w:rsidRPr="004936C4">
              <w:rPr>
                <w:rFonts w:ascii="Times New Roman" w:hAnsi="Times New Roman" w:cs="Times New Roman"/>
              </w:rPr>
              <w:lastRenderedPageBreak/>
              <w:t>protection plans</w:t>
            </w:r>
            <w:r w:rsidR="003A1AA8" w:rsidRPr="003A1AA8">
              <w:rPr>
                <w:rFonts w:ascii="Times New Roman" w:hAnsi="Times New Roman" w:cs="Times New Roman"/>
                <w:lang w:val="en-US"/>
              </w:rPr>
              <w:t xml:space="preserve"> (</w:t>
            </w:r>
            <w:proofErr w:type="spellStart"/>
            <w:r w:rsidR="003A1AA8" w:rsidRPr="003A1AA8">
              <w:rPr>
                <w:rFonts w:ascii="Times New Roman" w:hAnsi="Times New Roman" w:cs="Times New Roman"/>
                <w:lang w:val="en-US"/>
              </w:rPr>
              <w:t>Lenfle</w:t>
            </w:r>
            <w:proofErr w:type="spellEnd"/>
            <w:r w:rsidR="003A1AA8" w:rsidRPr="003A1AA8">
              <w:rPr>
                <w:rFonts w:ascii="Times New Roman" w:hAnsi="Times New Roman" w:cs="Times New Roman"/>
                <w:lang w:val="en-US"/>
              </w:rPr>
              <w:t>, 2008)</w:t>
            </w:r>
          </w:p>
        </w:tc>
        <w:tc>
          <w:tcPr>
            <w:tcW w:w="1938" w:type="dxa"/>
            <w:hideMark/>
          </w:tcPr>
          <w:p w14:paraId="2421509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lastRenderedPageBreak/>
              <w:t>Regulatory filings, Formal correspondence</w:t>
            </w:r>
          </w:p>
        </w:tc>
        <w:tc>
          <w:tcPr>
            <w:tcW w:w="2178" w:type="dxa"/>
            <w:hideMark/>
          </w:tcPr>
          <w:p w14:paraId="2D1CE06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required/Regularly</w:t>
            </w:r>
          </w:p>
        </w:tc>
      </w:tr>
      <w:tr w:rsidR="004936C4" w:rsidRPr="004936C4" w14:paraId="0FFB1DCC" w14:textId="77777777" w:rsidTr="004936C4">
        <w:tc>
          <w:tcPr>
            <w:tcW w:w="0" w:type="auto"/>
            <w:hideMark/>
          </w:tcPr>
          <w:p w14:paraId="6707AB27" w14:textId="3669D851" w:rsidR="004936C4" w:rsidRPr="004936C4" w:rsidRDefault="004936C4" w:rsidP="004936C4">
            <w:pPr>
              <w:rPr>
                <w:rFonts w:ascii="Times New Roman" w:hAnsi="Times New Roman" w:cs="Times New Roman"/>
              </w:rPr>
            </w:pPr>
            <w:r w:rsidRPr="004936C4">
              <w:rPr>
                <w:rFonts w:ascii="Times New Roman" w:hAnsi="Times New Roman" w:cs="Times New Roman"/>
              </w:rPr>
              <w:t>Local communities</w:t>
            </w:r>
          </w:p>
        </w:tc>
        <w:tc>
          <w:tcPr>
            <w:tcW w:w="0" w:type="auto"/>
            <w:hideMark/>
          </w:tcPr>
          <w:p w14:paraId="2C3DE431"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Increase public support, address concerns</w:t>
            </w:r>
          </w:p>
        </w:tc>
        <w:tc>
          <w:tcPr>
            <w:tcW w:w="0" w:type="auto"/>
            <w:hideMark/>
          </w:tcPr>
          <w:p w14:paraId="5D67EA4A"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Job opportunities, Environmental protection measures, Progress updates</w:t>
            </w:r>
          </w:p>
        </w:tc>
        <w:tc>
          <w:tcPr>
            <w:tcW w:w="1938" w:type="dxa"/>
            <w:hideMark/>
          </w:tcPr>
          <w:p w14:paraId="7694057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 xml:space="preserve">Community meetings, </w:t>
            </w:r>
            <w:proofErr w:type="gramStart"/>
            <w:r w:rsidRPr="004936C4">
              <w:rPr>
                <w:rFonts w:ascii="Times New Roman" w:hAnsi="Times New Roman" w:cs="Times New Roman"/>
              </w:rPr>
              <w:t>Public</w:t>
            </w:r>
            <w:proofErr w:type="gramEnd"/>
            <w:r w:rsidRPr="004936C4">
              <w:rPr>
                <w:rFonts w:ascii="Times New Roman" w:hAnsi="Times New Roman" w:cs="Times New Roman"/>
              </w:rPr>
              <w:t xml:space="preserve"> newsletters, Website updates</w:t>
            </w:r>
          </w:p>
        </w:tc>
        <w:tc>
          <w:tcPr>
            <w:tcW w:w="2178" w:type="dxa"/>
            <w:hideMark/>
          </w:tcPr>
          <w:p w14:paraId="27A2148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Monthly</w:t>
            </w:r>
          </w:p>
        </w:tc>
      </w:tr>
      <w:tr w:rsidR="004936C4" w:rsidRPr="004936C4" w14:paraId="69EECC19" w14:textId="77777777" w:rsidTr="004936C4">
        <w:tc>
          <w:tcPr>
            <w:tcW w:w="0" w:type="auto"/>
            <w:hideMark/>
          </w:tcPr>
          <w:p w14:paraId="2FB2D3E8"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Future employees</w:t>
            </w:r>
          </w:p>
        </w:tc>
        <w:tc>
          <w:tcPr>
            <w:tcW w:w="0" w:type="auto"/>
            <w:hideMark/>
          </w:tcPr>
          <w:p w14:paraId="7A7838F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Attract talent, inform about opportunities</w:t>
            </w:r>
          </w:p>
        </w:tc>
        <w:tc>
          <w:tcPr>
            <w:tcW w:w="0" w:type="auto"/>
            <w:hideMark/>
          </w:tcPr>
          <w:p w14:paraId="712EDCE2"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Job openings, Company culture, Benefits</w:t>
            </w:r>
          </w:p>
        </w:tc>
        <w:tc>
          <w:tcPr>
            <w:tcW w:w="1938" w:type="dxa"/>
            <w:hideMark/>
          </w:tcPr>
          <w:p w14:paraId="2DDCB2ED"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 xml:space="preserve">Job postings, Career fairs, </w:t>
            </w:r>
            <w:proofErr w:type="gramStart"/>
            <w:r w:rsidRPr="004936C4">
              <w:rPr>
                <w:rFonts w:ascii="Times New Roman" w:hAnsi="Times New Roman" w:cs="Times New Roman"/>
              </w:rPr>
              <w:t>Social</w:t>
            </w:r>
            <w:proofErr w:type="gramEnd"/>
            <w:r w:rsidRPr="004936C4">
              <w:rPr>
                <w:rFonts w:ascii="Times New Roman" w:hAnsi="Times New Roman" w:cs="Times New Roman"/>
              </w:rPr>
              <w:t xml:space="preserve"> media</w:t>
            </w:r>
          </w:p>
        </w:tc>
        <w:tc>
          <w:tcPr>
            <w:tcW w:w="2178" w:type="dxa"/>
            <w:hideMark/>
          </w:tcPr>
          <w:p w14:paraId="06C90C7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w:t>
            </w:r>
          </w:p>
        </w:tc>
      </w:tr>
      <w:tr w:rsidR="004936C4" w:rsidRPr="004936C4" w14:paraId="718D6B7A" w14:textId="77777777" w:rsidTr="004936C4">
        <w:tc>
          <w:tcPr>
            <w:tcW w:w="0" w:type="auto"/>
            <w:hideMark/>
          </w:tcPr>
          <w:p w14:paraId="0918C9C1"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Environmental groups</w:t>
            </w:r>
          </w:p>
        </w:tc>
        <w:tc>
          <w:tcPr>
            <w:tcW w:w="0" w:type="auto"/>
            <w:hideMark/>
          </w:tcPr>
          <w:p w14:paraId="1700AF75"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Address environmental concerns, gain support</w:t>
            </w:r>
          </w:p>
        </w:tc>
        <w:tc>
          <w:tcPr>
            <w:tcW w:w="0" w:type="auto"/>
            <w:hideMark/>
          </w:tcPr>
          <w:p w14:paraId="1057D3C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Environmental protection measures, Carbon emission reduction plans</w:t>
            </w:r>
          </w:p>
        </w:tc>
        <w:tc>
          <w:tcPr>
            <w:tcW w:w="1938" w:type="dxa"/>
            <w:hideMark/>
          </w:tcPr>
          <w:p w14:paraId="14643C95"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Press releases, Meetings, Public consultations</w:t>
            </w:r>
          </w:p>
        </w:tc>
        <w:tc>
          <w:tcPr>
            <w:tcW w:w="2178" w:type="dxa"/>
            <w:hideMark/>
          </w:tcPr>
          <w:p w14:paraId="6474D7F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required/Quarterly</w:t>
            </w:r>
          </w:p>
        </w:tc>
      </w:tr>
      <w:tr w:rsidR="004936C4" w:rsidRPr="004936C4" w14:paraId="4D8342E6" w14:textId="77777777" w:rsidTr="004936C4">
        <w:tc>
          <w:tcPr>
            <w:tcW w:w="0" w:type="auto"/>
            <w:hideMark/>
          </w:tcPr>
          <w:p w14:paraId="59611E3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Suppliers</w:t>
            </w:r>
          </w:p>
        </w:tc>
        <w:tc>
          <w:tcPr>
            <w:tcW w:w="0" w:type="auto"/>
            <w:hideMark/>
          </w:tcPr>
          <w:p w14:paraId="7DD1A176"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Maintain good relationships, ensure timely supply</w:t>
            </w:r>
          </w:p>
        </w:tc>
        <w:tc>
          <w:tcPr>
            <w:tcW w:w="0" w:type="auto"/>
            <w:hideMark/>
          </w:tcPr>
          <w:p w14:paraId="6E2C1883"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Contract terms, Payment schedules</w:t>
            </w:r>
          </w:p>
        </w:tc>
        <w:tc>
          <w:tcPr>
            <w:tcW w:w="1938" w:type="dxa"/>
            <w:hideMark/>
          </w:tcPr>
          <w:p w14:paraId="2CB541F7"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Contract negotiations, Email correspondence</w:t>
            </w:r>
          </w:p>
        </w:tc>
        <w:tc>
          <w:tcPr>
            <w:tcW w:w="2178" w:type="dxa"/>
            <w:hideMark/>
          </w:tcPr>
          <w:p w14:paraId="40B07B9E"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w:t>
            </w:r>
          </w:p>
        </w:tc>
      </w:tr>
      <w:tr w:rsidR="004936C4" w:rsidRPr="004936C4" w14:paraId="6418BE4E" w14:textId="77777777" w:rsidTr="004936C4">
        <w:tc>
          <w:tcPr>
            <w:tcW w:w="0" w:type="auto"/>
            <w:hideMark/>
          </w:tcPr>
          <w:p w14:paraId="3FAA5DFA"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Competitors</w:t>
            </w:r>
          </w:p>
        </w:tc>
        <w:tc>
          <w:tcPr>
            <w:tcW w:w="0" w:type="auto"/>
            <w:hideMark/>
          </w:tcPr>
          <w:p w14:paraId="05E4134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Maintain industry relations</w:t>
            </w:r>
          </w:p>
        </w:tc>
        <w:tc>
          <w:tcPr>
            <w:tcW w:w="0" w:type="auto"/>
            <w:hideMark/>
          </w:tcPr>
          <w:p w14:paraId="19C4E510"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General project updates</w:t>
            </w:r>
          </w:p>
        </w:tc>
        <w:tc>
          <w:tcPr>
            <w:tcW w:w="1938" w:type="dxa"/>
            <w:hideMark/>
          </w:tcPr>
          <w:p w14:paraId="31944EDC"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 xml:space="preserve">Industry conferences, </w:t>
            </w:r>
            <w:proofErr w:type="gramStart"/>
            <w:r w:rsidRPr="004936C4">
              <w:rPr>
                <w:rFonts w:ascii="Times New Roman" w:hAnsi="Times New Roman" w:cs="Times New Roman"/>
              </w:rPr>
              <w:t>Public</w:t>
            </w:r>
            <w:proofErr w:type="gramEnd"/>
            <w:r w:rsidRPr="004936C4">
              <w:rPr>
                <w:rFonts w:ascii="Times New Roman" w:hAnsi="Times New Roman" w:cs="Times New Roman"/>
              </w:rPr>
              <w:t xml:space="preserve"> disclosures</w:t>
            </w:r>
          </w:p>
        </w:tc>
        <w:tc>
          <w:tcPr>
            <w:tcW w:w="2178" w:type="dxa"/>
            <w:hideMark/>
          </w:tcPr>
          <w:p w14:paraId="21A222AB" w14:textId="77777777" w:rsidR="004936C4" w:rsidRPr="004936C4" w:rsidRDefault="004936C4" w:rsidP="004936C4">
            <w:pPr>
              <w:rPr>
                <w:rFonts w:ascii="Times New Roman" w:hAnsi="Times New Roman" w:cs="Times New Roman"/>
              </w:rPr>
            </w:pPr>
            <w:r w:rsidRPr="004936C4">
              <w:rPr>
                <w:rFonts w:ascii="Times New Roman" w:hAnsi="Times New Roman" w:cs="Times New Roman"/>
              </w:rPr>
              <w:t>As required</w:t>
            </w:r>
          </w:p>
        </w:tc>
      </w:tr>
    </w:tbl>
    <w:p w14:paraId="545E1FE7" w14:textId="77777777" w:rsidR="00822AEF" w:rsidRDefault="00822AEF" w:rsidP="00D536A2">
      <w:pPr>
        <w:rPr>
          <w:rFonts w:ascii="Times New Roman" w:hAnsi="Times New Roman" w:cs="Times New Roman"/>
          <w:lang w:val="en-US"/>
        </w:rPr>
      </w:pPr>
    </w:p>
    <w:p w14:paraId="616B86B3" w14:textId="77777777" w:rsidR="00822AEF" w:rsidRDefault="00822AEF" w:rsidP="00D536A2">
      <w:pPr>
        <w:rPr>
          <w:rFonts w:ascii="Times New Roman" w:hAnsi="Times New Roman" w:cs="Times New Roman"/>
          <w:lang w:val="en-US"/>
        </w:rPr>
      </w:pPr>
    </w:p>
    <w:p w14:paraId="39B85770" w14:textId="77777777" w:rsidR="00822AEF" w:rsidRDefault="00822AEF" w:rsidP="00D536A2">
      <w:pPr>
        <w:rPr>
          <w:rFonts w:ascii="Times New Roman" w:hAnsi="Times New Roman" w:cs="Times New Roman"/>
          <w:lang w:val="en-US"/>
        </w:rPr>
      </w:pPr>
    </w:p>
    <w:p w14:paraId="2A5BDE95" w14:textId="77777777" w:rsidR="00822AEF" w:rsidRDefault="00822AEF" w:rsidP="00D536A2">
      <w:pPr>
        <w:rPr>
          <w:rFonts w:ascii="Times New Roman" w:hAnsi="Times New Roman" w:cs="Times New Roman"/>
          <w:lang w:val="en-US"/>
        </w:rPr>
      </w:pPr>
    </w:p>
    <w:p w14:paraId="6652A6E7" w14:textId="77777777" w:rsidR="00822AEF" w:rsidRDefault="00822AEF" w:rsidP="00D536A2">
      <w:pPr>
        <w:rPr>
          <w:rFonts w:ascii="Times New Roman" w:hAnsi="Times New Roman" w:cs="Times New Roman"/>
          <w:lang w:val="en-US"/>
        </w:rPr>
      </w:pPr>
    </w:p>
    <w:p w14:paraId="24499B6B" w14:textId="30FAD9EC" w:rsidR="004936C4" w:rsidRPr="003A1AA8" w:rsidRDefault="004936C4" w:rsidP="00D536A2">
      <w:pPr>
        <w:rPr>
          <w:rFonts w:ascii="Times New Roman" w:hAnsi="Times New Roman" w:cs="Times New Roman"/>
          <w:lang w:val="en-US"/>
        </w:rPr>
      </w:pPr>
      <w:r w:rsidRPr="003A1AA8">
        <w:rPr>
          <w:rFonts w:ascii="Times New Roman" w:hAnsi="Times New Roman" w:cs="Times New Roman"/>
          <w:lang w:val="en-US"/>
        </w:rPr>
        <w:lastRenderedPageBreak/>
        <w:t>Conclusion</w:t>
      </w:r>
    </w:p>
    <w:p w14:paraId="36DC0C9F" w14:textId="4098622B" w:rsidR="004936C4" w:rsidRPr="003A1AA8" w:rsidRDefault="004936C4" w:rsidP="004936C4">
      <w:pPr>
        <w:rPr>
          <w:rFonts w:ascii="Times New Roman" w:hAnsi="Times New Roman" w:cs="Times New Roman"/>
          <w:lang w:val="en-US"/>
        </w:rPr>
      </w:pPr>
      <w:r w:rsidRPr="003A1AA8">
        <w:rPr>
          <w:rFonts w:ascii="Times New Roman" w:hAnsi="Times New Roman" w:cs="Times New Roman"/>
          <w:lang w:val="en-US"/>
        </w:rPr>
        <w:t xml:space="preserve">Hinkley Point C, the UK's first new nuclear power plant in 20 years, has a novel reactor. This has caused unforeseen issues, such as the site's difficult ground conditions. Regulators, notably the necessity for a new environmental </w:t>
      </w:r>
      <w:r w:rsidR="00B5456B" w:rsidRPr="003A1AA8">
        <w:rPr>
          <w:rFonts w:ascii="Times New Roman" w:hAnsi="Times New Roman" w:cs="Times New Roman"/>
          <w:lang w:val="en-US"/>
        </w:rPr>
        <w:t>license</w:t>
      </w:r>
      <w:r w:rsidRPr="003A1AA8">
        <w:rPr>
          <w:rFonts w:ascii="Times New Roman" w:hAnsi="Times New Roman" w:cs="Times New Roman"/>
          <w:lang w:val="en-US"/>
        </w:rPr>
        <w:t>, have delayed the Hinkley Point C project. The 2008 global financial crisis slowed the global economy, which affected Hinkley Point C. This delayed material and equipment procurement and made project financing harder.</w:t>
      </w:r>
    </w:p>
    <w:p w14:paraId="32DD04CE" w14:textId="77777777" w:rsidR="003A1AA8" w:rsidRDefault="004936C4" w:rsidP="00D536A2">
      <w:pPr>
        <w:rPr>
          <w:rFonts w:ascii="Times New Roman" w:hAnsi="Times New Roman" w:cs="Times New Roman"/>
          <w:lang w:val="en-US"/>
        </w:rPr>
      </w:pPr>
      <w:bookmarkStart w:id="0" w:name="_Hlk142043602"/>
      <w:r w:rsidRPr="003A1AA8">
        <w:rPr>
          <w:rFonts w:ascii="Times New Roman" w:hAnsi="Times New Roman" w:cs="Times New Roman"/>
          <w:lang w:val="en-US"/>
        </w:rPr>
        <w:t xml:space="preserve">COVID-19 has also delayed Hinkley Point C. Due to social distancing measures on-site and worldwide supply chain interruption, this has happened. Management and procurement concerns also caused delays and cost overruns. </w:t>
      </w:r>
    </w:p>
    <w:bookmarkEnd w:id="0"/>
    <w:p w14:paraId="2F4F89AE" w14:textId="77777777" w:rsidR="00B5456B" w:rsidRDefault="00B5456B" w:rsidP="00D536A2">
      <w:pPr>
        <w:rPr>
          <w:rFonts w:ascii="Times New Roman" w:hAnsi="Times New Roman" w:cs="Times New Roman"/>
          <w:lang w:val="en-US"/>
        </w:rPr>
      </w:pPr>
    </w:p>
    <w:p w14:paraId="40051905" w14:textId="6BE357F3" w:rsidR="00B5456B" w:rsidRDefault="00B5456B" w:rsidP="00B5456B">
      <w:pPr>
        <w:rPr>
          <w:rFonts w:ascii="Times New Roman" w:hAnsi="Times New Roman" w:cs="Times New Roman"/>
          <w:lang w:val="en-US"/>
        </w:rPr>
      </w:pPr>
      <w:r>
        <w:rPr>
          <w:rFonts w:ascii="Times New Roman" w:hAnsi="Times New Roman" w:cs="Times New Roman"/>
          <w:lang w:val="en-US"/>
        </w:rPr>
        <w:t>Recommendation</w:t>
      </w:r>
      <w:r w:rsidRPr="003A1AA8">
        <w:rPr>
          <w:rFonts w:ascii="Times New Roman" w:hAnsi="Times New Roman" w:cs="Times New Roman"/>
          <w:lang w:val="en-US"/>
        </w:rPr>
        <w:t xml:space="preserve"> </w:t>
      </w:r>
    </w:p>
    <w:p w14:paraId="53790490" w14:textId="7DCD3700" w:rsidR="00570117" w:rsidRDefault="00673696" w:rsidP="00D536A2">
      <w:pPr>
        <w:rPr>
          <w:rFonts w:ascii="Times New Roman" w:hAnsi="Times New Roman" w:cs="Times New Roman"/>
          <w:lang w:val="en-US"/>
        </w:rPr>
      </w:pPr>
      <w:r>
        <w:rPr>
          <w:rFonts w:ascii="Times New Roman" w:hAnsi="Times New Roman" w:cs="Times New Roman"/>
          <w:lang w:val="en-US"/>
        </w:rPr>
        <w:t xml:space="preserve">Follow the development of Hinckley Point C </w:t>
      </w:r>
      <w:r w:rsidR="00570117">
        <w:rPr>
          <w:rFonts w:ascii="Times New Roman" w:hAnsi="Times New Roman" w:cs="Times New Roman"/>
          <w:lang w:val="en-US"/>
        </w:rPr>
        <w:t>through</w:t>
      </w:r>
      <w:r>
        <w:rPr>
          <w:rFonts w:ascii="Times New Roman" w:hAnsi="Times New Roman" w:cs="Times New Roman"/>
          <w:lang w:val="en-US"/>
        </w:rPr>
        <w:t xml:space="preserve"> official channels and new sources. Look in</w:t>
      </w:r>
      <w:r w:rsidR="00570117">
        <w:rPr>
          <w:rFonts w:ascii="Times New Roman" w:hAnsi="Times New Roman" w:cs="Times New Roman"/>
          <w:lang w:val="en-US"/>
        </w:rPr>
        <w:t>to its waste management, emission reduction, and environmental impact. Transparently interact with the neighborhood to promote cooperation and open communication. Put safety first by conducting ongoing inspections, providing personnel with training and safety standards.</w:t>
      </w:r>
    </w:p>
    <w:p w14:paraId="52E57A37" w14:textId="77777777" w:rsidR="00822AEF" w:rsidRDefault="00822AEF" w:rsidP="00D536A2">
      <w:pPr>
        <w:rPr>
          <w:rFonts w:ascii="Times New Roman" w:hAnsi="Times New Roman" w:cs="Times New Roman"/>
          <w:lang w:val="en-US"/>
        </w:rPr>
      </w:pPr>
    </w:p>
    <w:p w14:paraId="1D7B0C90" w14:textId="77777777" w:rsidR="00822AEF" w:rsidRDefault="00822AEF" w:rsidP="00D536A2">
      <w:pPr>
        <w:rPr>
          <w:rFonts w:ascii="Times New Roman" w:hAnsi="Times New Roman" w:cs="Times New Roman"/>
          <w:lang w:val="en-US"/>
        </w:rPr>
      </w:pPr>
    </w:p>
    <w:p w14:paraId="0102B2A4" w14:textId="77777777" w:rsidR="00822AEF" w:rsidRDefault="00822AEF" w:rsidP="00D536A2">
      <w:pPr>
        <w:rPr>
          <w:rFonts w:ascii="Times New Roman" w:hAnsi="Times New Roman" w:cs="Times New Roman"/>
          <w:lang w:val="en-US"/>
        </w:rPr>
      </w:pPr>
    </w:p>
    <w:p w14:paraId="17E7A989" w14:textId="77777777" w:rsidR="00822AEF" w:rsidRDefault="00822AEF" w:rsidP="00D536A2">
      <w:pPr>
        <w:rPr>
          <w:rFonts w:ascii="Times New Roman" w:hAnsi="Times New Roman" w:cs="Times New Roman"/>
          <w:lang w:val="en-US"/>
        </w:rPr>
      </w:pPr>
    </w:p>
    <w:p w14:paraId="4B482364" w14:textId="77777777" w:rsidR="00822AEF" w:rsidRDefault="00822AEF" w:rsidP="00D536A2">
      <w:pPr>
        <w:rPr>
          <w:rFonts w:ascii="Times New Roman" w:hAnsi="Times New Roman" w:cs="Times New Roman"/>
          <w:lang w:val="en-US"/>
        </w:rPr>
      </w:pPr>
    </w:p>
    <w:p w14:paraId="110115B3" w14:textId="77777777" w:rsidR="00822AEF" w:rsidRDefault="00822AEF" w:rsidP="00D536A2">
      <w:pPr>
        <w:rPr>
          <w:rFonts w:ascii="Times New Roman" w:hAnsi="Times New Roman" w:cs="Times New Roman"/>
          <w:lang w:val="en-US"/>
        </w:rPr>
      </w:pPr>
    </w:p>
    <w:p w14:paraId="2AA88FC8" w14:textId="77777777" w:rsidR="00822AEF" w:rsidRDefault="00822AEF" w:rsidP="00D536A2">
      <w:pPr>
        <w:rPr>
          <w:rFonts w:ascii="Times New Roman" w:hAnsi="Times New Roman" w:cs="Times New Roman"/>
          <w:lang w:val="en-US"/>
        </w:rPr>
      </w:pPr>
    </w:p>
    <w:p w14:paraId="75806DE9" w14:textId="77777777" w:rsidR="00822AEF" w:rsidRDefault="00822AEF" w:rsidP="00D536A2">
      <w:pPr>
        <w:rPr>
          <w:rFonts w:ascii="Times New Roman" w:hAnsi="Times New Roman" w:cs="Times New Roman"/>
          <w:lang w:val="en-US"/>
        </w:rPr>
      </w:pPr>
    </w:p>
    <w:p w14:paraId="7B21CA49" w14:textId="77777777" w:rsidR="00822AEF" w:rsidRDefault="00822AEF" w:rsidP="00D536A2">
      <w:pPr>
        <w:rPr>
          <w:rFonts w:ascii="Times New Roman" w:hAnsi="Times New Roman" w:cs="Times New Roman"/>
          <w:lang w:val="en-US"/>
        </w:rPr>
      </w:pPr>
    </w:p>
    <w:p w14:paraId="563E33B7" w14:textId="77777777" w:rsidR="00822AEF" w:rsidRDefault="00822AEF" w:rsidP="00D536A2">
      <w:pPr>
        <w:rPr>
          <w:rFonts w:ascii="Times New Roman" w:hAnsi="Times New Roman" w:cs="Times New Roman"/>
          <w:lang w:val="en-US"/>
        </w:rPr>
      </w:pPr>
    </w:p>
    <w:p w14:paraId="22BB330A" w14:textId="77777777" w:rsidR="00822AEF" w:rsidRDefault="00822AEF" w:rsidP="00D536A2">
      <w:pPr>
        <w:rPr>
          <w:rFonts w:ascii="Times New Roman" w:hAnsi="Times New Roman" w:cs="Times New Roman"/>
          <w:lang w:val="en-US"/>
        </w:rPr>
      </w:pPr>
    </w:p>
    <w:p w14:paraId="1610C06F" w14:textId="77777777" w:rsidR="00822AEF" w:rsidRDefault="00822AEF" w:rsidP="00D536A2">
      <w:pPr>
        <w:rPr>
          <w:rFonts w:ascii="Times New Roman" w:hAnsi="Times New Roman" w:cs="Times New Roman"/>
          <w:lang w:val="en-US"/>
        </w:rPr>
      </w:pPr>
    </w:p>
    <w:p w14:paraId="43ED38E5" w14:textId="77777777" w:rsidR="00822AEF" w:rsidRDefault="00822AEF" w:rsidP="00D536A2">
      <w:pPr>
        <w:rPr>
          <w:rFonts w:ascii="Times New Roman" w:hAnsi="Times New Roman" w:cs="Times New Roman"/>
          <w:lang w:val="en-US"/>
        </w:rPr>
      </w:pPr>
    </w:p>
    <w:p w14:paraId="3834BDB9" w14:textId="77777777" w:rsidR="00822AEF" w:rsidRDefault="00822AEF" w:rsidP="00D536A2">
      <w:pPr>
        <w:rPr>
          <w:rFonts w:ascii="Times New Roman" w:hAnsi="Times New Roman" w:cs="Times New Roman"/>
          <w:lang w:val="en-US"/>
        </w:rPr>
      </w:pPr>
    </w:p>
    <w:p w14:paraId="0ED514F9" w14:textId="77777777" w:rsidR="00822AEF" w:rsidRDefault="00822AEF" w:rsidP="00D536A2">
      <w:pPr>
        <w:rPr>
          <w:rFonts w:ascii="Times New Roman" w:hAnsi="Times New Roman" w:cs="Times New Roman"/>
          <w:lang w:val="en-US"/>
        </w:rPr>
      </w:pPr>
    </w:p>
    <w:p w14:paraId="47DEC484" w14:textId="77777777" w:rsidR="00822AEF" w:rsidRDefault="00822AEF" w:rsidP="00D536A2">
      <w:pPr>
        <w:rPr>
          <w:rFonts w:ascii="Times New Roman" w:hAnsi="Times New Roman" w:cs="Times New Roman"/>
          <w:lang w:val="en-US"/>
        </w:rPr>
      </w:pPr>
    </w:p>
    <w:p w14:paraId="4662A064" w14:textId="77777777" w:rsidR="00822AEF" w:rsidRPr="003A1AA8" w:rsidRDefault="00822AEF" w:rsidP="00D536A2">
      <w:pPr>
        <w:rPr>
          <w:rFonts w:ascii="Times New Roman" w:hAnsi="Times New Roman" w:cs="Times New Roman"/>
          <w:lang w:val="en-US"/>
        </w:rPr>
      </w:pPr>
    </w:p>
    <w:p w14:paraId="640E32E4" w14:textId="77777777" w:rsidR="003A1AA8" w:rsidRPr="003A1AA8" w:rsidRDefault="003A1AA8" w:rsidP="00D536A2">
      <w:pPr>
        <w:rPr>
          <w:rFonts w:ascii="Times New Roman" w:hAnsi="Times New Roman" w:cs="Times New Roman"/>
          <w:lang w:val="en-US"/>
        </w:rPr>
      </w:pPr>
      <w:r w:rsidRPr="003A1AA8">
        <w:rPr>
          <w:rFonts w:ascii="Times New Roman" w:hAnsi="Times New Roman" w:cs="Times New Roman"/>
          <w:lang w:val="en-US"/>
        </w:rPr>
        <w:t xml:space="preserve">Reference </w:t>
      </w:r>
    </w:p>
    <w:p w14:paraId="0FC34FCA" w14:textId="7643534B" w:rsidR="003A1AA8" w:rsidRPr="003A1AA8" w:rsidRDefault="003A1AA8" w:rsidP="003A1AA8">
      <w:pPr>
        <w:pStyle w:val="NormalWeb"/>
        <w:spacing w:before="0" w:beforeAutospacing="0" w:after="240" w:afterAutospacing="0" w:line="360" w:lineRule="auto"/>
        <w:jc w:val="both"/>
        <w:rPr>
          <w:color w:val="000000"/>
        </w:rPr>
      </w:pPr>
      <w:r w:rsidRPr="003A1AA8">
        <w:rPr>
          <w:color w:val="000000"/>
        </w:rPr>
        <w:t>EDF. (2016). </w:t>
      </w:r>
      <w:r w:rsidRPr="003A1AA8">
        <w:rPr>
          <w:i/>
          <w:iCs/>
          <w:color w:val="000000"/>
        </w:rPr>
        <w:t>About Hinkley Point C</w:t>
      </w:r>
      <w:r w:rsidRPr="003A1AA8">
        <w:rPr>
          <w:color w:val="000000"/>
        </w:rPr>
        <w:t xml:space="preserve">. [online] Available at: https://www.edfenergy.com/energy/nuclear-new-build-projects/hinkley-point-c/about [Accessed </w:t>
      </w:r>
      <w:r w:rsidR="008113BC">
        <w:rPr>
          <w:color w:val="000000"/>
        </w:rPr>
        <w:t>9</w:t>
      </w:r>
      <w:r w:rsidRPr="003A1AA8">
        <w:rPr>
          <w:color w:val="000000"/>
        </w:rPr>
        <w:t xml:space="preserve"> Jul. 2023].</w:t>
      </w:r>
    </w:p>
    <w:p w14:paraId="52D8AEA1" w14:textId="5008A86B" w:rsidR="003A1AA8" w:rsidRPr="003A1AA8" w:rsidRDefault="003A1AA8" w:rsidP="003A1AA8">
      <w:pPr>
        <w:pStyle w:val="NormalWeb"/>
        <w:spacing w:before="0" w:beforeAutospacing="0" w:after="240" w:afterAutospacing="0" w:line="360" w:lineRule="auto"/>
        <w:jc w:val="both"/>
        <w:rPr>
          <w:color w:val="000000"/>
        </w:rPr>
      </w:pPr>
      <w:r w:rsidRPr="003A1AA8">
        <w:rPr>
          <w:color w:val="000000"/>
        </w:rPr>
        <w:t>Laing O’Rourke. (2019). </w:t>
      </w:r>
      <w:r w:rsidRPr="003A1AA8">
        <w:rPr>
          <w:i/>
          <w:iCs/>
          <w:color w:val="000000"/>
        </w:rPr>
        <w:t>Hinkley Point C</w:t>
      </w:r>
      <w:r w:rsidRPr="003A1AA8">
        <w:rPr>
          <w:color w:val="000000"/>
        </w:rPr>
        <w:t>. [online] Available at: https://www.laingorourke.com/projects/united-kingdom/hinkley-point-c/ [Accessed 1</w:t>
      </w:r>
      <w:r w:rsidR="008113BC">
        <w:rPr>
          <w:color w:val="000000"/>
        </w:rPr>
        <w:t>0</w:t>
      </w:r>
      <w:r w:rsidRPr="003A1AA8">
        <w:rPr>
          <w:color w:val="000000"/>
        </w:rPr>
        <w:t xml:space="preserve"> Jul. 2023].</w:t>
      </w:r>
    </w:p>
    <w:p w14:paraId="5DB043CF"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proofErr w:type="spellStart"/>
      <w:r w:rsidRPr="003A1AA8">
        <w:rPr>
          <w:color w:val="222222"/>
          <w:shd w:val="clear" w:color="auto" w:fill="FFFFFF"/>
        </w:rPr>
        <w:t>Lenfle</w:t>
      </w:r>
      <w:proofErr w:type="spellEnd"/>
      <w:r w:rsidRPr="003A1AA8">
        <w:rPr>
          <w:color w:val="222222"/>
          <w:shd w:val="clear" w:color="auto" w:fill="FFFFFF"/>
        </w:rPr>
        <w:t>, S., 2008. Exploration and project management. </w:t>
      </w:r>
      <w:r w:rsidRPr="003A1AA8">
        <w:rPr>
          <w:i/>
          <w:iCs/>
          <w:color w:val="222222"/>
          <w:shd w:val="clear" w:color="auto" w:fill="FFFFFF"/>
        </w:rPr>
        <w:t>International Journal of Project Management</w:t>
      </w:r>
      <w:r w:rsidRPr="003A1AA8">
        <w:rPr>
          <w:color w:val="222222"/>
          <w:shd w:val="clear" w:color="auto" w:fill="FFFFFF"/>
        </w:rPr>
        <w:t>, </w:t>
      </w:r>
      <w:r w:rsidRPr="003A1AA8">
        <w:rPr>
          <w:i/>
          <w:iCs/>
          <w:color w:val="222222"/>
          <w:shd w:val="clear" w:color="auto" w:fill="FFFFFF"/>
        </w:rPr>
        <w:t>26</w:t>
      </w:r>
      <w:r w:rsidRPr="003A1AA8">
        <w:rPr>
          <w:color w:val="222222"/>
          <w:shd w:val="clear" w:color="auto" w:fill="FFFFFF"/>
        </w:rPr>
        <w:t>(5), pp.469-478.</w:t>
      </w:r>
    </w:p>
    <w:p w14:paraId="4E263690"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Levitt, R.E., 2011. Towards project management 2.0. </w:t>
      </w:r>
      <w:r w:rsidRPr="003A1AA8">
        <w:rPr>
          <w:i/>
          <w:iCs/>
          <w:color w:val="222222"/>
          <w:shd w:val="clear" w:color="auto" w:fill="FFFFFF"/>
        </w:rPr>
        <w:t>Engineering project organization journal</w:t>
      </w:r>
      <w:r w:rsidRPr="003A1AA8">
        <w:rPr>
          <w:color w:val="222222"/>
          <w:shd w:val="clear" w:color="auto" w:fill="FFFFFF"/>
        </w:rPr>
        <w:t>, </w:t>
      </w:r>
      <w:r w:rsidRPr="003A1AA8">
        <w:rPr>
          <w:i/>
          <w:iCs/>
          <w:color w:val="222222"/>
          <w:shd w:val="clear" w:color="auto" w:fill="FFFFFF"/>
        </w:rPr>
        <w:t>1</w:t>
      </w:r>
      <w:r w:rsidRPr="003A1AA8">
        <w:rPr>
          <w:color w:val="222222"/>
          <w:shd w:val="clear" w:color="auto" w:fill="FFFFFF"/>
        </w:rPr>
        <w:t>(3), pp.197-210.</w:t>
      </w:r>
    </w:p>
    <w:p w14:paraId="2B080E67"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Pollack, J., 2007. The changing paradigms of project management. </w:t>
      </w:r>
      <w:r w:rsidRPr="003A1AA8">
        <w:rPr>
          <w:i/>
          <w:iCs/>
          <w:color w:val="222222"/>
          <w:shd w:val="clear" w:color="auto" w:fill="FFFFFF"/>
        </w:rPr>
        <w:t>International journal of project management</w:t>
      </w:r>
      <w:r w:rsidRPr="003A1AA8">
        <w:rPr>
          <w:color w:val="222222"/>
          <w:shd w:val="clear" w:color="auto" w:fill="FFFFFF"/>
        </w:rPr>
        <w:t>, </w:t>
      </w:r>
      <w:r w:rsidRPr="003A1AA8">
        <w:rPr>
          <w:i/>
          <w:iCs/>
          <w:color w:val="222222"/>
          <w:shd w:val="clear" w:color="auto" w:fill="FFFFFF"/>
        </w:rPr>
        <w:t>25</w:t>
      </w:r>
      <w:r w:rsidRPr="003A1AA8">
        <w:rPr>
          <w:color w:val="222222"/>
          <w:shd w:val="clear" w:color="auto" w:fill="FFFFFF"/>
        </w:rPr>
        <w:t>(3), pp.266-274.</w:t>
      </w:r>
    </w:p>
    <w:p w14:paraId="6F1D41F5"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Schwalbe, K., 2009. </w:t>
      </w:r>
      <w:r w:rsidRPr="003A1AA8">
        <w:rPr>
          <w:i/>
          <w:iCs/>
          <w:color w:val="222222"/>
          <w:shd w:val="clear" w:color="auto" w:fill="FFFFFF"/>
        </w:rPr>
        <w:t>Introduction to project management</w:t>
      </w:r>
      <w:r w:rsidRPr="003A1AA8">
        <w:rPr>
          <w:color w:val="222222"/>
          <w:shd w:val="clear" w:color="auto" w:fill="FFFFFF"/>
        </w:rPr>
        <w:t>. Boston: Course Technology Cengage Learning.</w:t>
      </w:r>
    </w:p>
    <w:p w14:paraId="50784B37"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 xml:space="preserve">Sears, S.K., Sears, G.A., Clough, R.H., Rounds, J.L. and </w:t>
      </w:r>
      <w:proofErr w:type="spellStart"/>
      <w:r w:rsidRPr="003A1AA8">
        <w:rPr>
          <w:color w:val="222222"/>
          <w:shd w:val="clear" w:color="auto" w:fill="FFFFFF"/>
        </w:rPr>
        <w:t>Segner</w:t>
      </w:r>
      <w:proofErr w:type="spellEnd"/>
      <w:r w:rsidRPr="003A1AA8">
        <w:rPr>
          <w:color w:val="222222"/>
          <w:shd w:val="clear" w:color="auto" w:fill="FFFFFF"/>
        </w:rPr>
        <w:t>, R.O., 2015. </w:t>
      </w:r>
      <w:r w:rsidRPr="003A1AA8">
        <w:rPr>
          <w:i/>
          <w:iCs/>
          <w:color w:val="222222"/>
          <w:shd w:val="clear" w:color="auto" w:fill="FFFFFF"/>
        </w:rPr>
        <w:t>Construction project management</w:t>
      </w:r>
      <w:r w:rsidRPr="003A1AA8">
        <w:rPr>
          <w:color w:val="222222"/>
          <w:shd w:val="clear" w:color="auto" w:fill="FFFFFF"/>
        </w:rPr>
        <w:t>. John Wiley &amp; Sons.</w:t>
      </w:r>
    </w:p>
    <w:p w14:paraId="31EA5685" w14:textId="77777777" w:rsidR="003A1AA8" w:rsidRPr="003A1AA8" w:rsidRDefault="003A1AA8" w:rsidP="003A1AA8">
      <w:pPr>
        <w:pStyle w:val="NormalWeb"/>
        <w:spacing w:before="0" w:beforeAutospacing="0" w:after="240" w:afterAutospacing="0" w:line="360" w:lineRule="auto"/>
        <w:jc w:val="both"/>
        <w:rPr>
          <w:color w:val="222222"/>
          <w:shd w:val="clear" w:color="auto" w:fill="FFFFFF"/>
        </w:rPr>
      </w:pPr>
      <w:r w:rsidRPr="003A1AA8">
        <w:rPr>
          <w:color w:val="222222"/>
          <w:shd w:val="clear" w:color="auto" w:fill="FFFFFF"/>
        </w:rPr>
        <w:t>Walker, A., 2015. </w:t>
      </w:r>
      <w:r w:rsidRPr="003A1AA8">
        <w:rPr>
          <w:i/>
          <w:iCs/>
          <w:color w:val="222222"/>
          <w:shd w:val="clear" w:color="auto" w:fill="FFFFFF"/>
        </w:rPr>
        <w:t>Project management in construction</w:t>
      </w:r>
      <w:r w:rsidRPr="003A1AA8">
        <w:rPr>
          <w:color w:val="222222"/>
          <w:shd w:val="clear" w:color="auto" w:fill="FFFFFF"/>
        </w:rPr>
        <w:t>. John Wiley &amp; Sons.</w:t>
      </w:r>
    </w:p>
    <w:p w14:paraId="0606087B" w14:textId="77777777" w:rsidR="003A1AA8" w:rsidRPr="003A1AA8" w:rsidRDefault="003A1AA8" w:rsidP="003A1AA8">
      <w:pPr>
        <w:pStyle w:val="NormalWeb"/>
        <w:spacing w:before="0" w:beforeAutospacing="0" w:after="240" w:afterAutospacing="0" w:line="360" w:lineRule="auto"/>
        <w:jc w:val="both"/>
        <w:rPr>
          <w:color w:val="000000"/>
        </w:rPr>
      </w:pPr>
      <w:r w:rsidRPr="003A1AA8">
        <w:rPr>
          <w:color w:val="000000"/>
        </w:rPr>
        <w:t>Watt, H. (2017). </w:t>
      </w:r>
      <w:r w:rsidRPr="003A1AA8">
        <w:rPr>
          <w:i/>
          <w:iCs/>
          <w:color w:val="000000"/>
        </w:rPr>
        <w:t>Hinkley Point: the ‘dreadful deal’ behind the world’s most expensive power plant</w:t>
      </w:r>
      <w:r w:rsidRPr="003A1AA8">
        <w:rPr>
          <w:color w:val="000000"/>
        </w:rPr>
        <w:t>. [online] the Guardian. Available at: https://www.theguardian.com/news/2017/dec/21/hinkley-point-c-dreadful-deal-behind-worlds-most-expensive-power-plant [Accessed 15 Jul. 2023].</w:t>
      </w:r>
    </w:p>
    <w:sectPr w:rsidR="003A1AA8" w:rsidRPr="003A1AA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30345" w14:textId="77777777" w:rsidR="00006F25" w:rsidRDefault="00006F25" w:rsidP="00822AEF">
      <w:pPr>
        <w:spacing w:before="0" w:after="0" w:line="240" w:lineRule="auto"/>
      </w:pPr>
      <w:r>
        <w:separator/>
      </w:r>
    </w:p>
  </w:endnote>
  <w:endnote w:type="continuationSeparator" w:id="0">
    <w:p w14:paraId="7610CCC6" w14:textId="77777777" w:rsidR="00006F25" w:rsidRDefault="00006F25" w:rsidP="00822A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3209521"/>
      <w:docPartObj>
        <w:docPartGallery w:val="Page Numbers (Bottom of Page)"/>
        <w:docPartUnique/>
      </w:docPartObj>
    </w:sdtPr>
    <w:sdtEndPr>
      <w:rPr>
        <w:noProof/>
      </w:rPr>
    </w:sdtEndPr>
    <w:sdtContent>
      <w:p w14:paraId="645ED518" w14:textId="1F11175D" w:rsidR="00682D60" w:rsidRDefault="00682D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519369" w14:textId="77777777" w:rsidR="00822AEF" w:rsidRDefault="00822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57785" w14:textId="77777777" w:rsidR="00006F25" w:rsidRDefault="00006F25" w:rsidP="00822AEF">
      <w:pPr>
        <w:spacing w:before="0" w:after="0" w:line="240" w:lineRule="auto"/>
      </w:pPr>
      <w:r>
        <w:separator/>
      </w:r>
    </w:p>
  </w:footnote>
  <w:footnote w:type="continuationSeparator" w:id="0">
    <w:p w14:paraId="074DEC61" w14:textId="77777777" w:rsidR="00006F25" w:rsidRDefault="00006F25" w:rsidP="00822AE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6A2"/>
    <w:rsid w:val="00006F25"/>
    <w:rsid w:val="00335247"/>
    <w:rsid w:val="003A1AA8"/>
    <w:rsid w:val="003B574F"/>
    <w:rsid w:val="0042752B"/>
    <w:rsid w:val="004936C4"/>
    <w:rsid w:val="00570117"/>
    <w:rsid w:val="00673696"/>
    <w:rsid w:val="00682D60"/>
    <w:rsid w:val="007F1B27"/>
    <w:rsid w:val="008113BC"/>
    <w:rsid w:val="00822AEF"/>
    <w:rsid w:val="0088485B"/>
    <w:rsid w:val="008E45DE"/>
    <w:rsid w:val="00976797"/>
    <w:rsid w:val="00A943BD"/>
    <w:rsid w:val="00AE42D9"/>
    <w:rsid w:val="00B5456B"/>
    <w:rsid w:val="00CE70CF"/>
    <w:rsid w:val="00D536A2"/>
    <w:rsid w:val="00E26F65"/>
    <w:rsid w:val="00EA41E3"/>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9BC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30"/>
        <w:lang w:val="en-GB" w:eastAsia="ko-KR"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table" w:styleId="TableGridLight">
    <w:name w:val="Grid Table Light"/>
    <w:basedOn w:val="TableNormal"/>
    <w:uiPriority w:val="40"/>
    <w:rsid w:val="00D536A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3A1AA8"/>
    <w:pPr>
      <w:spacing w:before="100" w:beforeAutospacing="1" w:after="100" w:afterAutospacing="1" w:line="240" w:lineRule="auto"/>
      <w:jc w:val="left"/>
    </w:pPr>
    <w:rPr>
      <w:rFonts w:ascii="Times New Roman" w:eastAsia="Times New Roman" w:hAnsi="Times New Roman" w:cs="Times New Roman"/>
      <w:kern w:val="0"/>
      <w:szCs w:val="24"/>
      <w14:ligatures w14:val="none"/>
    </w:rPr>
  </w:style>
  <w:style w:type="paragraph" w:styleId="Header">
    <w:name w:val="header"/>
    <w:basedOn w:val="Normal"/>
    <w:link w:val="HeaderChar"/>
    <w:uiPriority w:val="99"/>
    <w:unhideWhenUsed/>
    <w:rsid w:val="00822AE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22AEF"/>
    <w:rPr>
      <w:rFonts w:ascii="Arial" w:hAnsi="Arial" w:cs="Vrinda"/>
      <w:lang w:val="en-GB"/>
    </w:rPr>
  </w:style>
  <w:style w:type="paragraph" w:styleId="Footer">
    <w:name w:val="footer"/>
    <w:basedOn w:val="Normal"/>
    <w:link w:val="FooterChar"/>
    <w:uiPriority w:val="99"/>
    <w:unhideWhenUsed/>
    <w:rsid w:val="00822AE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22AEF"/>
    <w:rPr>
      <w:rFonts w:ascii="Arial" w:hAnsi="Arial" w:cs="Vrinda"/>
      <w:lang w:val="en-GB"/>
    </w:rPr>
  </w:style>
  <w:style w:type="paragraph" w:styleId="ListParagraph">
    <w:name w:val="List Paragraph"/>
    <w:basedOn w:val="Normal"/>
    <w:uiPriority w:val="34"/>
    <w:qFormat/>
    <w:rsid w:val="00822A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64345">
      <w:bodyDiv w:val="1"/>
      <w:marLeft w:val="0"/>
      <w:marRight w:val="0"/>
      <w:marTop w:val="0"/>
      <w:marBottom w:val="0"/>
      <w:divBdr>
        <w:top w:val="none" w:sz="0" w:space="0" w:color="auto"/>
        <w:left w:val="none" w:sz="0" w:space="0" w:color="auto"/>
        <w:bottom w:val="none" w:sz="0" w:space="0" w:color="auto"/>
        <w:right w:val="none" w:sz="0" w:space="0" w:color="auto"/>
      </w:divBdr>
    </w:div>
    <w:div w:id="562985912">
      <w:bodyDiv w:val="1"/>
      <w:marLeft w:val="0"/>
      <w:marRight w:val="0"/>
      <w:marTop w:val="0"/>
      <w:marBottom w:val="0"/>
      <w:divBdr>
        <w:top w:val="none" w:sz="0" w:space="0" w:color="auto"/>
        <w:left w:val="none" w:sz="0" w:space="0" w:color="auto"/>
        <w:bottom w:val="none" w:sz="0" w:space="0" w:color="auto"/>
        <w:right w:val="none" w:sz="0" w:space="0" w:color="auto"/>
      </w:divBdr>
    </w:div>
    <w:div w:id="622543440">
      <w:bodyDiv w:val="1"/>
      <w:marLeft w:val="0"/>
      <w:marRight w:val="0"/>
      <w:marTop w:val="0"/>
      <w:marBottom w:val="0"/>
      <w:divBdr>
        <w:top w:val="none" w:sz="0" w:space="0" w:color="auto"/>
        <w:left w:val="none" w:sz="0" w:space="0" w:color="auto"/>
        <w:bottom w:val="none" w:sz="0" w:space="0" w:color="auto"/>
        <w:right w:val="none" w:sz="0" w:space="0" w:color="auto"/>
      </w:divBdr>
    </w:div>
    <w:div w:id="739792519">
      <w:bodyDiv w:val="1"/>
      <w:marLeft w:val="0"/>
      <w:marRight w:val="0"/>
      <w:marTop w:val="0"/>
      <w:marBottom w:val="0"/>
      <w:divBdr>
        <w:top w:val="none" w:sz="0" w:space="0" w:color="auto"/>
        <w:left w:val="none" w:sz="0" w:space="0" w:color="auto"/>
        <w:bottom w:val="none" w:sz="0" w:space="0" w:color="auto"/>
        <w:right w:val="none" w:sz="0" w:space="0" w:color="auto"/>
      </w:divBdr>
    </w:div>
    <w:div w:id="1071468318">
      <w:bodyDiv w:val="1"/>
      <w:marLeft w:val="0"/>
      <w:marRight w:val="0"/>
      <w:marTop w:val="0"/>
      <w:marBottom w:val="0"/>
      <w:divBdr>
        <w:top w:val="none" w:sz="0" w:space="0" w:color="auto"/>
        <w:left w:val="none" w:sz="0" w:space="0" w:color="auto"/>
        <w:bottom w:val="none" w:sz="0" w:space="0" w:color="auto"/>
        <w:right w:val="none" w:sz="0" w:space="0" w:color="auto"/>
      </w:divBdr>
    </w:div>
    <w:div w:id="1305115099">
      <w:bodyDiv w:val="1"/>
      <w:marLeft w:val="0"/>
      <w:marRight w:val="0"/>
      <w:marTop w:val="0"/>
      <w:marBottom w:val="0"/>
      <w:divBdr>
        <w:top w:val="none" w:sz="0" w:space="0" w:color="auto"/>
        <w:left w:val="none" w:sz="0" w:space="0" w:color="auto"/>
        <w:bottom w:val="none" w:sz="0" w:space="0" w:color="auto"/>
        <w:right w:val="none" w:sz="0" w:space="0" w:color="auto"/>
      </w:divBdr>
    </w:div>
    <w:div w:id="1393383993">
      <w:bodyDiv w:val="1"/>
      <w:marLeft w:val="0"/>
      <w:marRight w:val="0"/>
      <w:marTop w:val="0"/>
      <w:marBottom w:val="0"/>
      <w:divBdr>
        <w:top w:val="none" w:sz="0" w:space="0" w:color="auto"/>
        <w:left w:val="none" w:sz="0" w:space="0" w:color="auto"/>
        <w:bottom w:val="none" w:sz="0" w:space="0" w:color="auto"/>
        <w:right w:val="none" w:sz="0" w:space="0" w:color="auto"/>
      </w:divBdr>
    </w:div>
    <w:div w:id="1497066867">
      <w:bodyDiv w:val="1"/>
      <w:marLeft w:val="0"/>
      <w:marRight w:val="0"/>
      <w:marTop w:val="0"/>
      <w:marBottom w:val="0"/>
      <w:divBdr>
        <w:top w:val="none" w:sz="0" w:space="0" w:color="auto"/>
        <w:left w:val="none" w:sz="0" w:space="0" w:color="auto"/>
        <w:bottom w:val="none" w:sz="0" w:space="0" w:color="auto"/>
        <w:right w:val="none" w:sz="0" w:space="0" w:color="auto"/>
      </w:divBdr>
    </w:div>
    <w:div w:id="1996494915">
      <w:bodyDiv w:val="1"/>
      <w:marLeft w:val="0"/>
      <w:marRight w:val="0"/>
      <w:marTop w:val="0"/>
      <w:marBottom w:val="0"/>
      <w:divBdr>
        <w:top w:val="none" w:sz="0" w:space="0" w:color="auto"/>
        <w:left w:val="none" w:sz="0" w:space="0" w:color="auto"/>
        <w:bottom w:val="none" w:sz="0" w:space="0" w:color="auto"/>
        <w:right w:val="none" w:sz="0" w:space="0" w:color="auto"/>
      </w:divBdr>
    </w:div>
    <w:div w:id="2066374378">
      <w:bodyDiv w:val="1"/>
      <w:marLeft w:val="0"/>
      <w:marRight w:val="0"/>
      <w:marTop w:val="0"/>
      <w:marBottom w:val="0"/>
      <w:divBdr>
        <w:top w:val="none" w:sz="0" w:space="0" w:color="auto"/>
        <w:left w:val="none" w:sz="0" w:space="0" w:color="auto"/>
        <w:bottom w:val="none" w:sz="0" w:space="0" w:color="auto"/>
        <w:right w:val="none" w:sz="0" w:space="0" w:color="auto"/>
      </w:divBdr>
    </w:div>
    <w:div w:id="211617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2920</Words>
  <Characters>16647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19528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2023-07-15T02:10:00Z</dcterms:created>
  <dcterms:modified xsi:type="dcterms:W3CDTF">2023-08-04T11:31:00Z</dcterms:modified>
  <cp:category/>
</cp:coreProperties>
</file>