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CEA83" w14:textId="6DFB24EF" w:rsidR="00A13745" w:rsidRDefault="00122B97" w:rsidP="005B1B28">
      <w:pPr>
        <w:pStyle w:val="Body"/>
        <w:spacing w:line="480" w:lineRule="auto"/>
        <w:rPr>
          <w:u w:val="single"/>
        </w:rPr>
      </w:pPr>
      <w:r>
        <w:rPr>
          <w:u w:val="single"/>
        </w:rPr>
        <w:t>A CRITICAL APPRECIATION OF THE LIFE OF ST DAVID BY RHYGYFARCH</w:t>
      </w:r>
    </w:p>
    <w:p w14:paraId="2CBD689A" w14:textId="77777777" w:rsidR="00A13745" w:rsidRDefault="00A13745" w:rsidP="00A13745">
      <w:pPr>
        <w:pStyle w:val="Body"/>
        <w:spacing w:line="480" w:lineRule="auto"/>
        <w:jc w:val="center"/>
        <w:rPr>
          <w:u w:val="single"/>
        </w:rPr>
      </w:pPr>
    </w:p>
    <w:p w14:paraId="79629A95" w14:textId="632E8C00" w:rsidR="00A13745" w:rsidRDefault="00A13745" w:rsidP="00A13745">
      <w:pPr>
        <w:pStyle w:val="Body"/>
        <w:spacing w:line="480" w:lineRule="auto"/>
      </w:pPr>
      <w:proofErr w:type="spellStart"/>
      <w:r>
        <w:t>Rhygyfarch</w:t>
      </w:r>
      <w:proofErr w:type="spellEnd"/>
      <w:r>
        <w:t xml:space="preserve"> ap Sulien (1056-1099) was mainly responsible for the flourishing of the cult of St. David through his Latin manuscript the Life of St. David (Vita S. Da</w:t>
      </w:r>
      <w:r w:rsidR="00EB4E44">
        <w:t>v</w:t>
      </w:r>
      <w:r>
        <w:t xml:space="preserve">id). </w:t>
      </w:r>
      <w:r w:rsidR="00EB4E44">
        <w:t>E. G</w:t>
      </w:r>
      <w:r w:rsidR="00C50EC1">
        <w:t>.</w:t>
      </w:r>
      <w:r>
        <w:t xml:space="preserve"> Bowen however suggests the cult was in </w:t>
      </w:r>
      <w:proofErr w:type="gramStart"/>
      <w:r>
        <w:t>South East</w:t>
      </w:r>
      <w:proofErr w:type="gramEnd"/>
      <w:r>
        <w:t xml:space="preserve"> Wales 150 years before </w:t>
      </w:r>
      <w:proofErr w:type="spellStart"/>
      <w:r>
        <w:t>Rhygyfarch’s</w:t>
      </w:r>
      <w:proofErr w:type="spellEnd"/>
      <w:r>
        <w:t xml:space="preserve"> Vita was writte</w:t>
      </w:r>
      <w:r w:rsidR="00DF73C7">
        <w:t>n</w:t>
      </w:r>
      <w:r>
        <w:t>.</w:t>
      </w:r>
      <w:r w:rsidR="00B72B9F">
        <w:rPr>
          <w:rStyle w:val="FootnoteReference"/>
        </w:rPr>
        <w:footnoteReference w:id="1"/>
      </w:r>
      <w:r w:rsidR="00B72B9F">
        <w:t xml:space="preserve"> </w:t>
      </w:r>
      <w:r w:rsidR="00561911">
        <w:t xml:space="preserve"> </w:t>
      </w:r>
      <w:r>
        <w:t xml:space="preserve">The </w:t>
      </w:r>
      <w:r w:rsidR="00872B0C">
        <w:t>well-known</w:t>
      </w:r>
      <w:r>
        <w:t xml:space="preserve"> maxim that two pilgrimages to St. David’s were believed to be equal in spiritual rewards to one to Rome explains perhaps the magnificence of its Cathedral in such a bleak western promontory of Pembrokeshire, partly the result of the shrine offerings of countless pilgrims throughout the </w:t>
      </w:r>
      <w:r w:rsidR="00872B0C">
        <w:t>centuries</w:t>
      </w:r>
      <w:r w:rsidR="00B6500F">
        <w:t>.</w:t>
      </w:r>
      <w:r w:rsidR="00891964">
        <w:rPr>
          <w:rStyle w:val="FootnoteReference"/>
        </w:rPr>
        <w:footnoteReference w:id="2"/>
      </w:r>
      <w:r>
        <w:t xml:space="preserve">                     </w:t>
      </w:r>
    </w:p>
    <w:p w14:paraId="56D140A3" w14:textId="77777777" w:rsidR="00A13745" w:rsidRDefault="00A13745" w:rsidP="00A13745">
      <w:pPr>
        <w:pStyle w:val="Body"/>
        <w:spacing w:line="480" w:lineRule="auto"/>
      </w:pPr>
    </w:p>
    <w:p w14:paraId="240BFDA2" w14:textId="1063F465" w:rsidR="00C076CC" w:rsidRDefault="00A13745" w:rsidP="00FE3ED8">
      <w:pPr>
        <w:pStyle w:val="Body"/>
        <w:spacing w:line="480" w:lineRule="auto"/>
      </w:pPr>
      <w:r>
        <w:t xml:space="preserve">Possibly </w:t>
      </w:r>
      <w:proofErr w:type="spellStart"/>
      <w:r>
        <w:t>Rhygyfarch’s</w:t>
      </w:r>
      <w:proofErr w:type="spellEnd"/>
      <w:r>
        <w:t xml:space="preserve"> (</w:t>
      </w:r>
      <w:proofErr w:type="spellStart"/>
      <w:r>
        <w:t>Ricemarchus</w:t>
      </w:r>
      <w:proofErr w:type="spellEnd"/>
      <w:r>
        <w:t>’) Vita stimulated the beginning of a whole new genre of Welsh Lives of the Saints in the latter part of the eleventh century.</w:t>
      </w:r>
      <w:r w:rsidR="00F4631D">
        <w:rPr>
          <w:rStyle w:val="FootnoteReference"/>
        </w:rPr>
        <w:footnoteReference w:id="3"/>
      </w:r>
      <w:r w:rsidR="00376F98">
        <w:t xml:space="preserve">  </w:t>
      </w:r>
      <w:r>
        <w:t xml:space="preserve">David Petts stresses the influence of the prevailing political situation which </w:t>
      </w:r>
      <w:proofErr w:type="spellStart"/>
      <w:r>
        <w:t>coloured</w:t>
      </w:r>
      <w:proofErr w:type="spellEnd"/>
      <w:r>
        <w:t xml:space="preserve"> the Vitae and had their parallel in England and Ireland. In connecting David to the royal house in </w:t>
      </w:r>
      <w:r w:rsidR="0061138D">
        <w:t>Ceredigion and</w:t>
      </w:r>
      <w:r>
        <w:t xml:space="preserve"> linking </w:t>
      </w:r>
      <w:r>
        <w:rPr>
          <w:lang w:val="it-IT"/>
        </w:rPr>
        <w:t xml:space="preserve">William </w:t>
      </w:r>
      <w:r>
        <w:t xml:space="preserve">the Conqueror’s visit to St. David’s in 1081with as much political implications as spiritual, </w:t>
      </w:r>
      <w:proofErr w:type="spellStart"/>
      <w:r>
        <w:t>Rhygyfarch’s</w:t>
      </w:r>
      <w:proofErr w:type="spellEnd"/>
      <w:r>
        <w:t xml:space="preserve"> assertion of the cult of St. David was of paramount importance and was therefore reflected in his Vita.</w:t>
      </w:r>
      <w:r w:rsidR="00031B8C">
        <w:rPr>
          <w:rStyle w:val="FootnoteReference"/>
        </w:rPr>
        <w:footnoteReference w:id="4"/>
      </w:r>
      <w:r w:rsidR="00376F98">
        <w:t xml:space="preserve"> </w:t>
      </w:r>
      <w:r>
        <w:t xml:space="preserve"> It is prosaically described by F.G. Cowley as basi</w:t>
      </w:r>
      <w:r w:rsidR="003823DA">
        <w:t>cally a public relations exercise</w:t>
      </w:r>
      <w:r w:rsidR="00C750AC">
        <w:t>.</w:t>
      </w:r>
      <w:r w:rsidR="00C92794">
        <w:rPr>
          <w:rStyle w:val="FootnoteReference"/>
        </w:rPr>
        <w:footnoteReference w:id="5"/>
      </w:r>
      <w:r w:rsidR="00304288">
        <w:t xml:space="preserve"> (thirty 0ne)</w:t>
      </w:r>
    </w:p>
    <w:p w14:paraId="46652E58" w14:textId="078ABBD9" w:rsidR="00C076CC" w:rsidRDefault="00C076CC" w:rsidP="00DE59D1">
      <w:pPr>
        <w:pStyle w:val="Body"/>
        <w:spacing w:line="480" w:lineRule="auto"/>
      </w:pPr>
    </w:p>
    <w:p w14:paraId="6EE39DBD" w14:textId="5D2B29CC" w:rsidR="00A13745" w:rsidRPr="007B115F" w:rsidRDefault="00A13745" w:rsidP="00FE3ED8">
      <w:pPr>
        <w:pStyle w:val="Body"/>
        <w:spacing w:line="480" w:lineRule="auto"/>
      </w:pPr>
      <w:r>
        <w:t>The Welsh Life (</w:t>
      </w:r>
      <w:proofErr w:type="spellStart"/>
      <w:r>
        <w:t>Buched</w:t>
      </w:r>
      <w:proofErr w:type="spellEnd"/>
      <w:r>
        <w:t xml:space="preserve"> Dewi) was thought to have been written in </w:t>
      </w:r>
      <w:proofErr w:type="spellStart"/>
      <w:r>
        <w:t>Llanddewibrefi</w:t>
      </w:r>
      <w:proofErr w:type="spellEnd"/>
      <w:r>
        <w:t xml:space="preserve"> by an anchorite in about 1346. David </w:t>
      </w:r>
      <w:proofErr w:type="spellStart"/>
      <w:r>
        <w:t>Dumville</w:t>
      </w:r>
      <w:proofErr w:type="spellEnd"/>
      <w:r>
        <w:t xml:space="preserve"> remarks that the Welsh version has no assertions of originality but depends greatly on the Vespasian version of the Life.  This version has </w:t>
      </w:r>
      <w:r w:rsidR="00605503">
        <w:t>a more</w:t>
      </w:r>
      <w:r>
        <w:t xml:space="preserve"> personal familiar character more appropriate to a Welsh reader. Reference to the cult of St. David having its genesis </w:t>
      </w:r>
      <w:r>
        <w:lastRenderedPageBreak/>
        <w:t xml:space="preserve">in </w:t>
      </w:r>
      <w:proofErr w:type="spellStart"/>
      <w:r>
        <w:t>Pebidiog</w:t>
      </w:r>
      <w:proofErr w:type="spellEnd"/>
      <w:r>
        <w:t xml:space="preserve"> has attr</w:t>
      </w:r>
      <w:r w:rsidR="00FE3ED8">
        <w:t>a</w:t>
      </w:r>
      <w:r>
        <w:t xml:space="preserve">cted many contrasting arguments but Heather James concludes that it cannot be denied that it was </w:t>
      </w:r>
      <w:proofErr w:type="spellStart"/>
      <w:r>
        <w:t>focussed</w:t>
      </w:r>
      <w:proofErr w:type="spellEnd"/>
      <w:r>
        <w:t xml:space="preserve"> there by the ninth century and had received National recognition.</w:t>
      </w:r>
      <w:r w:rsidR="00C2788B">
        <w:rPr>
          <w:rStyle w:val="FootnoteReference"/>
        </w:rPr>
        <w:footnoteReference w:id="6"/>
      </w:r>
      <w:r>
        <w:t xml:space="preserve">          </w:t>
      </w:r>
    </w:p>
    <w:p w14:paraId="2D274D41" w14:textId="77777777" w:rsidR="00A13745" w:rsidRDefault="00A13745" w:rsidP="00A13745">
      <w:pPr>
        <w:pStyle w:val="Body"/>
        <w:spacing w:line="480" w:lineRule="auto"/>
      </w:pPr>
    </w:p>
    <w:p w14:paraId="04572864" w14:textId="3E799A4F" w:rsidR="00B6500F" w:rsidRDefault="00A13745" w:rsidP="00A13745">
      <w:pPr>
        <w:pStyle w:val="Body"/>
        <w:spacing w:line="480" w:lineRule="auto"/>
      </w:pPr>
      <w:proofErr w:type="spellStart"/>
      <w:r>
        <w:t>Rhygyfarch</w:t>
      </w:r>
      <w:proofErr w:type="spellEnd"/>
      <w:r>
        <w:t xml:space="preserve"> was a member of the influential family which governed the </w:t>
      </w:r>
      <w:proofErr w:type="spellStart"/>
      <w:r>
        <w:t>Clas</w:t>
      </w:r>
      <w:proofErr w:type="spellEnd"/>
      <w:r>
        <w:t xml:space="preserve"> in </w:t>
      </w:r>
      <w:proofErr w:type="spellStart"/>
      <w:r>
        <w:t>Llanbadarn</w:t>
      </w:r>
      <w:proofErr w:type="spellEnd"/>
      <w:r>
        <w:t xml:space="preserve"> </w:t>
      </w:r>
      <w:proofErr w:type="spellStart"/>
      <w:r>
        <w:t>Fawr</w:t>
      </w:r>
      <w:proofErr w:type="spellEnd"/>
      <w:r>
        <w:t xml:space="preserve"> in the eleventh century and the son of Sulien who </w:t>
      </w:r>
      <w:proofErr w:type="gramStart"/>
      <w:r>
        <w:t>was twice bishop of St. David’s</w:t>
      </w:r>
      <w:proofErr w:type="gramEnd"/>
      <w:r>
        <w:t xml:space="preserve">. Of his four sons, the most impressive member of this family was </w:t>
      </w:r>
      <w:proofErr w:type="spellStart"/>
      <w:r>
        <w:t>Rhygyfarch</w:t>
      </w:r>
      <w:proofErr w:type="spellEnd"/>
      <w:r>
        <w:t>.</w:t>
      </w:r>
      <w:r w:rsidR="00554039">
        <w:rPr>
          <w:rStyle w:val="FootnoteReference"/>
        </w:rPr>
        <w:footnoteReference w:id="7"/>
      </w:r>
      <w:r w:rsidR="00387935">
        <w:t xml:space="preserve">  </w:t>
      </w:r>
      <w:r>
        <w:t xml:space="preserve"> He was commended in the Brut for his academic excellence and was admired not only by the Welsh but also the English and the Normans.</w:t>
      </w:r>
      <w:r w:rsidR="00492494">
        <w:rPr>
          <w:rStyle w:val="FootnoteReference"/>
        </w:rPr>
        <w:footnoteReference w:id="8"/>
      </w:r>
      <w:r w:rsidR="00492494">
        <w:t xml:space="preserve"> </w:t>
      </w:r>
      <w:r w:rsidR="00387935">
        <w:t xml:space="preserve"> </w:t>
      </w:r>
      <w:r>
        <w:t xml:space="preserve"> Before he died at the age of forty three, his most famous Vita proved a seminal document in our understanding of the life of the Patron Saint of Wales though </w:t>
      </w:r>
      <w:proofErr w:type="spellStart"/>
      <w:r>
        <w:t>Glanmor</w:t>
      </w:r>
      <w:proofErr w:type="spellEnd"/>
      <w:r>
        <w:t xml:space="preserve"> Williams strikes a cautionary note by stating that as </w:t>
      </w:r>
      <w:proofErr w:type="spellStart"/>
      <w:r>
        <w:t>Rhygyfarch’s</w:t>
      </w:r>
      <w:proofErr w:type="spellEnd"/>
      <w:r>
        <w:t xml:space="preserve"> Vita may have relied on early sources transmitted orally and containing much legendary material, it makes </w:t>
      </w:r>
      <w:r w:rsidR="00EC5FD5">
        <w:t>the authenticity</w:t>
      </w:r>
      <w:r>
        <w:t xml:space="preserve"> of David’s deeds questionable.</w:t>
      </w:r>
      <w:r w:rsidR="0007637B">
        <w:rPr>
          <w:rStyle w:val="FootnoteReference"/>
        </w:rPr>
        <w:footnoteReference w:id="9"/>
      </w:r>
      <w:r w:rsidR="0007637B">
        <w:t xml:space="preserve"> </w:t>
      </w:r>
    </w:p>
    <w:p w14:paraId="2786FE64" w14:textId="77777777" w:rsidR="00B6500F" w:rsidRDefault="00B6500F" w:rsidP="00A13745">
      <w:pPr>
        <w:pStyle w:val="Body"/>
        <w:spacing w:line="480" w:lineRule="auto"/>
      </w:pPr>
    </w:p>
    <w:p w14:paraId="57CB782D" w14:textId="2C44A675" w:rsidR="00A13745" w:rsidRDefault="00A13745" w:rsidP="00A13745">
      <w:pPr>
        <w:pStyle w:val="Body"/>
        <w:spacing w:line="480" w:lineRule="auto"/>
      </w:pPr>
      <w:r>
        <w:t xml:space="preserve">It is generally accepted that </w:t>
      </w:r>
      <w:proofErr w:type="spellStart"/>
      <w:r>
        <w:t>Llanbadarn</w:t>
      </w:r>
      <w:proofErr w:type="spellEnd"/>
      <w:r>
        <w:t xml:space="preserve"> </w:t>
      </w:r>
      <w:proofErr w:type="spellStart"/>
      <w:r>
        <w:t>Fawr</w:t>
      </w:r>
      <w:proofErr w:type="spellEnd"/>
      <w:r>
        <w:t xml:space="preserve"> is where the Vita was written in about 1090. According to D. Simon Evans this won the support for example of A.W. Wade-Evan’s and W.H. Davies.  Lack of precision on the part of Wade-Evans is revealed since elsewhere he claims the Vita was a negative reaction towards the suspension of Wilfred, Bishop of St. David’s by Archbishop Anselm of Canterbury which took place in about 1095. </w:t>
      </w:r>
      <w:proofErr w:type="spellStart"/>
      <w:r>
        <w:t>J.</w:t>
      </w:r>
      <w:proofErr w:type="gramStart"/>
      <w:r>
        <w:t>W.James</w:t>
      </w:r>
      <w:proofErr w:type="spellEnd"/>
      <w:proofErr w:type="gramEnd"/>
      <w:r>
        <w:t xml:space="preserve"> also claiming a date approximating to </w:t>
      </w:r>
      <w:proofErr w:type="gramStart"/>
      <w:r>
        <w:t>1095</w:t>
      </w:r>
      <w:proofErr w:type="gramEnd"/>
      <w:r>
        <w:t xml:space="preserve"> proposed Anselm’s action at that time may explain the narrative of David’s visit to the Patriarch of Jerusalem. M. Richter</w:t>
      </w:r>
      <w:r w:rsidR="000D33E6">
        <w:t xml:space="preserve"> </w:t>
      </w:r>
      <w:r w:rsidR="00695CAC">
        <w:t xml:space="preserve">was </w:t>
      </w:r>
      <w:r>
        <w:t>obviously concurring with James when he allows the date of 1093-5 without further comment.</w:t>
      </w:r>
      <w:r w:rsidR="00723D64">
        <w:rPr>
          <w:rStyle w:val="FootnoteReference"/>
        </w:rPr>
        <w:footnoteReference w:id="10"/>
      </w:r>
      <w:r>
        <w:t xml:space="preserve"> </w:t>
      </w:r>
    </w:p>
    <w:p w14:paraId="33CE2DB7" w14:textId="77777777" w:rsidR="00A13745" w:rsidRDefault="00A13745" w:rsidP="00A13745">
      <w:pPr>
        <w:pStyle w:val="Body"/>
        <w:spacing w:line="480" w:lineRule="auto"/>
      </w:pPr>
    </w:p>
    <w:p w14:paraId="07BC9761" w14:textId="51DD8FBF" w:rsidR="00A13745" w:rsidRDefault="00A13745" w:rsidP="00A13745">
      <w:pPr>
        <w:pStyle w:val="Body"/>
        <w:spacing w:line="480" w:lineRule="auto"/>
      </w:pPr>
      <w:r>
        <w:t>Ri</w:t>
      </w:r>
      <w:r w:rsidR="00EA4300">
        <w:t>c</w:t>
      </w:r>
      <w:r>
        <w:t xml:space="preserve">hard Sharpe reminds us that </w:t>
      </w:r>
      <w:proofErr w:type="spellStart"/>
      <w:r>
        <w:t>Rhygyfarch</w:t>
      </w:r>
      <w:proofErr w:type="spellEnd"/>
      <w:r>
        <w:t xml:space="preserve"> humbly identified himself as the author of his Vita in the last chapter where he beseeches his </w:t>
      </w:r>
      <w:r w:rsidR="00797DAD">
        <w:t>readers to</w:t>
      </w:r>
      <w:r>
        <w:t xml:space="preserve"> ‘pray for me, who am named </w:t>
      </w:r>
      <w:proofErr w:type="spellStart"/>
      <w:r>
        <w:t>Rhygyfarch</w:t>
      </w:r>
      <w:proofErr w:type="spellEnd"/>
      <w:r>
        <w:t xml:space="preserve"> and who rashly applied my inadequate talent to this subject’.</w:t>
      </w:r>
      <w:r w:rsidR="00FF5280">
        <w:rPr>
          <w:rStyle w:val="FootnoteReference"/>
        </w:rPr>
        <w:footnoteReference w:id="11"/>
      </w:r>
      <w:r w:rsidR="00387935">
        <w:t xml:space="preserve"> </w:t>
      </w:r>
      <w:r>
        <w:t xml:space="preserve"> His reason for writing his Vita in Latin </w:t>
      </w:r>
      <w:r>
        <w:lastRenderedPageBreak/>
        <w:t xml:space="preserve">had both </w:t>
      </w:r>
      <w:proofErr w:type="spellStart"/>
      <w:r>
        <w:t>hagiograpical</w:t>
      </w:r>
      <w:proofErr w:type="spellEnd"/>
      <w:r>
        <w:t xml:space="preserve"> and political aspects. In an article in the Western Mail by the commentator Clive Betts he rightl</w:t>
      </w:r>
      <w:r w:rsidR="006C59D8">
        <w:t>y suggested</w:t>
      </w:r>
      <w:r>
        <w:t xml:space="preserve"> </w:t>
      </w:r>
      <w:proofErr w:type="spellStart"/>
      <w:r>
        <w:t>Rhygyfarch’s</w:t>
      </w:r>
      <w:proofErr w:type="spellEnd"/>
      <w:r>
        <w:t xml:space="preserve"> motivations for writing were political to convince the Normans of the strong religious significance of Pembrokeshire and to secure the independence of Wales from Canterbury, enabling the country to have its own Primate. He omitted however another principal hagiographical reason for </w:t>
      </w:r>
      <w:proofErr w:type="spellStart"/>
      <w:r>
        <w:t>Rhygyfarch’s</w:t>
      </w:r>
      <w:proofErr w:type="spellEnd"/>
      <w:r>
        <w:t xml:space="preserve"> Vita which was his disciplined monastic practices and holiness of life which marked out David as a great leader.</w:t>
      </w:r>
      <w:r w:rsidR="003D0576">
        <w:rPr>
          <w:rStyle w:val="FootnoteReference"/>
        </w:rPr>
        <w:footnoteReference w:id="12"/>
      </w:r>
      <w:r>
        <w:t xml:space="preserve">  Thus Oliver Davies paints </w:t>
      </w:r>
      <w:proofErr w:type="gramStart"/>
      <w:r>
        <w:t>a  picture</w:t>
      </w:r>
      <w:proofErr w:type="gramEnd"/>
      <w:r>
        <w:t xml:space="preserve"> of how one can determine the character of Welsh spirituality by reflecting on the lives of the early saints. These </w:t>
      </w:r>
      <w:proofErr w:type="spellStart"/>
      <w:r>
        <w:t>focussed</w:t>
      </w:r>
      <w:proofErr w:type="spellEnd"/>
      <w:r>
        <w:t xml:space="preserve"> on showing the life of an individual as conforming to the life of Christ.</w:t>
      </w:r>
      <w:r w:rsidR="007D5F81">
        <w:rPr>
          <w:rStyle w:val="FootnoteReference"/>
        </w:rPr>
        <w:footnoteReference w:id="13"/>
      </w:r>
      <w:r>
        <w:t xml:space="preserve">  At the beginning of his text, </w:t>
      </w:r>
      <w:proofErr w:type="spellStart"/>
      <w:r>
        <w:t>Rhygyfarch</w:t>
      </w:r>
      <w:proofErr w:type="spellEnd"/>
      <w:r>
        <w:t xml:space="preserve"> speaks of special signs on the occasion of David’s birth that enabled witnesses to see in him ‘another Christ’ and therefore worthy of hagiographical </w:t>
      </w:r>
      <w:r w:rsidR="0088215A">
        <w:t>inclusion.</w:t>
      </w:r>
      <w:r w:rsidR="00FD5667">
        <w:rPr>
          <w:rStyle w:val="FootnoteReference"/>
        </w:rPr>
        <w:footnoteReference w:id="14"/>
      </w:r>
      <w:r w:rsidR="0088215A">
        <w:t xml:space="preserve"> </w:t>
      </w:r>
      <w:r w:rsidR="00273A9F">
        <w:t xml:space="preserve"> T</w:t>
      </w:r>
      <w:r>
        <w:t xml:space="preserve">here are other links to the life of Christ in the text such as the raising of the dead son after the beseeching of his mother (Chapter 51).  </w:t>
      </w:r>
      <w:r w:rsidR="00273A9F">
        <w:t>St. David</w:t>
      </w:r>
      <w:r>
        <w:t xml:space="preserve"> is also painted by </w:t>
      </w:r>
      <w:proofErr w:type="spellStart"/>
      <w:r>
        <w:t>Rhygyfarch</w:t>
      </w:r>
      <w:proofErr w:type="spellEnd"/>
      <w:r>
        <w:t xml:space="preserve"> as a strict ascetic with a commanding control over his monastery and as </w:t>
      </w:r>
      <w:proofErr w:type="spellStart"/>
      <w:r>
        <w:t>emphasising</w:t>
      </w:r>
      <w:proofErr w:type="spellEnd"/>
      <w:r>
        <w:t xml:space="preserve"> a strict culture of rule keeping, qualifying him to be seen as a worthy Patron Saint.</w:t>
      </w:r>
    </w:p>
    <w:p w14:paraId="69082C2B" w14:textId="77777777" w:rsidR="00A13745" w:rsidRDefault="00A13745" w:rsidP="00A13745">
      <w:pPr>
        <w:pStyle w:val="Body"/>
        <w:spacing w:line="480" w:lineRule="auto"/>
      </w:pPr>
    </w:p>
    <w:p w14:paraId="799355D8" w14:textId="7B33E59A" w:rsidR="00A13745" w:rsidRDefault="00A13745" w:rsidP="00A13745">
      <w:pPr>
        <w:pStyle w:val="Body"/>
        <w:spacing w:line="480" w:lineRule="auto"/>
      </w:pPr>
      <w:proofErr w:type="spellStart"/>
      <w:r>
        <w:t>Rhygyfarch</w:t>
      </w:r>
      <w:proofErr w:type="spellEnd"/>
      <w:r>
        <w:t xml:space="preserve"> </w:t>
      </w:r>
      <w:proofErr w:type="spellStart"/>
      <w:r>
        <w:t>characterises</w:t>
      </w:r>
      <w:proofErr w:type="spellEnd"/>
      <w:r>
        <w:t xml:space="preserve"> David as a theological defender of orthodox faith. At a time when some Religious Orders were in danger of losing their initial vision, in the Vita, </w:t>
      </w:r>
      <w:proofErr w:type="spellStart"/>
      <w:r>
        <w:t>Rhygyfarch</w:t>
      </w:r>
      <w:proofErr w:type="spellEnd"/>
      <w:r>
        <w:t xml:space="preserve"> </w:t>
      </w:r>
      <w:proofErr w:type="spellStart"/>
      <w:r>
        <w:t>characterised</w:t>
      </w:r>
      <w:proofErr w:type="spellEnd"/>
      <w:r>
        <w:t xml:space="preserve"> David as standing against this trend by his unique level of holiness. Any doubt that David espoused Pelagian ideas was completely dispelled at the Synod of </w:t>
      </w:r>
      <w:proofErr w:type="spellStart"/>
      <w:r>
        <w:t>Brefi</w:t>
      </w:r>
      <w:proofErr w:type="spellEnd"/>
      <w:r>
        <w:t>.</w:t>
      </w:r>
      <w:r w:rsidR="00906DF2">
        <w:t xml:space="preserve"> </w:t>
      </w:r>
      <w:r w:rsidR="00906DF2">
        <w:rPr>
          <w:rStyle w:val="FootnoteReference"/>
        </w:rPr>
        <w:footnoteReference w:id="15"/>
      </w:r>
    </w:p>
    <w:p w14:paraId="48948505" w14:textId="77777777" w:rsidR="00B6500F" w:rsidRDefault="00B6500F" w:rsidP="00A13745">
      <w:pPr>
        <w:pStyle w:val="Body"/>
        <w:spacing w:line="480" w:lineRule="auto"/>
      </w:pPr>
    </w:p>
    <w:p w14:paraId="245132B6" w14:textId="79E2DED8" w:rsidR="00A13745" w:rsidRDefault="006C2E0D" w:rsidP="00A13745">
      <w:pPr>
        <w:pStyle w:val="Body"/>
        <w:spacing w:line="480" w:lineRule="auto"/>
      </w:pPr>
      <w:r>
        <w:t>Various motifs</w:t>
      </w:r>
      <w:r w:rsidR="00A13745">
        <w:t xml:space="preserve"> appear in </w:t>
      </w:r>
      <w:proofErr w:type="spellStart"/>
      <w:r w:rsidR="00A13745">
        <w:t>Rhygyfarch’s</w:t>
      </w:r>
      <w:proofErr w:type="spellEnd"/>
      <w:r w:rsidR="00A13745">
        <w:t xml:space="preserve"> text. Water is a motif which is regularly repeated throughout the Vita, springs suddenly appearing miraculously throughout the narrative. A significant one was at David’s baptism when a stream of water appeared and used by the Bishop of Munster for the christening. Afterwards the water was used for healing of a blind man.</w:t>
      </w:r>
      <w:r w:rsidR="00A16819">
        <w:rPr>
          <w:rStyle w:val="FootnoteReference"/>
        </w:rPr>
        <w:footnoteReference w:id="16"/>
      </w:r>
      <w:r w:rsidR="001A5CC1">
        <w:t xml:space="preserve"> </w:t>
      </w:r>
      <w:r w:rsidR="00A13745">
        <w:t xml:space="preserve"> David’s ascetic lifestyle </w:t>
      </w:r>
      <w:r w:rsidR="0070313F">
        <w:t>was</w:t>
      </w:r>
      <w:r w:rsidR="00206D61">
        <w:t xml:space="preserve"> </w:t>
      </w:r>
      <w:r w:rsidR="0070313F">
        <w:t>marked</w:t>
      </w:r>
      <w:r w:rsidR="00A13745">
        <w:t xml:space="preserve">. His rigid diet of bread and water, his practice of standing up his neck in cold water to </w:t>
      </w:r>
      <w:r w:rsidR="00A13745">
        <w:lastRenderedPageBreak/>
        <w:t xml:space="preserve">pray and the strict discipline he demanded of his monks. Sexual </w:t>
      </w:r>
      <w:proofErr w:type="spellStart"/>
      <w:r w:rsidR="00A13745">
        <w:t>behaviour</w:t>
      </w:r>
      <w:proofErr w:type="spellEnd"/>
      <w:r w:rsidR="00A13745">
        <w:t xml:space="preserve"> is another recurring motif. Baia’s wife arranging lewd activities to distract David’s </w:t>
      </w:r>
      <w:r w:rsidR="002F0F9E">
        <w:t>disciples.</w:t>
      </w:r>
      <w:r w:rsidR="002C3895">
        <w:rPr>
          <w:rStyle w:val="FootnoteReference"/>
        </w:rPr>
        <w:footnoteReference w:id="17"/>
      </w:r>
      <w:r w:rsidR="00A13745">
        <w:t xml:space="preserve">  Another highly significant example is the rape of </w:t>
      </w:r>
      <w:r w:rsidR="00A13745" w:rsidRPr="00B54A7A">
        <w:rPr>
          <w:u w:val="single"/>
        </w:rPr>
        <w:t>Nonnita</w:t>
      </w:r>
      <w:r w:rsidR="00A13745">
        <w:t xml:space="preserve"> (Non) resulting in the conception of David.</w:t>
      </w:r>
      <w:r w:rsidR="00C108A2">
        <w:rPr>
          <w:rStyle w:val="FootnoteReference"/>
        </w:rPr>
        <w:footnoteReference w:id="18"/>
      </w:r>
    </w:p>
    <w:p w14:paraId="5A1331AE" w14:textId="77777777" w:rsidR="00A13745" w:rsidRDefault="00A13745" w:rsidP="00A13745">
      <w:pPr>
        <w:pStyle w:val="Body"/>
        <w:spacing w:line="480" w:lineRule="auto"/>
      </w:pPr>
    </w:p>
    <w:p w14:paraId="2D65B794" w14:textId="5D0B7E54" w:rsidR="00A13745" w:rsidRDefault="00A13745" w:rsidP="00A13745">
      <w:pPr>
        <w:pStyle w:val="Body"/>
        <w:spacing w:line="480" w:lineRule="auto"/>
      </w:pPr>
      <w:r>
        <w:t xml:space="preserve">It is through the different texts of </w:t>
      </w:r>
      <w:proofErr w:type="spellStart"/>
      <w:r>
        <w:t>Rhygyfarch’s</w:t>
      </w:r>
      <w:proofErr w:type="spellEnd"/>
      <w:r>
        <w:t xml:space="preserve"> Vita that we have access to our knowledge of St. Non according to Jane Cartwright. Non whilst being an unusual example of a raped female saint, there are others.</w:t>
      </w:r>
      <w:r w:rsidR="007668D0">
        <w:rPr>
          <w:rStyle w:val="FootnoteReference"/>
        </w:rPr>
        <w:footnoteReference w:id="19"/>
      </w:r>
      <w:r w:rsidR="007668D0">
        <w:t xml:space="preserve"> </w:t>
      </w:r>
      <w:r>
        <w:t xml:space="preserve">  Patrick Thomas claims the focus on virginity in the Vita may have been the expression of the Welsh Church to discipline the clergy on their need for celibacy in line with Norman convention</w:t>
      </w:r>
      <w:r w:rsidR="00475552">
        <w:t>.</w:t>
      </w:r>
      <w:r w:rsidR="00475552">
        <w:rPr>
          <w:rStyle w:val="FootnoteReference"/>
        </w:rPr>
        <w:footnoteReference w:id="20"/>
      </w:r>
      <w:r w:rsidR="00475552">
        <w:t xml:space="preserve"> </w:t>
      </w:r>
    </w:p>
    <w:p w14:paraId="32407AAA" w14:textId="77777777" w:rsidR="00A13745" w:rsidRDefault="00A13745" w:rsidP="00A13745">
      <w:pPr>
        <w:pStyle w:val="Body"/>
        <w:spacing w:line="480" w:lineRule="auto"/>
      </w:pPr>
    </w:p>
    <w:p w14:paraId="64507315" w14:textId="295D1578" w:rsidR="00872B0C" w:rsidRDefault="00A13745" w:rsidP="00737327">
      <w:pPr>
        <w:pStyle w:val="Body"/>
        <w:spacing w:line="480" w:lineRule="auto"/>
      </w:pPr>
      <w:r>
        <w:t xml:space="preserve">His Vita was also </w:t>
      </w:r>
      <w:proofErr w:type="spellStart"/>
      <w:r>
        <w:t>utilised</w:t>
      </w:r>
      <w:proofErr w:type="spellEnd"/>
      <w:r>
        <w:t xml:space="preserve"> to strengthen the case for the Cathedral of St. David’s to being that of having metropolitan status</w:t>
      </w:r>
      <w:r w:rsidR="005B6B2C">
        <w:t>.</w:t>
      </w:r>
      <w:r w:rsidR="005B6B2C">
        <w:rPr>
          <w:rStyle w:val="FootnoteReference"/>
        </w:rPr>
        <w:footnoteReference w:id="21"/>
      </w:r>
      <w:r>
        <w:t xml:space="preserve">  Preservation of the prestige of David and therefore the site of St. David’s together with Welsh nationalistic claims was a major focus in the eleventh and twelfth centuries. Norah Chadwick considers </w:t>
      </w:r>
      <w:proofErr w:type="spellStart"/>
      <w:r>
        <w:t>Rhygyfarch</w:t>
      </w:r>
      <w:proofErr w:type="spellEnd"/>
      <w:r>
        <w:t xml:space="preserve"> may have written his Vita in 1081 for two </w:t>
      </w:r>
      <w:r w:rsidR="00C108A2">
        <w:t>possible reasons</w:t>
      </w:r>
      <w:r>
        <w:t xml:space="preserve">; to back up the stance of his father Sulien in supporting a formal agreement between the Welsh princes or perhaps to convince William the Conqueror during his pilgrimage to the Shrine of St. David’s to </w:t>
      </w:r>
      <w:proofErr w:type="spellStart"/>
      <w:r>
        <w:t>realise</w:t>
      </w:r>
      <w:proofErr w:type="spellEnd"/>
      <w:r>
        <w:t xml:space="preserve"> the preeminent position of St. </w:t>
      </w:r>
      <w:r w:rsidR="00B6500F">
        <w:t>David’s and</w:t>
      </w:r>
      <w:r>
        <w:t xml:space="preserve"> support the Welsh </w:t>
      </w:r>
      <w:r w:rsidRPr="0063648B">
        <w:rPr>
          <w:i/>
          <w:iCs/>
        </w:rPr>
        <w:t>Church</w:t>
      </w:r>
      <w:r>
        <w:t xml:space="preserve"> against intrusion by Canterbury.</w:t>
      </w:r>
      <w:r w:rsidR="00A52508">
        <w:t xml:space="preserve"> </w:t>
      </w:r>
      <w:r>
        <w:t xml:space="preserve"> </w:t>
      </w:r>
      <w:r w:rsidR="00B6500F">
        <w:t>James, however,</w:t>
      </w:r>
      <w:r>
        <w:t xml:space="preserve"> rejects the dating of Chadwick </w:t>
      </w:r>
      <w:r w:rsidR="00A52508">
        <w:t>on</w:t>
      </w:r>
      <w:r>
        <w:t xml:space="preserve"> the grounds that at the time of </w:t>
      </w:r>
      <w:r w:rsidR="000B5518">
        <w:t>t</w:t>
      </w:r>
      <w:r>
        <w:t xml:space="preserve">he Conqueror’s visit there was very little evidence of aggression towards the Welsh Church. William’s visit did not precipitate any attack caused by the positive attitude of the diocese towards its </w:t>
      </w:r>
      <w:r w:rsidR="00750C16">
        <w:t>independence</w:t>
      </w:r>
      <w:r>
        <w:t xml:space="preserve"> from </w:t>
      </w:r>
      <w:r w:rsidR="00B6473C">
        <w:t>Canterbury.</w:t>
      </w:r>
      <w:r w:rsidR="00750C16">
        <w:rPr>
          <w:rStyle w:val="FootnoteReference"/>
        </w:rPr>
        <w:footnoteReference w:id="22"/>
      </w:r>
      <w:r w:rsidR="00B6473C">
        <w:t xml:space="preserve"> </w:t>
      </w:r>
    </w:p>
    <w:p w14:paraId="2AC905F9" w14:textId="77777777" w:rsidR="004C249D" w:rsidRDefault="004C249D" w:rsidP="00A13745">
      <w:pPr>
        <w:pStyle w:val="Body"/>
        <w:spacing w:line="480" w:lineRule="auto"/>
      </w:pPr>
    </w:p>
    <w:p w14:paraId="6EAE93B0" w14:textId="00C1C53F" w:rsidR="00A13745" w:rsidRDefault="00A13745" w:rsidP="00A13745">
      <w:pPr>
        <w:pStyle w:val="Body"/>
        <w:spacing w:line="480" w:lineRule="auto"/>
      </w:pPr>
      <w:r>
        <w:t xml:space="preserve">Another argument of James is that the suspension of Wilfred bishop of St. David’s by Anselm Archbishop of Canterbury for supporting the Welsh in their warfare against the Normans in 1093, stimulated the inclusion of the visit of David to Jerusalem with its story of his </w:t>
      </w:r>
      <w:proofErr w:type="spellStart"/>
      <w:r>
        <w:t>Primational</w:t>
      </w:r>
      <w:proofErr w:type="spellEnd"/>
      <w:r>
        <w:t xml:space="preserve"> elevation. </w:t>
      </w:r>
      <w:r>
        <w:lastRenderedPageBreak/>
        <w:t>This section</w:t>
      </w:r>
      <w:r w:rsidR="00581784">
        <w:t>,</w:t>
      </w:r>
      <w:r>
        <w:t xml:space="preserve"> James argues</w:t>
      </w:r>
      <w:r w:rsidR="00581784">
        <w:t>,</w:t>
      </w:r>
      <w:r>
        <w:t xml:space="preserve"> fits better chronologically with 1093-95 rather than the earlier date of 1081 claimed by Chadwick.  A reaction to a now lost Vita for Cadog by Lifris, David’s main rival in South Wales as a candidate for primary status, may have proved yet another incentive for </w:t>
      </w:r>
      <w:proofErr w:type="spellStart"/>
      <w:r>
        <w:t>Rhygyfarch</w:t>
      </w:r>
      <w:proofErr w:type="spellEnd"/>
      <w:r>
        <w:t xml:space="preserve"> writing his Vita which in any event demonstrates that </w:t>
      </w:r>
      <w:r w:rsidR="00A52508">
        <w:t>St. Davids</w:t>
      </w:r>
      <w:r>
        <w:t xml:space="preserve"> was a place of great prestige.</w:t>
      </w:r>
      <w:r w:rsidR="009E4F76">
        <w:rPr>
          <w:rStyle w:val="FootnoteReference"/>
        </w:rPr>
        <w:footnoteReference w:id="23"/>
      </w:r>
      <w:r w:rsidR="009E4F76">
        <w:t xml:space="preserve"> </w:t>
      </w:r>
      <w:r>
        <w:t xml:space="preserve">      </w:t>
      </w:r>
    </w:p>
    <w:p w14:paraId="3A64AF2A" w14:textId="77777777" w:rsidR="00A13745" w:rsidRDefault="00A13745" w:rsidP="00A13745">
      <w:pPr>
        <w:pStyle w:val="Body"/>
        <w:spacing w:line="480" w:lineRule="auto"/>
      </w:pPr>
    </w:p>
    <w:p w14:paraId="43A0AB36" w14:textId="4BE52045" w:rsidR="00A13745" w:rsidRDefault="00A13745" w:rsidP="00A13745">
      <w:pPr>
        <w:pStyle w:val="Body"/>
        <w:spacing w:line="480" w:lineRule="auto"/>
      </w:pPr>
      <w:bookmarkStart w:id="0" w:name="It"/>
      <w:r>
        <w:t>It</w:t>
      </w:r>
      <w:bookmarkEnd w:id="0"/>
      <w:r>
        <w:t xml:space="preserve"> is a consensus amongst historians that the Vita reflects the reaction to the aggressive attitude of the Normans towards the independence of the Welsh Church and the See of St. David’s especially.  Sulien the father of </w:t>
      </w:r>
      <w:proofErr w:type="spellStart"/>
      <w:r>
        <w:t>Rhygyfarch</w:t>
      </w:r>
      <w:proofErr w:type="spellEnd"/>
      <w:r>
        <w:t xml:space="preserve"> was, according to Wendy Davies, obsessed with the claim of St. David’s. The Vita was apparently written to </w:t>
      </w:r>
      <w:proofErr w:type="spellStart"/>
      <w:r>
        <w:t>recognise</w:t>
      </w:r>
      <w:proofErr w:type="spellEnd"/>
      <w:r>
        <w:t xml:space="preserve"> David as an Archbishop and that his role as Primate of the Welsh Church being settled in the diocese founded by him. </w:t>
      </w:r>
      <w:r w:rsidR="003E464C">
        <w:t xml:space="preserve"> </w:t>
      </w:r>
      <w:r>
        <w:t>He was shown in the Vita as being consecrated in Jerusalem as Archbishop by its Patriarch and on another occasion by the British Episcopate, Sovereigns and nobility so ensuring both a Catholic and National affirmation.</w:t>
      </w:r>
      <w:r w:rsidR="00314D18">
        <w:rPr>
          <w:rStyle w:val="FootnoteReference"/>
        </w:rPr>
        <w:footnoteReference w:id="24"/>
      </w:r>
      <w:r w:rsidR="00FC4875">
        <w:t xml:space="preserve">  </w:t>
      </w:r>
      <w:r>
        <w:t xml:space="preserve"> Reference to David’s fight against the Pelagian heresy is </w:t>
      </w:r>
      <w:r w:rsidR="009C1A80">
        <w:t>made clear</w:t>
      </w:r>
      <w:r>
        <w:t xml:space="preserve"> in Chapter 49.</w:t>
      </w:r>
      <w:r w:rsidR="006F62D8">
        <w:rPr>
          <w:rStyle w:val="FootnoteReference"/>
        </w:rPr>
        <w:footnoteReference w:id="25"/>
      </w:r>
    </w:p>
    <w:p w14:paraId="05D4FF00" w14:textId="77777777" w:rsidR="00A13745" w:rsidRDefault="00A13745" w:rsidP="00A13745">
      <w:pPr>
        <w:pStyle w:val="Body"/>
        <w:spacing w:line="480" w:lineRule="auto"/>
      </w:pPr>
    </w:p>
    <w:p w14:paraId="5747684F" w14:textId="50832B15" w:rsidR="00A13745" w:rsidRDefault="00A13745" w:rsidP="00A13745">
      <w:pPr>
        <w:pStyle w:val="Body"/>
        <w:spacing w:line="480" w:lineRule="auto"/>
      </w:pPr>
      <w:r>
        <w:t xml:space="preserve">Richard Sharpe and John R. Davies assess the textual challenges involved in the different recensions of the Vita. One is the longer Vespasian recension. Another is the shorter Nero-Digby recension. They both reject James’s popularly accepted view that the Nero-Digby should predominate over the Vespasian revision. </w:t>
      </w:r>
      <w:proofErr w:type="gramStart"/>
      <w:r>
        <w:t>In particular Sharpe’s</w:t>
      </w:r>
      <w:proofErr w:type="gramEnd"/>
      <w:r>
        <w:t xml:space="preserve"> view is that it should be seen not so much as an original text interpreted by later commentators but as a simplified less verbose recension and therefore more accessible to the wider constituency than the local community.  This had </w:t>
      </w:r>
      <w:proofErr w:type="gramStart"/>
      <w:r>
        <w:t>particular relevance</w:t>
      </w:r>
      <w:proofErr w:type="gramEnd"/>
      <w:r>
        <w:t xml:space="preserve"> for the attempts of Bishop Bernard’s campaign to promote St. David’s diocese to Metropolitan status.</w:t>
      </w:r>
      <w:r w:rsidR="00953161">
        <w:rPr>
          <w:rStyle w:val="FootnoteReference"/>
        </w:rPr>
        <w:footnoteReference w:id="26"/>
      </w:r>
      <w:r>
        <w:t xml:space="preserve">   </w:t>
      </w:r>
    </w:p>
    <w:p w14:paraId="69797936" w14:textId="77777777" w:rsidR="00A13745" w:rsidRDefault="00A13745" w:rsidP="00A13745">
      <w:pPr>
        <w:pStyle w:val="Body"/>
        <w:spacing w:line="480" w:lineRule="auto"/>
      </w:pPr>
    </w:p>
    <w:p w14:paraId="742BF6A3" w14:textId="5840B3F1" w:rsidR="00A13745" w:rsidRDefault="00A13745" w:rsidP="00A13745">
      <w:pPr>
        <w:pStyle w:val="Body"/>
        <w:spacing w:line="480" w:lineRule="auto"/>
      </w:pPr>
      <w:r>
        <w:lastRenderedPageBreak/>
        <w:t>In the preface to his book ‘</w:t>
      </w:r>
      <w:proofErr w:type="spellStart"/>
      <w:r>
        <w:t>Rh</w:t>
      </w:r>
      <w:r w:rsidR="00007792">
        <w:t>I</w:t>
      </w:r>
      <w:r>
        <w:t>gyfarch’s</w:t>
      </w:r>
      <w:proofErr w:type="spellEnd"/>
      <w:r>
        <w:t xml:space="preserve"> Life of St David’ James claims the earliest texts of </w:t>
      </w:r>
      <w:proofErr w:type="spellStart"/>
      <w:r>
        <w:t>Rhygyfarch</w:t>
      </w:r>
      <w:proofErr w:type="spellEnd"/>
      <w:r>
        <w:t xml:space="preserve"> stem from approximately 1150.  James also asserts that </w:t>
      </w:r>
      <w:proofErr w:type="spellStart"/>
      <w:r>
        <w:t>Rhygyfarch’s</w:t>
      </w:r>
      <w:proofErr w:type="spellEnd"/>
      <w:r>
        <w:t xml:space="preserve"> Vita </w:t>
      </w:r>
      <w:proofErr w:type="gramStart"/>
      <w:r>
        <w:t>contained in</w:t>
      </w:r>
      <w:proofErr w:type="gramEnd"/>
      <w:r>
        <w:t xml:space="preserve"> </w:t>
      </w:r>
      <w:proofErr w:type="gramStart"/>
      <w:r>
        <w:t>twenty five</w:t>
      </w:r>
      <w:proofErr w:type="gramEnd"/>
      <w:r>
        <w:t xml:space="preserve"> Manuscripts and four printed texts including Wharton’s copy of 1691 and can be arranged into groups of five recensions.  The </w:t>
      </w:r>
      <w:proofErr w:type="spellStart"/>
      <w:r>
        <w:t>realisation</w:t>
      </w:r>
      <w:proofErr w:type="spellEnd"/>
      <w:r>
        <w:t xml:space="preserve"> by Bernard, the earliest Norman Bishop of St. David’s, of the importance of two copies of the Vita intensified his ambition for the enhancement of the See of St.</w:t>
      </w:r>
      <w:r w:rsidR="00007792">
        <w:t xml:space="preserve"> </w:t>
      </w:r>
      <w:r>
        <w:t xml:space="preserve">David’s and the claim for David to be created Patron Saint of Wales. To that end he created </w:t>
      </w:r>
      <w:proofErr w:type="spellStart"/>
      <w:r>
        <w:t>Rhygyfarch’s</w:t>
      </w:r>
      <w:proofErr w:type="spellEnd"/>
      <w:r>
        <w:t xml:space="preserve"> two brothers Ieuan and Daniel to archidiaconal status in his diocese, John as Archdeacon of Cardigan and Ieuan as Archdeacon of Powys. Possibly these promotions were also Bernard’s reaction to the demotion of the </w:t>
      </w:r>
      <w:proofErr w:type="spellStart"/>
      <w:r>
        <w:t>Llanbadarn</w:t>
      </w:r>
      <w:proofErr w:type="spellEnd"/>
      <w:r>
        <w:t xml:space="preserve"> </w:t>
      </w:r>
      <w:proofErr w:type="spellStart"/>
      <w:r>
        <w:t>Clas</w:t>
      </w:r>
      <w:proofErr w:type="spellEnd"/>
      <w:r>
        <w:t xml:space="preserve"> when in 1116 it was handed over to Gloucester Abbey as a cell. To further enhance his ambitions, Bernard may have made alterations to the text though there is only internal evidence to support this theory.    </w:t>
      </w:r>
    </w:p>
    <w:p w14:paraId="55A1CC3E" w14:textId="77777777" w:rsidR="00A13745" w:rsidRDefault="00A13745" w:rsidP="00A13745">
      <w:pPr>
        <w:pStyle w:val="Body"/>
        <w:spacing w:line="480" w:lineRule="auto"/>
      </w:pPr>
    </w:p>
    <w:p w14:paraId="3B253845" w14:textId="7B7D103F" w:rsidR="00A13745" w:rsidRDefault="00A13745" w:rsidP="00A13745">
      <w:pPr>
        <w:pStyle w:val="Body"/>
        <w:spacing w:line="480" w:lineRule="auto"/>
      </w:pPr>
      <w:proofErr w:type="spellStart"/>
      <w:r>
        <w:t>Rhygyfarch’s</w:t>
      </w:r>
      <w:proofErr w:type="spellEnd"/>
      <w:r>
        <w:t xml:space="preserve"> </w:t>
      </w:r>
      <w:proofErr w:type="spellStart"/>
      <w:r>
        <w:t>self disclosure</w:t>
      </w:r>
      <w:proofErr w:type="spellEnd"/>
      <w:r>
        <w:t xml:space="preserve"> of the authorship of The Vita which appears in two versions at varying times according to Sharpe is acknowledged as representing most accurately the work of </w:t>
      </w:r>
      <w:proofErr w:type="spellStart"/>
      <w:r>
        <w:t>Rhygyfarch</w:t>
      </w:r>
      <w:proofErr w:type="spellEnd"/>
      <w:r>
        <w:t xml:space="preserve">. These two versions were later the focus of </w:t>
      </w:r>
      <w:proofErr w:type="gramStart"/>
      <w:r>
        <w:t>much</w:t>
      </w:r>
      <w:proofErr w:type="gramEnd"/>
      <w:r>
        <w:t xml:space="preserve"> academic arguments especially between James and Wade-Evans. The shorter version, from the twelfth century, was a universally accessible transcript. Later in 1516 an abridged copy was printed with other editions of the whole or part of his work appearing in 1645, 1668 and 1691. This last edition with Henry Wharton as its edito</w:t>
      </w:r>
      <w:r w:rsidR="005C3347">
        <w:t>r</w:t>
      </w:r>
      <w:r>
        <w:t xml:space="preserve">, was the first to draw on the longer text being conserved at Brecon priory which by the </w:t>
      </w:r>
      <w:r w:rsidR="00007792">
        <w:t>Seventeenth</w:t>
      </w:r>
      <w:r>
        <w:t xml:space="preserve"> century also held with other documents collected by Sir Robert Cotton it gained its name ‘Vespasian’ through it being housed in Cotton’s library under the bust of the Roman Emperor Vespasian.</w:t>
      </w:r>
      <w:r w:rsidR="00723C4C">
        <w:rPr>
          <w:rStyle w:val="FootnoteReference"/>
        </w:rPr>
        <w:footnoteReference w:id="27"/>
      </w:r>
      <w:r>
        <w:t xml:space="preserve"> </w:t>
      </w:r>
    </w:p>
    <w:p w14:paraId="1DEC8F6D" w14:textId="73762366" w:rsidR="00A13745" w:rsidRDefault="00953161" w:rsidP="00A13745">
      <w:pPr>
        <w:pStyle w:val="Body"/>
        <w:spacing w:line="480" w:lineRule="auto"/>
      </w:pPr>
      <w:r>
        <w:t xml:space="preserve"> </w:t>
      </w:r>
    </w:p>
    <w:p w14:paraId="174712B4" w14:textId="340BBBD6" w:rsidR="00A13745" w:rsidRDefault="00A13745" w:rsidP="00A13745">
      <w:pPr>
        <w:pStyle w:val="Body"/>
        <w:spacing w:line="480" w:lineRule="auto"/>
      </w:pPr>
      <w:r>
        <w:t xml:space="preserve">In another of Cotton’s collection, Wharton </w:t>
      </w:r>
      <w:proofErr w:type="spellStart"/>
      <w:r>
        <w:t>utilised</w:t>
      </w:r>
      <w:proofErr w:type="spellEnd"/>
      <w:r>
        <w:t xml:space="preserve"> Vitellius </w:t>
      </w:r>
      <w:proofErr w:type="spellStart"/>
      <w:r>
        <w:t>E.vii</w:t>
      </w:r>
      <w:proofErr w:type="spellEnd"/>
      <w:r>
        <w:t xml:space="preserve">. This was another copy of the Vita by the reviser Gerald of Wales at the end of the twelfth century. Wharton, upon discovering the Vespasian text was more comprehensive, printed parts of it, to add to the version of Gerald. It was not before 1853 that the full Vespasian text was printed by William Jenkins Rees.  This long </w:t>
      </w:r>
      <w:r>
        <w:lastRenderedPageBreak/>
        <w:t xml:space="preserve">version was re-edited </w:t>
      </w:r>
      <w:r w:rsidR="00007792">
        <w:t>by Wade</w:t>
      </w:r>
      <w:r>
        <w:t>-</w:t>
      </w:r>
      <w:proofErr w:type="gramStart"/>
      <w:r>
        <w:t>Evans</w:t>
      </w:r>
      <w:r w:rsidR="005C3347">
        <w:t>,</w:t>
      </w:r>
      <w:r>
        <w:t xml:space="preserve">  He</w:t>
      </w:r>
      <w:proofErr w:type="gramEnd"/>
      <w:r>
        <w:t xml:space="preserve"> added an English version in addition to his Latin copy. The Society for Promoting Christian Knowledge reprinted the English text in 1923. The Latin was reprinted and included with Vitae of other Saints of Wales from the Vespasian text amongst others in the book of Wade-Evans Vitae </w:t>
      </w:r>
      <w:proofErr w:type="spellStart"/>
      <w:r w:rsidR="00007792">
        <w:t>S</w:t>
      </w:r>
      <w:r>
        <w:t>anctorium</w:t>
      </w:r>
      <w:proofErr w:type="spellEnd"/>
      <w:r>
        <w:t xml:space="preserve"> Britanniae et </w:t>
      </w:r>
      <w:proofErr w:type="spellStart"/>
      <w:r w:rsidR="00007792">
        <w:t>G</w:t>
      </w:r>
      <w:r>
        <w:t>enealogiae</w:t>
      </w:r>
      <w:proofErr w:type="spellEnd"/>
      <w:r>
        <w:t xml:space="preserve"> 1944.  It was not until James, Chancellor of Bangor Cathedral (1940-64) brought out his new text that the earlier ones were superseded. James helpfully enumerates the versions of </w:t>
      </w:r>
      <w:proofErr w:type="spellStart"/>
      <w:r>
        <w:t>Rhygyfarch’s</w:t>
      </w:r>
      <w:proofErr w:type="spellEnd"/>
      <w:r>
        <w:t xml:space="preserve"> Vita together with their recensions and where they are deposited.</w:t>
      </w:r>
      <w:r w:rsidR="00601D0C">
        <w:rPr>
          <w:rStyle w:val="FootnoteReference"/>
        </w:rPr>
        <w:footnoteReference w:id="28"/>
      </w:r>
      <w:r>
        <w:t xml:space="preserve"> </w:t>
      </w:r>
    </w:p>
    <w:p w14:paraId="1CA54F85" w14:textId="77777777" w:rsidR="00A13745" w:rsidRDefault="00A13745" w:rsidP="00A13745">
      <w:pPr>
        <w:pStyle w:val="Body"/>
        <w:spacing w:line="480" w:lineRule="auto"/>
      </w:pPr>
    </w:p>
    <w:p w14:paraId="0CE869C7" w14:textId="53A1B00B" w:rsidR="00A13745" w:rsidRDefault="00A13745" w:rsidP="00A13745">
      <w:pPr>
        <w:pStyle w:val="Body"/>
        <w:spacing w:line="480" w:lineRule="auto"/>
      </w:pPr>
      <w:r>
        <w:t xml:space="preserve">Sharpe notes that James’ vast academic work had gained him knowledge of </w:t>
      </w:r>
      <w:proofErr w:type="gramStart"/>
      <w:r>
        <w:t>twenty five</w:t>
      </w:r>
      <w:proofErr w:type="gramEnd"/>
      <w:r>
        <w:t xml:space="preserve"> Latin texts and ten Welsh manuscripts.</w:t>
      </w:r>
      <w:r w:rsidR="00D121CE">
        <w:t xml:space="preserve"> </w:t>
      </w:r>
      <w:r>
        <w:t xml:space="preserve"> His supposition was that his new version was superior </w:t>
      </w:r>
      <w:proofErr w:type="gramStart"/>
      <w:r>
        <w:t>than</w:t>
      </w:r>
      <w:proofErr w:type="gramEnd"/>
      <w:r>
        <w:t xml:space="preserve"> the earlier ones on the argument that the Vespasian text was a recension of the Vita about 1200 and adding some </w:t>
      </w:r>
      <w:r w:rsidR="00007792">
        <w:t>alterations made</w:t>
      </w:r>
      <w:r>
        <w:t xml:space="preserve"> earlier in about 1190. The mixture of the two sets of manuscripts were claimed by James to be the fundamental twelve century Latin text and therefore the fresh text for Bishop Bernard whose episcopate was at St. David’s 1115 to 1145.</w:t>
      </w:r>
      <w:r w:rsidR="0005630E">
        <w:rPr>
          <w:rStyle w:val="FootnoteReference"/>
        </w:rPr>
        <w:footnoteReference w:id="29"/>
      </w:r>
      <w:r>
        <w:t xml:space="preserve">        </w:t>
      </w:r>
    </w:p>
    <w:p w14:paraId="4B2E9D35" w14:textId="77777777" w:rsidR="00A13745" w:rsidRDefault="00A13745" w:rsidP="00A13745">
      <w:pPr>
        <w:pStyle w:val="Body"/>
        <w:spacing w:line="480" w:lineRule="auto"/>
      </w:pPr>
    </w:p>
    <w:p w14:paraId="5651D0A5" w14:textId="4225F2F4" w:rsidR="00A13745" w:rsidRDefault="00A13745" w:rsidP="00A13745">
      <w:pPr>
        <w:pStyle w:val="Body"/>
        <w:spacing w:line="480" w:lineRule="auto"/>
      </w:pPr>
      <w:r>
        <w:t xml:space="preserve">The ambiguity of James about how his text was unlike that of </w:t>
      </w:r>
      <w:proofErr w:type="spellStart"/>
      <w:r>
        <w:t>Rhygyfarch’s</w:t>
      </w:r>
      <w:proofErr w:type="spellEnd"/>
      <w:r>
        <w:t xml:space="preserve"> caused great negativity from the established academic order.  Sharpe’s counter argument </w:t>
      </w:r>
      <w:r w:rsidR="00D121CE">
        <w:t>was that</w:t>
      </w:r>
      <w:r>
        <w:t xml:space="preserve"> James was wrong in demoting the Vespasian text since for Sharpe, </w:t>
      </w:r>
      <w:proofErr w:type="gramStart"/>
      <w:r>
        <w:t>it  approximated</w:t>
      </w:r>
      <w:proofErr w:type="gramEnd"/>
      <w:r>
        <w:t xml:space="preserve"> very closely to </w:t>
      </w:r>
      <w:proofErr w:type="spellStart"/>
      <w:r>
        <w:t>Rhygyfarch’s</w:t>
      </w:r>
      <w:proofErr w:type="spellEnd"/>
      <w:r>
        <w:t xml:space="preserve"> text.</w:t>
      </w:r>
      <w:r w:rsidR="00E24DCB">
        <w:rPr>
          <w:rStyle w:val="FootnoteReference"/>
        </w:rPr>
        <w:footnoteReference w:id="30"/>
      </w:r>
      <w:r w:rsidR="003374D9">
        <w:t xml:space="preserve">  </w:t>
      </w:r>
      <w:r>
        <w:t xml:space="preserve"> Indeed even James admitted the presence of the Vespasian Manuscript in the British Museum had resulted in it making the greatest impression of all the texts of </w:t>
      </w:r>
      <w:proofErr w:type="spellStart"/>
      <w:r>
        <w:t>Rhygyfarch’s</w:t>
      </w:r>
      <w:proofErr w:type="spellEnd"/>
      <w:r>
        <w:t xml:space="preserve"> Vita. The support of Baring-Gould and Fisher in 1913 helped to hail Vespasian as the best text. James had his supporters who respected his academic work and after various punctuations his </w:t>
      </w:r>
      <w:proofErr w:type="spellStart"/>
      <w:r>
        <w:t>endeavours</w:t>
      </w:r>
      <w:proofErr w:type="spellEnd"/>
      <w:r>
        <w:t xml:space="preserve"> </w:t>
      </w:r>
      <w:proofErr w:type="gramStart"/>
      <w:r>
        <w:t>where</w:t>
      </w:r>
      <w:proofErr w:type="gramEnd"/>
      <w:r>
        <w:t xml:space="preserve"> brought to a climax by an invitation in 1959 by Bishop John Richards for James to deliver a lecture on the Patron Saint. By that time James was familiar with </w:t>
      </w:r>
      <w:proofErr w:type="gramStart"/>
      <w:r>
        <w:t>twenty five</w:t>
      </w:r>
      <w:proofErr w:type="gramEnd"/>
      <w:r>
        <w:t xml:space="preserve"> Latin texts.</w:t>
      </w:r>
      <w:r w:rsidR="00D510C6">
        <w:rPr>
          <w:rStyle w:val="FootnoteReference"/>
        </w:rPr>
        <w:footnoteReference w:id="31"/>
      </w:r>
      <w:r>
        <w:t xml:space="preserve">  </w:t>
      </w:r>
    </w:p>
    <w:p w14:paraId="1BBE3458" w14:textId="77777777" w:rsidR="00A13745" w:rsidRDefault="00A13745" w:rsidP="00A13745">
      <w:pPr>
        <w:pStyle w:val="Body"/>
        <w:spacing w:line="480" w:lineRule="auto"/>
      </w:pPr>
    </w:p>
    <w:p w14:paraId="6AEAC4BF" w14:textId="56A4BA3F" w:rsidR="00A13745" w:rsidRDefault="00A13745" w:rsidP="00A13745">
      <w:pPr>
        <w:pStyle w:val="Body"/>
        <w:spacing w:line="480" w:lineRule="auto"/>
      </w:pPr>
      <w:proofErr w:type="gramStart"/>
      <w:r>
        <w:lastRenderedPageBreak/>
        <w:t>Much</w:t>
      </w:r>
      <w:proofErr w:type="gramEnd"/>
      <w:r>
        <w:t xml:space="preserve"> complicated and detailed academic arguments in recent times as to the authentic version of </w:t>
      </w:r>
      <w:proofErr w:type="spellStart"/>
      <w:r>
        <w:t>Rhygyfarch’s</w:t>
      </w:r>
      <w:proofErr w:type="spellEnd"/>
      <w:r>
        <w:t xml:space="preserve"> Vita have been expounded. Sharpe’s assessment is that </w:t>
      </w:r>
      <w:proofErr w:type="gramStart"/>
      <w:r>
        <w:t>in spite of</w:t>
      </w:r>
      <w:proofErr w:type="gramEnd"/>
      <w:r>
        <w:t xml:space="preserve"> his acknowledgement of James’ academic reputation and his editing a twelfth century version of text which had proved popular in England and Normandy, he maintained that the arguments used by James in failing to acknowledge the Vespasian text as the principal manuscript are without foundation. Sharpe’s encouragement to those who would study </w:t>
      </w:r>
      <w:proofErr w:type="spellStart"/>
      <w:r>
        <w:t>Rhygyfarch’s</w:t>
      </w:r>
      <w:proofErr w:type="spellEnd"/>
      <w:r>
        <w:t xml:space="preserve"> work is to use the Vespasian text.</w:t>
      </w:r>
      <w:r w:rsidR="006955A0">
        <w:rPr>
          <w:rStyle w:val="FootnoteReference"/>
        </w:rPr>
        <w:footnoteReference w:id="32"/>
      </w:r>
      <w:r w:rsidR="00CE5E08">
        <w:t xml:space="preserve"> </w:t>
      </w:r>
    </w:p>
    <w:p w14:paraId="4B8AB6BE" w14:textId="77777777" w:rsidR="00A13745" w:rsidRDefault="00A13745" w:rsidP="00A13745">
      <w:pPr>
        <w:pStyle w:val="Body"/>
        <w:spacing w:line="480" w:lineRule="auto"/>
      </w:pPr>
    </w:p>
    <w:p w14:paraId="23916B78" w14:textId="507C12A2" w:rsidR="00A13745" w:rsidRDefault="00A13745" w:rsidP="00A13745">
      <w:pPr>
        <w:pStyle w:val="Body"/>
        <w:spacing w:line="480" w:lineRule="auto"/>
      </w:pPr>
      <w:proofErr w:type="spellStart"/>
      <w:r>
        <w:t>Rhygyfarch’s</w:t>
      </w:r>
      <w:proofErr w:type="spellEnd"/>
      <w:r>
        <w:t xml:space="preserve"> great patriotism exemplified by his ‘Lament</w:t>
      </w:r>
      <w:r w:rsidR="001B3E02">
        <w:t>’ which</w:t>
      </w:r>
      <w:r>
        <w:t xml:space="preserve"> expresses the sufferings of the Welsh through the Norman incursions into Pembrokeshire reflects the great stress experienced by the Welsh through the advance into their territory by the Normans. This must have </w:t>
      </w:r>
      <w:proofErr w:type="spellStart"/>
      <w:r>
        <w:t>galvanised</w:t>
      </w:r>
      <w:proofErr w:type="spellEnd"/>
      <w:r>
        <w:t xml:space="preserve"> his determination to restore the </w:t>
      </w:r>
      <w:proofErr w:type="spellStart"/>
      <w:r>
        <w:t>honour</w:t>
      </w:r>
      <w:proofErr w:type="spellEnd"/>
      <w:r>
        <w:t xml:space="preserve"> and dignity of his beloved church at St. David’s and the preservation of the independence of the Welsh church and Nation. Sian Victory reminds us that in chapter 6 </w:t>
      </w:r>
      <w:proofErr w:type="spellStart"/>
      <w:r>
        <w:t>Rhygyfarch</w:t>
      </w:r>
      <w:proofErr w:type="spellEnd"/>
      <w:r>
        <w:t xml:space="preserve"> states that he had assembled evidence of David’s Life to glorify the Father and to set an example to others.</w:t>
      </w:r>
      <w:r w:rsidR="00C1506D">
        <w:rPr>
          <w:rStyle w:val="FootnoteReference"/>
        </w:rPr>
        <w:footnoteReference w:id="33"/>
      </w:r>
      <w:r w:rsidR="007006F0">
        <w:t xml:space="preserve"> </w:t>
      </w:r>
      <w:r>
        <w:t xml:space="preserve"> He is portrayed as the supreme candidate for Sainthood because of his ‘other Christ’ holiness combined with his firm monastic discipline and example of an ascetic life. All these characteristics make him a fearless leader, suitable Bishop of St. David’s and Primate of Wales. This was accomplished between 1119 and 1124 when the Pope in a unique event </w:t>
      </w:r>
      <w:proofErr w:type="spellStart"/>
      <w:r>
        <w:t>canonised</w:t>
      </w:r>
      <w:proofErr w:type="spellEnd"/>
      <w:r>
        <w:t xml:space="preserve"> him.    </w:t>
      </w:r>
    </w:p>
    <w:p w14:paraId="1CD4A945" w14:textId="77777777" w:rsidR="00A13745" w:rsidRDefault="00A13745" w:rsidP="00A13745">
      <w:pPr>
        <w:pStyle w:val="Body"/>
        <w:spacing w:line="480" w:lineRule="auto"/>
      </w:pPr>
    </w:p>
    <w:p w14:paraId="135DCB8F" w14:textId="430F7D1F" w:rsidR="00A13745" w:rsidRPr="008426FD" w:rsidRDefault="00A13745" w:rsidP="00A13745">
      <w:pPr>
        <w:pStyle w:val="Body"/>
        <w:spacing w:line="480" w:lineRule="auto"/>
      </w:pPr>
      <w:proofErr w:type="spellStart"/>
      <w:r>
        <w:t>Rhygyfarch’s</w:t>
      </w:r>
      <w:proofErr w:type="spellEnd"/>
      <w:r>
        <w:t xml:space="preserve"> impressive Vita Da</w:t>
      </w:r>
      <w:r w:rsidR="00D07D46">
        <w:t>v</w:t>
      </w:r>
      <w:r>
        <w:t>idis is the icon of these aspirati</w:t>
      </w:r>
      <w:r w:rsidR="00D07D46">
        <w:t>ons.</w:t>
      </w:r>
    </w:p>
    <w:sdt>
      <w:sdtPr>
        <w:rPr>
          <w:rFonts w:ascii="Times New Roman" w:eastAsia="Arial Unicode MS" w:hAnsi="Times New Roman" w:cs="Times New Roman"/>
          <w:color w:val="auto"/>
          <w:kern w:val="0"/>
          <w:sz w:val="24"/>
          <w:szCs w:val="24"/>
          <w:bdr w:val="nil"/>
          <w:lang w:val="en-US"/>
          <w14:ligatures w14:val="none"/>
        </w:rPr>
        <w:id w:val="-304083082"/>
        <w:docPartObj>
          <w:docPartGallery w:val="Bibliographies"/>
          <w:docPartUnique/>
        </w:docPartObj>
      </w:sdtPr>
      <w:sdtEndPr/>
      <w:sdtContent>
        <w:p w14:paraId="5441D455" w14:textId="77777777" w:rsidR="002E55DB" w:rsidRDefault="008426FD">
          <w:pPr>
            <w:pStyle w:val="Heading1"/>
          </w:pPr>
          <w:r>
            <w:t>Bibliography</w:t>
          </w:r>
        </w:p>
        <w:p w14:paraId="2B332296" w14:textId="77777777" w:rsidR="005C26C2" w:rsidRDefault="002E55DB" w:rsidP="005C26C2">
          <w:pPr>
            <w:pStyle w:val="Bibliography"/>
            <w:ind w:left="720" w:hanging="720"/>
            <w:rPr>
              <w:noProof/>
            </w:rPr>
          </w:pPr>
          <w:r>
            <w:fldChar w:fldCharType="begin"/>
          </w:r>
          <w:r>
            <w:instrText xml:space="preserve"> BIBLIOGRAPHY  \l 2057 </w:instrText>
          </w:r>
          <w:r>
            <w:fldChar w:fldCharType="separate"/>
          </w:r>
          <w:r w:rsidR="005C26C2">
            <w:rPr>
              <w:noProof/>
            </w:rPr>
            <w:t>Betts, Clive. 2002 !st March. Newspaper Article, Western Mail.</w:t>
          </w:r>
        </w:p>
        <w:p w14:paraId="63C2ADA8" w14:textId="77777777" w:rsidR="005C26C2" w:rsidRDefault="005C26C2" w:rsidP="005C26C2">
          <w:pPr>
            <w:pStyle w:val="Bibliography"/>
            <w:ind w:left="720" w:hanging="720"/>
            <w:rPr>
              <w:noProof/>
            </w:rPr>
          </w:pPr>
          <w:r>
            <w:rPr>
              <w:noProof/>
            </w:rPr>
            <w:t xml:space="preserve">Boardman, Stephen, John Reuben, and Eila Williamson. 2009. </w:t>
          </w:r>
          <w:r>
            <w:rPr>
              <w:i/>
              <w:iCs/>
              <w:noProof/>
            </w:rPr>
            <w:t>Saints' Cults in the Celtic World.</w:t>
          </w:r>
          <w:r>
            <w:rPr>
              <w:noProof/>
            </w:rPr>
            <w:t xml:space="preserve"> Woodbridge: Boydell Press.</w:t>
          </w:r>
        </w:p>
        <w:p w14:paraId="3E8CE5B7" w14:textId="77777777" w:rsidR="005C26C2" w:rsidRDefault="005C26C2" w:rsidP="005C26C2">
          <w:pPr>
            <w:pStyle w:val="Bibliography"/>
            <w:ind w:left="720" w:hanging="720"/>
            <w:rPr>
              <w:noProof/>
            </w:rPr>
          </w:pPr>
          <w:r>
            <w:rPr>
              <w:noProof/>
            </w:rPr>
            <w:t xml:space="preserve">Bowen, E G. 1956. </w:t>
          </w:r>
          <w:r>
            <w:rPr>
              <w:i/>
              <w:iCs/>
              <w:noProof/>
            </w:rPr>
            <w:t>The Settlement of the Celtic Saints in Wales.</w:t>
          </w:r>
          <w:r>
            <w:rPr>
              <w:noProof/>
            </w:rPr>
            <w:t xml:space="preserve"> Cardiff: Unierssity of Wales Press.</w:t>
          </w:r>
        </w:p>
        <w:p w14:paraId="3E557599" w14:textId="77777777" w:rsidR="005C26C2" w:rsidRDefault="005C26C2" w:rsidP="005C26C2">
          <w:pPr>
            <w:pStyle w:val="Bibliography"/>
            <w:ind w:left="720" w:hanging="720"/>
            <w:rPr>
              <w:noProof/>
            </w:rPr>
          </w:pPr>
          <w:r>
            <w:rPr>
              <w:noProof/>
            </w:rPr>
            <w:t xml:space="preserve">Bowie, Fiona; Davies, Oliver. 1995. </w:t>
          </w:r>
          <w:r>
            <w:rPr>
              <w:i/>
              <w:iCs/>
              <w:noProof/>
            </w:rPr>
            <w:t>Celtic Christian Spirituality: Medieval and Modern.</w:t>
          </w:r>
          <w:r>
            <w:rPr>
              <w:noProof/>
            </w:rPr>
            <w:t xml:space="preserve"> London: SPCK.</w:t>
          </w:r>
        </w:p>
        <w:p w14:paraId="6F8D396F" w14:textId="77777777" w:rsidR="005C26C2" w:rsidRDefault="005C26C2" w:rsidP="005C26C2">
          <w:pPr>
            <w:pStyle w:val="Bibliography"/>
            <w:ind w:left="720" w:hanging="720"/>
            <w:rPr>
              <w:noProof/>
            </w:rPr>
          </w:pPr>
          <w:r>
            <w:rPr>
              <w:noProof/>
            </w:rPr>
            <w:t xml:space="preserve">Bradley, Ian. 1999. </w:t>
          </w:r>
          <w:r>
            <w:rPr>
              <w:i/>
              <w:iCs/>
              <w:noProof/>
            </w:rPr>
            <w:t>Celtic Christianity.</w:t>
          </w:r>
          <w:r>
            <w:rPr>
              <w:noProof/>
            </w:rPr>
            <w:t xml:space="preserve"> Edinburgh: Edinburgh University Press.</w:t>
          </w:r>
        </w:p>
        <w:p w14:paraId="17E142C6" w14:textId="77777777" w:rsidR="005C26C2" w:rsidRDefault="005C26C2" w:rsidP="005C26C2">
          <w:pPr>
            <w:pStyle w:val="Bibliography"/>
            <w:ind w:left="720" w:hanging="720"/>
            <w:rPr>
              <w:noProof/>
            </w:rPr>
          </w:pPr>
          <w:r>
            <w:rPr>
              <w:noProof/>
            </w:rPr>
            <w:lastRenderedPageBreak/>
            <w:t xml:space="preserve">Cartwright, Jane. 2003. </w:t>
          </w:r>
          <w:r>
            <w:rPr>
              <w:i/>
              <w:iCs/>
              <w:noProof/>
            </w:rPr>
            <w:t>Celtic Hagiography and Saints Cults.</w:t>
          </w:r>
          <w:r>
            <w:rPr>
              <w:noProof/>
            </w:rPr>
            <w:t xml:space="preserve"> Cardiff: University of Wales Press.</w:t>
          </w:r>
        </w:p>
        <w:p w14:paraId="37CB6BB0" w14:textId="77777777" w:rsidR="005C26C2" w:rsidRDefault="005C26C2" w:rsidP="005C26C2">
          <w:pPr>
            <w:pStyle w:val="Bibliography"/>
            <w:ind w:left="720" w:hanging="720"/>
            <w:rPr>
              <w:noProof/>
            </w:rPr>
          </w:pPr>
          <w:r>
            <w:rPr>
              <w:noProof/>
            </w:rPr>
            <w:t xml:space="preserve">—. 2008. </w:t>
          </w:r>
          <w:r>
            <w:rPr>
              <w:i/>
              <w:iCs/>
              <w:noProof/>
            </w:rPr>
            <w:t>Feminine Sanctity and Spirituality in Medieval Wales.</w:t>
          </w:r>
          <w:r>
            <w:rPr>
              <w:noProof/>
            </w:rPr>
            <w:t xml:space="preserve"> Cardiff: Univesrity of Wales Press.</w:t>
          </w:r>
        </w:p>
        <w:p w14:paraId="11EF1CE7" w14:textId="77777777" w:rsidR="005C26C2" w:rsidRDefault="005C26C2" w:rsidP="005C26C2">
          <w:pPr>
            <w:pStyle w:val="Bibliography"/>
            <w:ind w:left="720" w:hanging="720"/>
            <w:rPr>
              <w:noProof/>
            </w:rPr>
          </w:pPr>
          <w:r>
            <w:rPr>
              <w:noProof/>
            </w:rPr>
            <w:t xml:space="preserve">n.d. </w:t>
          </w:r>
          <w:r>
            <w:rPr>
              <w:i/>
              <w:iCs/>
              <w:noProof/>
            </w:rPr>
            <w:t>Celtic .</w:t>
          </w:r>
          <w:r>
            <w:rPr>
              <w:noProof/>
            </w:rPr>
            <w:t xml:space="preserve"> </w:t>
          </w:r>
        </w:p>
        <w:p w14:paraId="1D3474DB" w14:textId="77777777" w:rsidR="005C26C2" w:rsidRDefault="005C26C2" w:rsidP="005C26C2">
          <w:pPr>
            <w:pStyle w:val="Bibliography"/>
            <w:ind w:left="720" w:hanging="720"/>
            <w:rPr>
              <w:noProof/>
            </w:rPr>
          </w:pPr>
          <w:r>
            <w:rPr>
              <w:noProof/>
            </w:rPr>
            <w:t xml:space="preserve">Cross, F. L, Livingstone, E. A. 1997. </w:t>
          </w:r>
          <w:r>
            <w:rPr>
              <w:i/>
              <w:iCs/>
              <w:noProof/>
            </w:rPr>
            <w:t>The Oxford Dictionary of the Christian Church.</w:t>
          </w:r>
          <w:r>
            <w:rPr>
              <w:noProof/>
            </w:rPr>
            <w:t xml:space="preserve"> Oxford: Oxford University Press.</w:t>
          </w:r>
        </w:p>
        <w:p w14:paraId="0073AC1C" w14:textId="77777777" w:rsidR="005C26C2" w:rsidRDefault="005C26C2" w:rsidP="005C26C2">
          <w:pPr>
            <w:pStyle w:val="Bibliography"/>
            <w:ind w:left="720" w:hanging="720"/>
            <w:rPr>
              <w:noProof/>
            </w:rPr>
          </w:pPr>
          <w:r>
            <w:rPr>
              <w:noProof/>
            </w:rPr>
            <w:t xml:space="preserve">Davies, Oliver. 1996. </w:t>
          </w:r>
          <w:r>
            <w:rPr>
              <w:i/>
              <w:iCs/>
              <w:noProof/>
            </w:rPr>
            <w:t>Celtic Christianity in Early Medieval Wales.</w:t>
          </w:r>
          <w:r>
            <w:rPr>
              <w:noProof/>
            </w:rPr>
            <w:t xml:space="preserve"> Cardiff: University of Wales Press.</w:t>
          </w:r>
        </w:p>
        <w:p w14:paraId="709E6AA3" w14:textId="77777777" w:rsidR="005C26C2" w:rsidRDefault="005C26C2" w:rsidP="005C26C2">
          <w:pPr>
            <w:pStyle w:val="Bibliography"/>
            <w:ind w:left="720" w:hanging="720"/>
            <w:rPr>
              <w:noProof/>
            </w:rPr>
          </w:pPr>
          <w:r>
            <w:rPr>
              <w:noProof/>
            </w:rPr>
            <w:t xml:space="preserve">Davies, Oliver: Bowie, Fiona. 1995. </w:t>
          </w:r>
          <w:r>
            <w:rPr>
              <w:i/>
              <w:iCs/>
              <w:noProof/>
            </w:rPr>
            <w:t>Celtic Christian Spirituality.</w:t>
          </w:r>
          <w:r>
            <w:rPr>
              <w:noProof/>
            </w:rPr>
            <w:t xml:space="preserve"> London: SPCK.</w:t>
          </w:r>
        </w:p>
        <w:p w14:paraId="086DDF76" w14:textId="77777777" w:rsidR="005C26C2" w:rsidRDefault="005C26C2" w:rsidP="005C26C2">
          <w:pPr>
            <w:pStyle w:val="Bibliography"/>
            <w:ind w:left="720" w:hanging="720"/>
            <w:rPr>
              <w:noProof/>
            </w:rPr>
          </w:pPr>
          <w:r>
            <w:rPr>
              <w:noProof/>
            </w:rPr>
            <w:t xml:space="preserve">Davies, Wendy, Nancy Edwards, and Alan Lane. 1992. </w:t>
          </w:r>
          <w:r>
            <w:rPr>
              <w:i/>
              <w:iCs/>
              <w:noProof/>
            </w:rPr>
            <w:t>The Myth of the Celtic Church.</w:t>
          </w:r>
          <w:r>
            <w:rPr>
              <w:noProof/>
            </w:rPr>
            <w:t xml:space="preserve"> Oxford: Oxbow.</w:t>
          </w:r>
        </w:p>
        <w:p w14:paraId="7A2274A0" w14:textId="77777777" w:rsidR="005C26C2" w:rsidRDefault="005C26C2" w:rsidP="005C26C2">
          <w:pPr>
            <w:pStyle w:val="Bibliography"/>
            <w:ind w:left="720" w:hanging="720"/>
            <w:rPr>
              <w:noProof/>
            </w:rPr>
          </w:pPr>
          <w:r>
            <w:rPr>
              <w:noProof/>
            </w:rPr>
            <w:t xml:space="preserve">Edwards, Nancy. Lane, Alan. 1992. </w:t>
          </w:r>
          <w:r>
            <w:rPr>
              <w:i/>
              <w:iCs/>
              <w:noProof/>
            </w:rPr>
            <w:t>The Early Church in Wales and the West.</w:t>
          </w:r>
          <w:r>
            <w:rPr>
              <w:noProof/>
            </w:rPr>
            <w:t xml:space="preserve"> Oxford: Oxbow Books.</w:t>
          </w:r>
        </w:p>
        <w:p w14:paraId="16E11843" w14:textId="77777777" w:rsidR="005C26C2" w:rsidRDefault="005C26C2" w:rsidP="005C26C2">
          <w:pPr>
            <w:pStyle w:val="Bibliography"/>
            <w:ind w:left="720" w:hanging="720"/>
            <w:rPr>
              <w:noProof/>
            </w:rPr>
          </w:pPr>
          <w:r>
            <w:rPr>
              <w:noProof/>
            </w:rPr>
            <w:t xml:space="preserve">Evans, D. Simon. 1988. </w:t>
          </w:r>
          <w:r>
            <w:rPr>
              <w:i/>
              <w:iCs/>
              <w:noProof/>
            </w:rPr>
            <w:t>The Welsh Life of St David.</w:t>
          </w:r>
          <w:r>
            <w:rPr>
              <w:noProof/>
            </w:rPr>
            <w:t xml:space="preserve"> Cardiff: University of Wales Press.</w:t>
          </w:r>
        </w:p>
        <w:p w14:paraId="546C78D0" w14:textId="77777777" w:rsidR="005C26C2" w:rsidRDefault="005C26C2" w:rsidP="005C26C2">
          <w:pPr>
            <w:pStyle w:val="Bibliography"/>
            <w:ind w:left="720" w:hanging="720"/>
            <w:rPr>
              <w:noProof/>
            </w:rPr>
          </w:pPr>
          <w:r>
            <w:rPr>
              <w:noProof/>
            </w:rPr>
            <w:t xml:space="preserve">James, J. W. 1967. </w:t>
          </w:r>
          <w:r>
            <w:rPr>
              <w:i/>
              <w:iCs/>
              <w:noProof/>
            </w:rPr>
            <w:t>Rhigyfarch's Life of St David.</w:t>
          </w:r>
          <w:r>
            <w:rPr>
              <w:noProof/>
            </w:rPr>
            <w:t xml:space="preserve"> Cardiff: University of Wales Press.</w:t>
          </w:r>
        </w:p>
        <w:p w14:paraId="60639F6C" w14:textId="77777777" w:rsidR="005C26C2" w:rsidRDefault="005C26C2" w:rsidP="005C26C2">
          <w:pPr>
            <w:pStyle w:val="Bibliography"/>
            <w:ind w:left="720" w:hanging="720"/>
            <w:rPr>
              <w:noProof/>
            </w:rPr>
          </w:pPr>
          <w:r>
            <w:rPr>
              <w:noProof/>
            </w:rPr>
            <w:t xml:space="preserve">Lewis, Barry J., Madeleine Gray, David C. Jones, D. Densil Morgan, and Rowan Williams. 2022. </w:t>
          </w:r>
          <w:r>
            <w:rPr>
              <w:i/>
              <w:iCs/>
              <w:noProof/>
            </w:rPr>
            <w:t>A History of Christianity in Wales.</w:t>
          </w:r>
          <w:r>
            <w:rPr>
              <w:noProof/>
            </w:rPr>
            <w:t xml:space="preserve"> Cardiff: University of Wales Press.</w:t>
          </w:r>
        </w:p>
        <w:p w14:paraId="68E7E699" w14:textId="77777777" w:rsidR="005C26C2" w:rsidRDefault="005C26C2" w:rsidP="005C26C2">
          <w:pPr>
            <w:pStyle w:val="Bibliography"/>
            <w:ind w:left="720" w:hanging="720"/>
            <w:rPr>
              <w:noProof/>
            </w:rPr>
          </w:pPr>
          <w:r>
            <w:rPr>
              <w:noProof/>
            </w:rPr>
            <w:t xml:space="preserve">Petts, David. 2009. </w:t>
          </w:r>
          <w:r>
            <w:rPr>
              <w:i/>
              <w:iCs/>
              <w:noProof/>
            </w:rPr>
            <w:t>The Early Medieval Church in Wales.</w:t>
          </w:r>
          <w:r>
            <w:rPr>
              <w:noProof/>
            </w:rPr>
            <w:t xml:space="preserve"> Stroud: The History Press.</w:t>
          </w:r>
        </w:p>
        <w:p w14:paraId="238658CB" w14:textId="77777777" w:rsidR="005C26C2" w:rsidRDefault="005C26C2" w:rsidP="005C26C2">
          <w:pPr>
            <w:pStyle w:val="Bibliography"/>
            <w:ind w:left="720" w:hanging="720"/>
            <w:rPr>
              <w:noProof/>
            </w:rPr>
          </w:pPr>
          <w:r>
            <w:rPr>
              <w:noProof/>
            </w:rPr>
            <w:t xml:space="preserve">Richter, Michael. 1976. </w:t>
          </w:r>
          <w:r>
            <w:rPr>
              <w:i/>
              <w:iCs/>
              <w:noProof/>
            </w:rPr>
            <w:t>Geraldus Cambrensis.</w:t>
          </w:r>
          <w:r>
            <w:rPr>
              <w:noProof/>
            </w:rPr>
            <w:t xml:space="preserve"> Aberystwyth: National Library of Wales.</w:t>
          </w:r>
        </w:p>
        <w:p w14:paraId="74093C15" w14:textId="77777777" w:rsidR="005C26C2" w:rsidRDefault="005C26C2" w:rsidP="005C26C2">
          <w:pPr>
            <w:pStyle w:val="Bibliography"/>
            <w:ind w:left="720" w:hanging="720"/>
            <w:rPr>
              <w:noProof/>
            </w:rPr>
          </w:pPr>
          <w:r>
            <w:rPr>
              <w:noProof/>
            </w:rPr>
            <w:t xml:space="preserve">Victory, Sian. 1977. </w:t>
          </w:r>
          <w:r>
            <w:rPr>
              <w:i/>
              <w:iCs/>
              <w:noProof/>
            </w:rPr>
            <w:t>The Celtic Church in Wales.</w:t>
          </w:r>
          <w:r>
            <w:rPr>
              <w:noProof/>
            </w:rPr>
            <w:t xml:space="preserve"> London: SPCK.</w:t>
          </w:r>
        </w:p>
        <w:p w14:paraId="2152F7C1" w14:textId="77777777" w:rsidR="005C26C2" w:rsidRDefault="005C26C2" w:rsidP="005C26C2">
          <w:pPr>
            <w:pStyle w:val="Bibliography"/>
            <w:ind w:left="720" w:hanging="720"/>
            <w:rPr>
              <w:noProof/>
            </w:rPr>
          </w:pPr>
          <w:r>
            <w:rPr>
              <w:noProof/>
            </w:rPr>
            <w:t xml:space="preserve">Wade-Evans A. W., Edward LLoyd. 2013. </w:t>
          </w:r>
          <w:r>
            <w:rPr>
              <w:i/>
              <w:iCs/>
              <w:noProof/>
            </w:rPr>
            <w:t>Vitae Sanctorum Britanniae et Genealogiae.</w:t>
          </w:r>
          <w:r>
            <w:rPr>
              <w:noProof/>
            </w:rPr>
            <w:t xml:space="preserve"> Cardiff: Ashley-Drake Publishing Ltd.</w:t>
          </w:r>
        </w:p>
        <w:p w14:paraId="06F75FFD" w14:textId="77777777" w:rsidR="005C26C2" w:rsidRDefault="005C26C2" w:rsidP="005C26C2">
          <w:pPr>
            <w:pStyle w:val="Bibliography"/>
            <w:ind w:left="720" w:hanging="720"/>
            <w:rPr>
              <w:noProof/>
            </w:rPr>
          </w:pPr>
          <w:r>
            <w:rPr>
              <w:noProof/>
            </w:rPr>
            <w:t xml:space="preserve">Weyer, Van de. 1990. </w:t>
          </w:r>
          <w:r>
            <w:rPr>
              <w:i/>
              <w:iCs/>
              <w:noProof/>
            </w:rPr>
            <w:t>Celtic Fire.</w:t>
          </w:r>
          <w:r>
            <w:rPr>
              <w:noProof/>
            </w:rPr>
            <w:t xml:space="preserve"> London: Darton, Longman and Todd.</w:t>
          </w:r>
        </w:p>
        <w:p w14:paraId="5B2A1B37" w14:textId="77777777" w:rsidR="005C26C2" w:rsidRDefault="005C26C2" w:rsidP="005C26C2">
          <w:pPr>
            <w:pStyle w:val="Bibliography"/>
            <w:ind w:left="720" w:hanging="720"/>
            <w:rPr>
              <w:noProof/>
            </w:rPr>
          </w:pPr>
          <w:r>
            <w:rPr>
              <w:noProof/>
            </w:rPr>
            <w:t xml:space="preserve">Williams, Glanmor. 1976. </w:t>
          </w:r>
          <w:r>
            <w:rPr>
              <w:i/>
              <w:iCs/>
              <w:noProof/>
            </w:rPr>
            <w:t>The Welsh Church from Conquest to Reformation.</w:t>
          </w:r>
          <w:r>
            <w:rPr>
              <w:noProof/>
            </w:rPr>
            <w:t xml:space="preserve"> Cardiff: Universsity of Wales Press.</w:t>
          </w:r>
        </w:p>
        <w:p w14:paraId="7962F08F" w14:textId="77777777" w:rsidR="005C26C2" w:rsidRDefault="005C26C2" w:rsidP="005C26C2">
          <w:pPr>
            <w:pStyle w:val="Bibliography"/>
            <w:ind w:left="720" w:hanging="720"/>
            <w:rPr>
              <w:noProof/>
            </w:rPr>
          </w:pPr>
          <w:r>
            <w:rPr>
              <w:noProof/>
            </w:rPr>
            <w:t xml:space="preserve">Wooding, J., Wyn-Evans Jonathon M. 2007. </w:t>
          </w:r>
          <w:r>
            <w:rPr>
              <w:i/>
              <w:iCs/>
              <w:noProof/>
            </w:rPr>
            <w:t>St David of Wales Cult Church and Nation.</w:t>
          </w:r>
          <w:r>
            <w:rPr>
              <w:noProof/>
            </w:rPr>
            <w:t xml:space="preserve"> Woodbridge: The Boydell Press.</w:t>
          </w:r>
        </w:p>
        <w:p w14:paraId="6E3ABEE0" w14:textId="22D605B5" w:rsidR="008426FD" w:rsidRDefault="002E55DB" w:rsidP="005C26C2">
          <w:pPr>
            <w:pStyle w:val="Heading1"/>
          </w:pPr>
          <w:r>
            <w:fldChar w:fldCharType="end"/>
          </w:r>
        </w:p>
        <w:sdt>
          <w:sdtPr>
            <w:id w:val="-594629412"/>
            <w:bibliography/>
          </w:sdtPr>
          <w:sdtEndPr/>
          <w:sdtContent>
            <w:p w14:paraId="5E03C57C" w14:textId="7074A59A" w:rsidR="002F303E" w:rsidRDefault="002F303E" w:rsidP="002F303E">
              <w:pPr>
                <w:pStyle w:val="Bibliography"/>
              </w:pPr>
            </w:p>
            <w:p w14:paraId="5EB986B8" w14:textId="355A4CEE" w:rsidR="008426FD" w:rsidRDefault="00EA6621" w:rsidP="002F303E"/>
          </w:sdtContent>
        </w:sdt>
      </w:sdtContent>
    </w:sdt>
    <w:p w14:paraId="40F0BB22" w14:textId="77777777" w:rsidR="008426FD" w:rsidRPr="008426FD" w:rsidRDefault="008426FD" w:rsidP="00A13745">
      <w:pPr>
        <w:pStyle w:val="Body"/>
        <w:spacing w:line="480" w:lineRule="auto"/>
      </w:pPr>
    </w:p>
    <w:p w14:paraId="1056EC57" w14:textId="6BF1DEA6" w:rsidR="00A13745" w:rsidRDefault="00A13745" w:rsidP="00A13745">
      <w:pPr>
        <w:pStyle w:val="Body"/>
        <w:spacing w:line="480" w:lineRule="auto"/>
      </w:pPr>
      <w:r>
        <w:t xml:space="preserve">         </w:t>
      </w:r>
    </w:p>
    <w:p w14:paraId="71B592B4" w14:textId="77777777" w:rsidR="00A13745" w:rsidRDefault="00A13745" w:rsidP="00A13745">
      <w:pPr>
        <w:pStyle w:val="Body"/>
        <w:spacing w:line="480" w:lineRule="auto"/>
      </w:pPr>
    </w:p>
    <w:p w14:paraId="0BE91686" w14:textId="77777777" w:rsidR="00A13745" w:rsidRDefault="00A13745" w:rsidP="00A13745">
      <w:pPr>
        <w:pStyle w:val="Body"/>
        <w:spacing w:line="480" w:lineRule="auto"/>
        <w:jc w:val="center"/>
        <w:rPr>
          <w:u w:val="single"/>
        </w:rPr>
      </w:pPr>
    </w:p>
    <w:sectPr w:rsidR="00A13745" w:rsidSect="003603D6">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DE7B2" w14:textId="77777777" w:rsidR="003603D6" w:rsidRDefault="003603D6">
      <w:r>
        <w:separator/>
      </w:r>
    </w:p>
  </w:endnote>
  <w:endnote w:type="continuationSeparator" w:id="0">
    <w:p w14:paraId="1ADDDD8D" w14:textId="77777777" w:rsidR="003603D6" w:rsidRDefault="003603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ptos Display">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F7EF4" w14:textId="77777777" w:rsidR="003603D6" w:rsidRDefault="003603D6">
      <w:r>
        <w:separator/>
      </w:r>
    </w:p>
  </w:footnote>
  <w:footnote w:type="continuationSeparator" w:id="0">
    <w:p w14:paraId="13AC1C5D" w14:textId="77777777" w:rsidR="003603D6" w:rsidRDefault="003603D6">
      <w:r>
        <w:continuationSeparator/>
      </w:r>
    </w:p>
  </w:footnote>
  <w:footnote w:id="1">
    <w:p w14:paraId="02D89B91" w14:textId="2EBF031D" w:rsidR="00B72B9F" w:rsidRPr="00B37FED" w:rsidRDefault="00B72B9F">
      <w:pPr>
        <w:pStyle w:val="FootnoteText"/>
        <w:rPr>
          <w:lang w:val="en-GB"/>
        </w:rPr>
      </w:pPr>
      <w:r>
        <w:rPr>
          <w:rStyle w:val="FootnoteReference"/>
        </w:rPr>
        <w:footnoteRef/>
      </w:r>
      <w:r>
        <w:t xml:space="preserve"> </w:t>
      </w:r>
      <w:proofErr w:type="spellStart"/>
      <w:r w:rsidR="00E87DB2">
        <w:t>E.</w:t>
      </w:r>
      <w:proofErr w:type="gramStart"/>
      <w:r w:rsidR="00E87DB2">
        <w:t>G.B</w:t>
      </w:r>
      <w:r w:rsidR="00505CA0">
        <w:t>owen</w:t>
      </w:r>
      <w:proofErr w:type="spellEnd"/>
      <w:proofErr w:type="gramEnd"/>
      <w:r w:rsidR="00505CA0">
        <w:t xml:space="preserve">, </w:t>
      </w:r>
      <w:r w:rsidR="00C05C6E">
        <w:rPr>
          <w:i/>
          <w:iCs/>
        </w:rPr>
        <w:t>The Settlement of the Celtic Saints</w:t>
      </w:r>
      <w:r w:rsidR="00B37FED">
        <w:rPr>
          <w:i/>
          <w:iCs/>
        </w:rPr>
        <w:t xml:space="preserve"> </w:t>
      </w:r>
      <w:r w:rsidR="00BA17CC">
        <w:t>(Cardiff</w:t>
      </w:r>
      <w:r w:rsidR="00A8464A">
        <w:t>:</w:t>
      </w:r>
      <w:r w:rsidR="008D57C1">
        <w:t xml:space="preserve"> </w:t>
      </w:r>
      <w:r w:rsidR="003F2217">
        <w:t>University of Wales Press,</w:t>
      </w:r>
      <w:r w:rsidR="001D50DC">
        <w:t xml:space="preserve"> 1956),</w:t>
      </w:r>
      <w:r w:rsidR="00B11E8E">
        <w:t xml:space="preserve"> 62.</w:t>
      </w:r>
    </w:p>
  </w:footnote>
  <w:footnote w:id="2">
    <w:p w14:paraId="55EF71F9" w14:textId="2907AD6C" w:rsidR="00891964" w:rsidRPr="004213F3" w:rsidRDefault="00891964">
      <w:pPr>
        <w:pStyle w:val="FootnoteText"/>
        <w:rPr>
          <w:lang w:val="en-GB"/>
        </w:rPr>
      </w:pPr>
      <w:r>
        <w:rPr>
          <w:rStyle w:val="FootnoteReference"/>
        </w:rPr>
        <w:footnoteRef/>
      </w:r>
      <w:r>
        <w:t xml:space="preserve"> </w:t>
      </w:r>
      <w:r w:rsidR="004213F3">
        <w:t xml:space="preserve">Jane Cartwright, </w:t>
      </w:r>
      <w:r w:rsidR="00585103" w:rsidRPr="00C86CE4">
        <w:rPr>
          <w:i/>
          <w:iCs/>
        </w:rPr>
        <w:t>Celtic Hagio</w:t>
      </w:r>
      <w:r w:rsidR="00C86CE4" w:rsidRPr="00C86CE4">
        <w:rPr>
          <w:i/>
          <w:iCs/>
        </w:rPr>
        <w:t>graphy and Saints Cults</w:t>
      </w:r>
      <w:r w:rsidR="00082B1E">
        <w:t xml:space="preserve"> </w:t>
      </w:r>
      <w:r w:rsidR="00C07DDD">
        <w:t>(Cardiff</w:t>
      </w:r>
      <w:r w:rsidR="00082B1E">
        <w:t>: University of Wales Press</w:t>
      </w:r>
      <w:r w:rsidR="00CE0D02">
        <w:t>, 2003</w:t>
      </w:r>
      <w:r w:rsidR="00B85799">
        <w:t>),</w:t>
      </w:r>
      <w:r w:rsidR="001E5417">
        <w:t xml:space="preserve"> 12.</w:t>
      </w:r>
    </w:p>
  </w:footnote>
  <w:footnote w:id="3">
    <w:p w14:paraId="702EEC89" w14:textId="765B4B95" w:rsidR="00F4631D" w:rsidRPr="00C07DDD" w:rsidRDefault="00F4631D">
      <w:pPr>
        <w:pStyle w:val="FootnoteText"/>
        <w:rPr>
          <w:lang w:val="en-GB"/>
        </w:rPr>
      </w:pPr>
      <w:r>
        <w:rPr>
          <w:rStyle w:val="FootnoteReference"/>
        </w:rPr>
        <w:footnoteRef/>
      </w:r>
      <w:r>
        <w:t xml:space="preserve"> </w:t>
      </w:r>
      <w:proofErr w:type="spellStart"/>
      <w:r w:rsidR="003579B5">
        <w:t>A.</w:t>
      </w:r>
      <w:proofErr w:type="gramStart"/>
      <w:r w:rsidR="003579B5">
        <w:t>W.W</w:t>
      </w:r>
      <w:r w:rsidR="00205D65">
        <w:t>ade</w:t>
      </w:r>
      <w:proofErr w:type="spellEnd"/>
      <w:proofErr w:type="gramEnd"/>
      <w:r w:rsidR="003579B5">
        <w:t>-</w:t>
      </w:r>
      <w:r w:rsidR="0001325A">
        <w:t>Evans</w:t>
      </w:r>
      <w:r w:rsidR="00676678">
        <w:t xml:space="preserve">, </w:t>
      </w:r>
      <w:r w:rsidR="003E0160">
        <w:t>Ed</w:t>
      </w:r>
      <w:r w:rsidR="00CD5292">
        <w:t xml:space="preserve">ward Lloyd, </w:t>
      </w:r>
      <w:r w:rsidR="0063462C" w:rsidRPr="00FF5CDA">
        <w:rPr>
          <w:i/>
          <w:iCs/>
        </w:rPr>
        <w:t>Vitae</w:t>
      </w:r>
      <w:r w:rsidR="0001325A">
        <w:rPr>
          <w:i/>
          <w:iCs/>
        </w:rPr>
        <w:t xml:space="preserve"> </w:t>
      </w:r>
      <w:r w:rsidR="0063462C" w:rsidRPr="00FF5CDA">
        <w:rPr>
          <w:i/>
          <w:iCs/>
        </w:rPr>
        <w:t>Sanctorum</w:t>
      </w:r>
      <w:r w:rsidR="00FF5CDA">
        <w:rPr>
          <w:i/>
          <w:iCs/>
        </w:rPr>
        <w:t xml:space="preserve"> Britanniae</w:t>
      </w:r>
      <w:r w:rsidR="008A6E60">
        <w:rPr>
          <w:i/>
          <w:iCs/>
        </w:rPr>
        <w:t xml:space="preserve"> et </w:t>
      </w:r>
      <w:proofErr w:type="spellStart"/>
      <w:r w:rsidR="008A6E60">
        <w:rPr>
          <w:i/>
          <w:iCs/>
        </w:rPr>
        <w:t>Genealogiae</w:t>
      </w:r>
      <w:proofErr w:type="spellEnd"/>
      <w:r w:rsidR="0063462C">
        <w:t xml:space="preserve"> </w:t>
      </w:r>
      <w:r w:rsidR="001B2EE1">
        <w:t>(Cardiff</w:t>
      </w:r>
      <w:r w:rsidR="00D049CA">
        <w:t>:</w:t>
      </w:r>
      <w:r w:rsidR="00F14539">
        <w:t xml:space="preserve"> Ashley Drake Publishing Ltd</w:t>
      </w:r>
      <w:r w:rsidR="00E04DC6">
        <w:t xml:space="preserve">, </w:t>
      </w:r>
      <w:r w:rsidR="00E62F76">
        <w:t>1944</w:t>
      </w:r>
      <w:r w:rsidR="008E1C57">
        <w:t>),</w:t>
      </w:r>
      <w:r w:rsidR="00823617">
        <w:t xml:space="preserve"> </w:t>
      </w:r>
      <w:r w:rsidR="008E1C57">
        <w:t>XIV</w:t>
      </w:r>
      <w:r w:rsidR="00823617">
        <w:t>.</w:t>
      </w:r>
    </w:p>
  </w:footnote>
  <w:footnote w:id="4">
    <w:p w14:paraId="6ECBD514" w14:textId="18570E23" w:rsidR="00031B8C" w:rsidRPr="00FC66C1" w:rsidRDefault="00031B8C">
      <w:pPr>
        <w:pStyle w:val="FootnoteText"/>
        <w:rPr>
          <w:lang w:val="en-GB"/>
        </w:rPr>
      </w:pPr>
      <w:r>
        <w:rPr>
          <w:rStyle w:val="FootnoteReference"/>
        </w:rPr>
        <w:footnoteRef/>
      </w:r>
      <w:r>
        <w:t xml:space="preserve"> </w:t>
      </w:r>
      <w:r w:rsidR="00CF2FF7">
        <w:t xml:space="preserve">David Petts, </w:t>
      </w:r>
      <w:r w:rsidR="00937C1B">
        <w:rPr>
          <w:i/>
          <w:iCs/>
        </w:rPr>
        <w:t>The E</w:t>
      </w:r>
      <w:r w:rsidR="0038580B">
        <w:rPr>
          <w:i/>
          <w:iCs/>
        </w:rPr>
        <w:t>a</w:t>
      </w:r>
      <w:r w:rsidR="00937C1B">
        <w:rPr>
          <w:i/>
          <w:iCs/>
        </w:rPr>
        <w:t>rly Medieval Church in Wales</w:t>
      </w:r>
      <w:r w:rsidR="00930830">
        <w:t xml:space="preserve"> (Stroud: The History Press</w:t>
      </w:r>
      <w:r w:rsidR="00313690">
        <w:t xml:space="preserve">, 2009), </w:t>
      </w:r>
      <w:r w:rsidR="003328C1">
        <w:t>45.</w:t>
      </w:r>
    </w:p>
  </w:footnote>
  <w:footnote w:id="5">
    <w:p w14:paraId="744DF252" w14:textId="0BF69BAC" w:rsidR="00C92794" w:rsidRPr="00A43FAE" w:rsidRDefault="00C92794">
      <w:pPr>
        <w:pStyle w:val="FootnoteText"/>
        <w:rPr>
          <w:lang w:val="en-GB"/>
        </w:rPr>
      </w:pPr>
      <w:r>
        <w:rPr>
          <w:rStyle w:val="FootnoteReference"/>
        </w:rPr>
        <w:footnoteRef/>
      </w:r>
      <w:r>
        <w:t xml:space="preserve"> </w:t>
      </w:r>
      <w:r w:rsidR="00E61EC8">
        <w:rPr>
          <w:lang w:val="en-GB"/>
        </w:rPr>
        <w:t>J</w:t>
      </w:r>
      <w:r w:rsidR="009B74A7">
        <w:rPr>
          <w:lang w:val="en-GB"/>
        </w:rPr>
        <w:t>.</w:t>
      </w:r>
      <w:r w:rsidR="00E61EC8">
        <w:rPr>
          <w:lang w:val="en-GB"/>
        </w:rPr>
        <w:t xml:space="preserve"> Wyn</w:t>
      </w:r>
      <w:r w:rsidR="009B74A7">
        <w:rPr>
          <w:lang w:val="en-GB"/>
        </w:rPr>
        <w:t>-Evans</w:t>
      </w:r>
      <w:r w:rsidR="0056146C">
        <w:rPr>
          <w:lang w:val="en-GB"/>
        </w:rPr>
        <w:t xml:space="preserve"> and Jonathon M, Wooding, </w:t>
      </w:r>
      <w:r w:rsidR="0056146C">
        <w:rPr>
          <w:i/>
          <w:iCs/>
          <w:lang w:val="en-GB"/>
        </w:rPr>
        <w:t>St David of Wales</w:t>
      </w:r>
      <w:r w:rsidR="007B115F">
        <w:rPr>
          <w:i/>
          <w:iCs/>
          <w:lang w:val="en-GB"/>
        </w:rPr>
        <w:t xml:space="preserve"> Cult</w:t>
      </w:r>
      <w:r w:rsidR="006935A4">
        <w:rPr>
          <w:i/>
          <w:iCs/>
          <w:lang w:val="en-GB"/>
        </w:rPr>
        <w:t xml:space="preserve">, </w:t>
      </w:r>
      <w:r w:rsidR="007B115F">
        <w:rPr>
          <w:i/>
          <w:iCs/>
          <w:lang w:val="en-GB"/>
        </w:rPr>
        <w:t>Church and Nation</w:t>
      </w:r>
      <w:r w:rsidR="007B115F">
        <w:rPr>
          <w:lang w:val="en-GB"/>
        </w:rPr>
        <w:t xml:space="preserve"> </w:t>
      </w:r>
      <w:r w:rsidR="00C02EA7">
        <w:rPr>
          <w:lang w:val="en-GB"/>
        </w:rPr>
        <w:t>(Woodbridge</w:t>
      </w:r>
      <w:r w:rsidR="0087664D">
        <w:rPr>
          <w:lang w:val="en-GB"/>
        </w:rPr>
        <w:t>: The Boydell Press</w:t>
      </w:r>
      <w:r w:rsidR="00A43FAE">
        <w:rPr>
          <w:lang w:val="en-GB"/>
        </w:rPr>
        <w:t>, 2007)</w:t>
      </w:r>
      <w:r w:rsidR="00490821">
        <w:rPr>
          <w:lang w:val="en-GB"/>
        </w:rPr>
        <w:t>, 275</w:t>
      </w:r>
      <w:r w:rsidR="0080784F">
        <w:rPr>
          <w:lang w:val="en-GB"/>
        </w:rPr>
        <w:t>.</w:t>
      </w:r>
    </w:p>
  </w:footnote>
  <w:footnote w:id="6">
    <w:p w14:paraId="08582D6D" w14:textId="60D2EDCF" w:rsidR="00C2788B" w:rsidRPr="00282B13" w:rsidRDefault="00C2788B">
      <w:pPr>
        <w:pStyle w:val="FootnoteText"/>
        <w:rPr>
          <w:i/>
          <w:iCs/>
          <w:lang w:val="en-GB"/>
        </w:rPr>
      </w:pPr>
      <w:r>
        <w:rPr>
          <w:rStyle w:val="FootnoteReference"/>
        </w:rPr>
        <w:footnoteRef/>
      </w:r>
      <w:r>
        <w:t xml:space="preserve"> </w:t>
      </w:r>
      <w:r w:rsidR="00A71B1E">
        <w:t>Wyn-Evans</w:t>
      </w:r>
      <w:r w:rsidR="00EA4300">
        <w:t>,</w:t>
      </w:r>
      <w:r w:rsidR="00814A14">
        <w:t xml:space="preserve"> Woodin</w:t>
      </w:r>
      <w:r w:rsidR="007932F3">
        <w:t>g,</w:t>
      </w:r>
      <w:r w:rsidR="00814A14">
        <w:t xml:space="preserve"> </w:t>
      </w:r>
      <w:r w:rsidR="00282B13">
        <w:rPr>
          <w:i/>
          <w:iCs/>
        </w:rPr>
        <w:t>St David of Wale</w:t>
      </w:r>
      <w:r w:rsidR="00027827">
        <w:rPr>
          <w:i/>
          <w:iCs/>
        </w:rPr>
        <w:t>s</w:t>
      </w:r>
      <w:r w:rsidR="00EA4300">
        <w:rPr>
          <w:i/>
          <w:iCs/>
        </w:rPr>
        <w:t xml:space="preserve"> </w:t>
      </w:r>
      <w:r w:rsidR="000E6801">
        <w:rPr>
          <w:i/>
          <w:iCs/>
        </w:rPr>
        <w:t>Cult, Church and Nation</w:t>
      </w:r>
      <w:r w:rsidR="00282B13">
        <w:rPr>
          <w:i/>
          <w:iCs/>
        </w:rPr>
        <w:t>s</w:t>
      </w:r>
      <w:r w:rsidR="001B6CAB">
        <w:rPr>
          <w:i/>
          <w:iCs/>
        </w:rPr>
        <w:t>, 81.</w:t>
      </w:r>
    </w:p>
  </w:footnote>
  <w:footnote w:id="7">
    <w:p w14:paraId="62473236" w14:textId="5F67A427" w:rsidR="00554039" w:rsidRPr="007932F3" w:rsidRDefault="00554039">
      <w:pPr>
        <w:pStyle w:val="FootnoteText"/>
        <w:rPr>
          <w:lang w:val="en-GB"/>
        </w:rPr>
      </w:pPr>
      <w:r>
        <w:rPr>
          <w:rStyle w:val="FootnoteReference"/>
        </w:rPr>
        <w:footnoteRef/>
      </w:r>
      <w:r w:rsidR="001A1A07">
        <w:t xml:space="preserve"> </w:t>
      </w:r>
      <w:r w:rsidR="00A876B0">
        <w:t>Michael Richte</w:t>
      </w:r>
      <w:r w:rsidR="000F0EAE">
        <w:t>r</w:t>
      </w:r>
      <w:r w:rsidR="007932F3">
        <w:t>,</w:t>
      </w:r>
      <w:r w:rsidR="00A876B0">
        <w:t xml:space="preserve"> </w:t>
      </w:r>
      <w:r w:rsidR="00773EF5">
        <w:rPr>
          <w:i/>
          <w:iCs/>
        </w:rPr>
        <w:t xml:space="preserve">Geraldus </w:t>
      </w:r>
      <w:proofErr w:type="spellStart"/>
      <w:r w:rsidR="00773EF5">
        <w:rPr>
          <w:i/>
          <w:iCs/>
        </w:rPr>
        <w:t>C</w:t>
      </w:r>
      <w:r w:rsidR="00A033FE">
        <w:rPr>
          <w:i/>
          <w:iCs/>
        </w:rPr>
        <w:t>ambrensis</w:t>
      </w:r>
      <w:proofErr w:type="spellEnd"/>
      <w:r w:rsidR="007932F3">
        <w:rPr>
          <w:i/>
          <w:iCs/>
        </w:rPr>
        <w:t xml:space="preserve"> </w:t>
      </w:r>
      <w:r w:rsidR="007932F3">
        <w:t>(</w:t>
      </w:r>
      <w:r w:rsidR="009C7370">
        <w:t xml:space="preserve">Aberystwyth: </w:t>
      </w:r>
      <w:r w:rsidR="0010120B">
        <w:t xml:space="preserve">National Library of </w:t>
      </w:r>
      <w:r w:rsidR="003B05F9">
        <w:t>Wales Revised Edition</w:t>
      </w:r>
      <w:r w:rsidR="00FD5F64">
        <w:t>,</w:t>
      </w:r>
      <w:r w:rsidR="00D91171">
        <w:t xml:space="preserve"> 1976</w:t>
      </w:r>
      <w:r w:rsidR="00FD5F64">
        <w:t xml:space="preserve">), </w:t>
      </w:r>
      <w:r w:rsidR="00CD1262">
        <w:t>34</w:t>
      </w:r>
      <w:r w:rsidR="00955C43">
        <w:t>.</w:t>
      </w:r>
    </w:p>
  </w:footnote>
  <w:footnote w:id="8">
    <w:p w14:paraId="20DB273F" w14:textId="59B60C55" w:rsidR="00492494" w:rsidRPr="006C7127" w:rsidRDefault="007220E1">
      <w:pPr>
        <w:pStyle w:val="FootnoteText"/>
        <w:rPr>
          <w:lang w:val="en-GB"/>
        </w:rPr>
      </w:pPr>
      <w:r>
        <w:rPr>
          <w:lang w:val="en-GB"/>
        </w:rPr>
        <w:t>8</w:t>
      </w:r>
      <w:r w:rsidR="009F24F1">
        <w:rPr>
          <w:lang w:val="en-GB"/>
        </w:rPr>
        <w:t xml:space="preserve"> </w:t>
      </w:r>
      <w:r w:rsidR="00652257">
        <w:rPr>
          <w:lang w:val="en-GB"/>
        </w:rPr>
        <w:t>D. Simon Evans</w:t>
      </w:r>
      <w:r w:rsidR="006C7127">
        <w:rPr>
          <w:lang w:val="en-GB"/>
        </w:rPr>
        <w:t xml:space="preserve">, </w:t>
      </w:r>
      <w:r w:rsidR="006C7127" w:rsidRPr="006C7127">
        <w:rPr>
          <w:i/>
          <w:iCs/>
          <w:lang w:val="en-GB"/>
        </w:rPr>
        <w:t>The Welsh Life of St David</w:t>
      </w:r>
      <w:r w:rsidR="006C7127">
        <w:rPr>
          <w:i/>
          <w:iCs/>
          <w:lang w:val="en-GB"/>
        </w:rPr>
        <w:t xml:space="preserve"> </w:t>
      </w:r>
      <w:r w:rsidR="00187627">
        <w:rPr>
          <w:lang w:val="en-GB"/>
        </w:rPr>
        <w:t>(Cardiff:</w:t>
      </w:r>
      <w:r w:rsidR="00DF688C">
        <w:rPr>
          <w:lang w:val="en-GB"/>
        </w:rPr>
        <w:t xml:space="preserve"> </w:t>
      </w:r>
      <w:r w:rsidR="00187627">
        <w:rPr>
          <w:lang w:val="en-GB"/>
        </w:rPr>
        <w:t>The University of Wales Press</w:t>
      </w:r>
      <w:r w:rsidR="002470E9">
        <w:rPr>
          <w:lang w:val="en-GB"/>
        </w:rPr>
        <w:t>,</w:t>
      </w:r>
      <w:r w:rsidR="00DB13C6">
        <w:rPr>
          <w:lang w:val="en-GB"/>
        </w:rPr>
        <w:t xml:space="preserve"> 198</w:t>
      </w:r>
      <w:r w:rsidR="00D3149D">
        <w:rPr>
          <w:lang w:val="en-GB"/>
        </w:rPr>
        <w:t xml:space="preserve">8), </w:t>
      </w:r>
      <w:r w:rsidR="009F24F1">
        <w:rPr>
          <w:lang w:val="en-GB"/>
        </w:rPr>
        <w:t>XX.</w:t>
      </w:r>
    </w:p>
  </w:footnote>
  <w:footnote w:id="9">
    <w:p w14:paraId="09ED2C98" w14:textId="6DDCEBCE" w:rsidR="0007637B" w:rsidRPr="005663C5" w:rsidRDefault="0007637B">
      <w:pPr>
        <w:pStyle w:val="FootnoteText"/>
        <w:rPr>
          <w:lang w:val="en-GB"/>
        </w:rPr>
      </w:pPr>
      <w:r>
        <w:rPr>
          <w:rStyle w:val="FootnoteReference"/>
        </w:rPr>
        <w:footnoteRef/>
      </w:r>
      <w:r>
        <w:t xml:space="preserve"> </w:t>
      </w:r>
      <w:proofErr w:type="spellStart"/>
      <w:r w:rsidR="00ED5B67">
        <w:rPr>
          <w:lang w:val="en-GB"/>
        </w:rPr>
        <w:t>Glanmor</w:t>
      </w:r>
      <w:proofErr w:type="spellEnd"/>
      <w:r w:rsidR="00ED5B67">
        <w:rPr>
          <w:lang w:val="en-GB"/>
        </w:rPr>
        <w:t xml:space="preserve"> Williams, </w:t>
      </w:r>
      <w:r w:rsidR="00ED5B67">
        <w:rPr>
          <w:i/>
          <w:iCs/>
          <w:lang w:val="en-GB"/>
        </w:rPr>
        <w:t>The Welsh Church from Conquest to Reformation</w:t>
      </w:r>
      <w:r w:rsidR="005663C5">
        <w:rPr>
          <w:i/>
          <w:iCs/>
          <w:lang w:val="en-GB"/>
        </w:rPr>
        <w:t xml:space="preserve"> </w:t>
      </w:r>
      <w:r w:rsidR="005663C5">
        <w:rPr>
          <w:lang w:val="en-GB"/>
        </w:rPr>
        <w:t>(</w:t>
      </w:r>
      <w:r w:rsidR="0016175B">
        <w:rPr>
          <w:lang w:val="en-GB"/>
        </w:rPr>
        <w:t xml:space="preserve">Cardiff: </w:t>
      </w:r>
      <w:r w:rsidR="002C63AF">
        <w:rPr>
          <w:lang w:val="en-GB"/>
        </w:rPr>
        <w:t>University of Wales Press, 1962</w:t>
      </w:r>
      <w:r w:rsidR="008C1089">
        <w:rPr>
          <w:lang w:val="en-GB"/>
        </w:rPr>
        <w:t>), 3.</w:t>
      </w:r>
    </w:p>
  </w:footnote>
  <w:footnote w:id="10">
    <w:p w14:paraId="0C37613A" w14:textId="45E603AF" w:rsidR="00723D64" w:rsidRPr="00D67B54" w:rsidRDefault="009063DB">
      <w:pPr>
        <w:pStyle w:val="FootnoteText"/>
        <w:rPr>
          <w:lang w:val="en-GB"/>
        </w:rPr>
      </w:pPr>
      <w:r>
        <w:rPr>
          <w:rStyle w:val="FootnoteReference"/>
        </w:rPr>
        <w:footnoteRef/>
      </w:r>
      <w:r w:rsidR="009549E9">
        <w:t xml:space="preserve"> </w:t>
      </w:r>
      <w:r>
        <w:rPr>
          <w:lang w:val="en-GB"/>
        </w:rPr>
        <w:t>Evans</w:t>
      </w:r>
      <w:r w:rsidR="009549E9">
        <w:rPr>
          <w:lang w:val="en-GB"/>
        </w:rPr>
        <w:t xml:space="preserve">, </w:t>
      </w:r>
      <w:r w:rsidR="00BA1EB8" w:rsidRPr="00BA1EB8">
        <w:rPr>
          <w:i/>
          <w:iCs/>
          <w:lang w:val="en-GB"/>
        </w:rPr>
        <w:t>The Welsh Life of St David,</w:t>
      </w:r>
      <w:r w:rsidR="00D67B54">
        <w:rPr>
          <w:i/>
          <w:iCs/>
          <w:lang w:val="en-GB"/>
        </w:rPr>
        <w:t xml:space="preserve"> </w:t>
      </w:r>
      <w:r w:rsidR="00FF5280">
        <w:rPr>
          <w:lang w:val="en-GB"/>
        </w:rPr>
        <w:t>XXV.</w:t>
      </w:r>
    </w:p>
  </w:footnote>
  <w:footnote w:id="11">
    <w:p w14:paraId="13B819C3" w14:textId="7499AF9C" w:rsidR="00FF5280" w:rsidRPr="00120F73" w:rsidRDefault="00FF5280">
      <w:pPr>
        <w:pStyle w:val="FootnoteText"/>
        <w:rPr>
          <w:i/>
          <w:iCs/>
          <w:lang w:val="en-GB"/>
        </w:rPr>
      </w:pPr>
      <w:r>
        <w:rPr>
          <w:rStyle w:val="FootnoteReference"/>
        </w:rPr>
        <w:footnoteRef/>
      </w:r>
      <w:r>
        <w:t xml:space="preserve"> </w:t>
      </w:r>
      <w:r w:rsidR="00B327AB">
        <w:t xml:space="preserve">Wyn-Evans, Wooding, </w:t>
      </w:r>
      <w:r w:rsidR="00244952">
        <w:rPr>
          <w:i/>
          <w:iCs/>
        </w:rPr>
        <w:t>St David of Wales Cult</w:t>
      </w:r>
      <w:r w:rsidR="00EB069F">
        <w:rPr>
          <w:i/>
          <w:iCs/>
        </w:rPr>
        <w:t>,</w:t>
      </w:r>
      <w:r w:rsidR="00244952">
        <w:rPr>
          <w:i/>
          <w:iCs/>
        </w:rPr>
        <w:t xml:space="preserve"> Church and nation</w:t>
      </w:r>
      <w:r w:rsidR="00FA18B1">
        <w:rPr>
          <w:i/>
          <w:iCs/>
        </w:rPr>
        <w:t xml:space="preserve">, </w:t>
      </w:r>
      <w:r w:rsidR="00AF707F">
        <w:rPr>
          <w:i/>
          <w:iCs/>
        </w:rPr>
        <w:t>90.</w:t>
      </w:r>
    </w:p>
  </w:footnote>
  <w:footnote w:id="12">
    <w:p w14:paraId="6A72D895" w14:textId="482C910B" w:rsidR="003D0576" w:rsidRPr="00D116A6" w:rsidRDefault="003D0576">
      <w:pPr>
        <w:pStyle w:val="FootnoteText"/>
        <w:rPr>
          <w:lang w:val="en-GB"/>
        </w:rPr>
      </w:pPr>
      <w:r>
        <w:rPr>
          <w:rStyle w:val="FootnoteReference"/>
        </w:rPr>
        <w:footnoteRef/>
      </w:r>
      <w:r>
        <w:t xml:space="preserve"> </w:t>
      </w:r>
      <w:r w:rsidR="00E34313">
        <w:t>Clive Betts</w:t>
      </w:r>
      <w:r w:rsidR="00376136">
        <w:t xml:space="preserve">, </w:t>
      </w:r>
      <w:r w:rsidR="001A2BCD">
        <w:rPr>
          <w:i/>
          <w:iCs/>
          <w:lang w:val="en-GB"/>
        </w:rPr>
        <w:t xml:space="preserve">Western </w:t>
      </w:r>
      <w:proofErr w:type="gramStart"/>
      <w:r w:rsidR="001A2BCD">
        <w:rPr>
          <w:i/>
          <w:iCs/>
          <w:lang w:val="en-GB"/>
        </w:rPr>
        <w:t>Mail</w:t>
      </w:r>
      <w:r w:rsidR="00D116A6">
        <w:rPr>
          <w:i/>
          <w:iCs/>
          <w:lang w:val="en-GB"/>
        </w:rPr>
        <w:t xml:space="preserve"> </w:t>
      </w:r>
      <w:r w:rsidR="00414741">
        <w:rPr>
          <w:i/>
          <w:iCs/>
          <w:lang w:val="en-GB"/>
        </w:rPr>
        <w:t xml:space="preserve"> </w:t>
      </w:r>
      <w:r w:rsidR="00414741">
        <w:rPr>
          <w:lang w:val="en-GB"/>
        </w:rPr>
        <w:t>1</w:t>
      </w:r>
      <w:proofErr w:type="gramEnd"/>
      <w:r w:rsidR="00414741" w:rsidRPr="00414741">
        <w:rPr>
          <w:vertAlign w:val="superscript"/>
          <w:lang w:val="en-GB"/>
        </w:rPr>
        <w:t>st</w:t>
      </w:r>
      <w:r w:rsidR="00B05DC0">
        <w:rPr>
          <w:vertAlign w:val="superscript"/>
          <w:lang w:val="en-GB"/>
        </w:rPr>
        <w:t xml:space="preserve"> </w:t>
      </w:r>
      <w:r w:rsidR="00B05DC0">
        <w:rPr>
          <w:lang w:val="en-GB"/>
        </w:rPr>
        <w:t>M</w:t>
      </w:r>
      <w:r w:rsidR="00414741">
        <w:rPr>
          <w:lang w:val="en-GB"/>
        </w:rPr>
        <w:t xml:space="preserve">arch </w:t>
      </w:r>
      <w:r w:rsidR="00D116A6">
        <w:rPr>
          <w:lang w:val="en-GB"/>
        </w:rPr>
        <w:t>2002</w:t>
      </w:r>
      <w:r w:rsidR="00743576">
        <w:rPr>
          <w:lang w:val="en-GB"/>
        </w:rPr>
        <w:t xml:space="preserve"> </w:t>
      </w:r>
    </w:p>
  </w:footnote>
  <w:footnote w:id="13">
    <w:p w14:paraId="565418D6" w14:textId="5B3EDCC8" w:rsidR="007D5F81" w:rsidRPr="00D3650F" w:rsidRDefault="00D6300F">
      <w:pPr>
        <w:pStyle w:val="FootnoteText"/>
        <w:rPr>
          <w:lang w:val="en-GB"/>
        </w:rPr>
      </w:pPr>
      <w:r>
        <w:rPr>
          <w:rStyle w:val="FootnoteReference"/>
        </w:rPr>
        <w:footnoteRef/>
      </w:r>
      <w:r w:rsidR="00004FEB">
        <w:t xml:space="preserve">Oliver </w:t>
      </w:r>
      <w:r>
        <w:t>Davies</w:t>
      </w:r>
      <w:r w:rsidR="00DB63CB">
        <w:t xml:space="preserve">, </w:t>
      </w:r>
      <w:r w:rsidR="00DB63CB">
        <w:rPr>
          <w:i/>
          <w:iCs/>
        </w:rPr>
        <w:t xml:space="preserve">Celtic </w:t>
      </w:r>
      <w:r w:rsidR="00462950">
        <w:rPr>
          <w:i/>
          <w:iCs/>
        </w:rPr>
        <w:t>Christianity in</w:t>
      </w:r>
      <w:r w:rsidR="00DB63CB">
        <w:rPr>
          <w:i/>
          <w:iCs/>
        </w:rPr>
        <w:t xml:space="preserve"> Earl</w:t>
      </w:r>
      <w:r w:rsidR="003C4F03">
        <w:rPr>
          <w:i/>
          <w:iCs/>
        </w:rPr>
        <w:t>y</w:t>
      </w:r>
      <w:r w:rsidR="00DB63CB">
        <w:rPr>
          <w:i/>
          <w:iCs/>
        </w:rPr>
        <w:t xml:space="preserve"> Medieval Wale</w:t>
      </w:r>
      <w:r w:rsidR="000E57FC">
        <w:rPr>
          <w:i/>
          <w:iCs/>
        </w:rPr>
        <w:t>s</w:t>
      </w:r>
      <w:r w:rsidR="00687B51">
        <w:rPr>
          <w:i/>
          <w:iCs/>
        </w:rPr>
        <w:t xml:space="preserve">, </w:t>
      </w:r>
      <w:r w:rsidR="00D3650F">
        <w:t>11.</w:t>
      </w:r>
    </w:p>
  </w:footnote>
  <w:footnote w:id="14">
    <w:p w14:paraId="27044A7F" w14:textId="28856047" w:rsidR="00FD5667" w:rsidRPr="006C3502" w:rsidRDefault="00FD5667">
      <w:pPr>
        <w:pStyle w:val="FootnoteText"/>
        <w:rPr>
          <w:lang w:val="en-GB"/>
        </w:rPr>
      </w:pPr>
      <w:r>
        <w:rPr>
          <w:rStyle w:val="FootnoteReference"/>
        </w:rPr>
        <w:footnoteRef/>
      </w:r>
      <w:r>
        <w:t xml:space="preserve"> </w:t>
      </w:r>
      <w:r w:rsidR="00396E2A">
        <w:t>Oliver Davies</w:t>
      </w:r>
      <w:r w:rsidR="00BF5C2B">
        <w:t xml:space="preserve">, </w:t>
      </w:r>
      <w:r w:rsidR="00BF5C2B">
        <w:rPr>
          <w:i/>
          <w:iCs/>
        </w:rPr>
        <w:t>Celtic Spirituali</w:t>
      </w:r>
      <w:r w:rsidR="003C4F03">
        <w:rPr>
          <w:i/>
          <w:iCs/>
        </w:rPr>
        <w:t>ty</w:t>
      </w:r>
      <w:r w:rsidR="006C3502">
        <w:rPr>
          <w:i/>
          <w:iCs/>
        </w:rPr>
        <w:t xml:space="preserve"> </w:t>
      </w:r>
      <w:r w:rsidR="006C3502">
        <w:t>(</w:t>
      </w:r>
      <w:r w:rsidR="000B7493">
        <w:t xml:space="preserve">Mahwah New </w:t>
      </w:r>
      <w:r w:rsidR="004B4ACD">
        <w:t xml:space="preserve">Jersey: </w:t>
      </w:r>
      <w:r w:rsidR="00B6637A">
        <w:t>Paulist Press</w:t>
      </w:r>
      <w:r w:rsidR="0034052B">
        <w:t xml:space="preserve">, </w:t>
      </w:r>
      <w:r w:rsidR="00F57641">
        <w:t xml:space="preserve">1999), </w:t>
      </w:r>
      <w:r w:rsidR="00383F30">
        <w:t>35.</w:t>
      </w:r>
    </w:p>
  </w:footnote>
  <w:footnote w:id="15">
    <w:p w14:paraId="6E4623FF" w14:textId="76100537" w:rsidR="00906DF2" w:rsidRPr="00906DF2" w:rsidRDefault="00906DF2">
      <w:pPr>
        <w:pStyle w:val="FootnoteText"/>
        <w:rPr>
          <w:lang w:val="en-GB"/>
        </w:rPr>
      </w:pPr>
      <w:r>
        <w:rPr>
          <w:rStyle w:val="FootnoteReference"/>
        </w:rPr>
        <w:footnoteRef/>
      </w:r>
      <w:r>
        <w:t xml:space="preserve"> </w:t>
      </w:r>
      <w:r w:rsidR="00FA18B1">
        <w:t>W</w:t>
      </w:r>
      <w:proofErr w:type="spellStart"/>
      <w:r w:rsidR="00FA18B1">
        <w:rPr>
          <w:lang w:val="en-GB"/>
        </w:rPr>
        <w:t>yn</w:t>
      </w:r>
      <w:proofErr w:type="spellEnd"/>
      <w:r w:rsidR="00FA18B1">
        <w:rPr>
          <w:lang w:val="en-GB"/>
        </w:rPr>
        <w:t>-Evans, Wooding</w:t>
      </w:r>
      <w:r w:rsidR="009A1F54">
        <w:rPr>
          <w:lang w:val="en-GB"/>
        </w:rPr>
        <w:t xml:space="preserve">, </w:t>
      </w:r>
      <w:r w:rsidR="009A1F54" w:rsidRPr="005B5385">
        <w:rPr>
          <w:i/>
          <w:iCs/>
          <w:lang w:val="en-GB"/>
        </w:rPr>
        <w:t>St David of Wales Cult</w:t>
      </w:r>
      <w:r w:rsidR="00EB069F">
        <w:rPr>
          <w:i/>
          <w:iCs/>
          <w:lang w:val="en-GB"/>
        </w:rPr>
        <w:t>,</w:t>
      </w:r>
      <w:r w:rsidR="009A1F54" w:rsidRPr="005B5385">
        <w:rPr>
          <w:i/>
          <w:iCs/>
          <w:lang w:val="en-GB"/>
        </w:rPr>
        <w:t xml:space="preserve"> Church and Nation</w:t>
      </w:r>
      <w:r w:rsidR="005B5385">
        <w:rPr>
          <w:i/>
          <w:iCs/>
          <w:lang w:val="en-GB"/>
        </w:rPr>
        <w:t>,</w:t>
      </w:r>
      <w:r w:rsidR="00663B0B">
        <w:rPr>
          <w:lang w:val="en-GB"/>
        </w:rPr>
        <w:t xml:space="preserve"> 17.</w:t>
      </w:r>
    </w:p>
  </w:footnote>
  <w:footnote w:id="16">
    <w:p w14:paraId="1699F4E4" w14:textId="184A50F2" w:rsidR="00A16819" w:rsidRPr="00B63385" w:rsidRDefault="00A16819">
      <w:pPr>
        <w:pStyle w:val="FootnoteText"/>
        <w:rPr>
          <w:lang w:val="en-GB"/>
        </w:rPr>
      </w:pPr>
      <w:r>
        <w:rPr>
          <w:rStyle w:val="FootnoteReference"/>
        </w:rPr>
        <w:footnoteRef/>
      </w:r>
      <w:r>
        <w:t xml:space="preserve"> </w:t>
      </w:r>
      <w:r w:rsidR="006C6023">
        <w:rPr>
          <w:lang w:val="en-GB"/>
        </w:rPr>
        <w:t xml:space="preserve">Wyn-Evans, Wooding, </w:t>
      </w:r>
      <w:r w:rsidR="006C6023">
        <w:rPr>
          <w:i/>
          <w:iCs/>
          <w:lang w:val="en-GB"/>
        </w:rPr>
        <w:t>St David of Wales Cult</w:t>
      </w:r>
      <w:r w:rsidR="00EB069F">
        <w:rPr>
          <w:i/>
          <w:iCs/>
          <w:lang w:val="en-GB"/>
        </w:rPr>
        <w:t>,</w:t>
      </w:r>
      <w:r w:rsidR="006C6023">
        <w:rPr>
          <w:i/>
          <w:iCs/>
          <w:lang w:val="en-GB"/>
        </w:rPr>
        <w:t xml:space="preserve"> Church and </w:t>
      </w:r>
      <w:r w:rsidR="00C60898">
        <w:rPr>
          <w:i/>
          <w:iCs/>
          <w:lang w:val="en-GB"/>
        </w:rPr>
        <w:t>Natio</w:t>
      </w:r>
      <w:r w:rsidR="00671450">
        <w:rPr>
          <w:i/>
          <w:iCs/>
          <w:lang w:val="en-GB"/>
        </w:rPr>
        <w:t>n,</w:t>
      </w:r>
      <w:r w:rsidR="00B63385">
        <w:rPr>
          <w:i/>
          <w:iCs/>
          <w:lang w:val="en-GB"/>
        </w:rPr>
        <w:t xml:space="preserve"> </w:t>
      </w:r>
      <w:r w:rsidR="00B63385">
        <w:rPr>
          <w:lang w:val="en-GB"/>
        </w:rPr>
        <w:t>117.</w:t>
      </w:r>
    </w:p>
  </w:footnote>
  <w:footnote w:id="17">
    <w:p w14:paraId="321C5804" w14:textId="6E71363A" w:rsidR="002C3895" w:rsidRPr="00C108A2" w:rsidRDefault="002C3895">
      <w:pPr>
        <w:pStyle w:val="FootnoteText"/>
        <w:rPr>
          <w:lang w:val="en-GB"/>
        </w:rPr>
      </w:pPr>
      <w:r>
        <w:rPr>
          <w:rStyle w:val="FootnoteReference"/>
        </w:rPr>
        <w:footnoteRef/>
      </w:r>
      <w:r>
        <w:t xml:space="preserve"> </w:t>
      </w:r>
      <w:r w:rsidR="00361399">
        <w:t xml:space="preserve">Wyn-Evans, Wooding, </w:t>
      </w:r>
      <w:r w:rsidR="00361399">
        <w:rPr>
          <w:i/>
          <w:iCs/>
        </w:rPr>
        <w:t>St David of Wales Cult</w:t>
      </w:r>
      <w:r w:rsidR="00EB069F">
        <w:rPr>
          <w:i/>
          <w:iCs/>
        </w:rPr>
        <w:t>,</w:t>
      </w:r>
      <w:r w:rsidR="00361399">
        <w:rPr>
          <w:i/>
          <w:iCs/>
        </w:rPr>
        <w:t xml:space="preserve"> Church and Nation</w:t>
      </w:r>
      <w:r w:rsidR="00C108A2">
        <w:rPr>
          <w:i/>
          <w:iCs/>
        </w:rPr>
        <w:t xml:space="preserve">, </w:t>
      </w:r>
      <w:r w:rsidR="00C108A2">
        <w:t>123.</w:t>
      </w:r>
    </w:p>
  </w:footnote>
  <w:footnote w:id="18">
    <w:p w14:paraId="0473ABB1" w14:textId="25DF068A" w:rsidR="00C108A2" w:rsidRPr="00142EF2" w:rsidRDefault="00C108A2">
      <w:pPr>
        <w:pStyle w:val="FootnoteText"/>
        <w:rPr>
          <w:i/>
          <w:iCs/>
          <w:lang w:val="en-GB"/>
        </w:rPr>
      </w:pPr>
      <w:r>
        <w:rPr>
          <w:rStyle w:val="FootnoteReference"/>
        </w:rPr>
        <w:footnoteRef/>
      </w:r>
      <w:r>
        <w:t xml:space="preserve"> </w:t>
      </w:r>
      <w:r w:rsidR="00142EF2">
        <w:rPr>
          <w:lang w:val="en-GB"/>
        </w:rPr>
        <w:t xml:space="preserve">Wyn-Evans, Wooding, </w:t>
      </w:r>
      <w:r w:rsidR="00142EF2">
        <w:rPr>
          <w:i/>
          <w:iCs/>
          <w:lang w:val="en-GB"/>
        </w:rPr>
        <w:t>St David of Wales</w:t>
      </w:r>
      <w:r w:rsidR="007668D0">
        <w:rPr>
          <w:i/>
          <w:iCs/>
          <w:lang w:val="en-GB"/>
        </w:rPr>
        <w:t xml:space="preserve"> Cult</w:t>
      </w:r>
      <w:r w:rsidR="00EB069F">
        <w:rPr>
          <w:i/>
          <w:iCs/>
          <w:lang w:val="en-GB"/>
        </w:rPr>
        <w:t>,</w:t>
      </w:r>
      <w:r w:rsidR="007668D0">
        <w:rPr>
          <w:i/>
          <w:iCs/>
          <w:lang w:val="en-GB"/>
        </w:rPr>
        <w:t xml:space="preserve"> Church and Nation,</w:t>
      </w:r>
      <w:r w:rsidR="00B54A7A">
        <w:rPr>
          <w:i/>
          <w:iCs/>
          <w:lang w:val="en-GB"/>
        </w:rPr>
        <w:t xml:space="preserve"> </w:t>
      </w:r>
      <w:r w:rsidR="00FD3221">
        <w:rPr>
          <w:lang w:val="en-GB"/>
        </w:rPr>
        <w:t>113</w:t>
      </w:r>
      <w:r w:rsidR="007668D0">
        <w:rPr>
          <w:i/>
          <w:iCs/>
          <w:lang w:val="en-GB"/>
        </w:rPr>
        <w:t>.</w:t>
      </w:r>
    </w:p>
  </w:footnote>
  <w:footnote w:id="19">
    <w:p w14:paraId="5B853429" w14:textId="17FA103C" w:rsidR="007668D0" w:rsidRPr="00AE5BA8" w:rsidRDefault="007668D0">
      <w:pPr>
        <w:pStyle w:val="FootnoteText"/>
        <w:rPr>
          <w:i/>
          <w:iCs/>
          <w:lang w:val="en-GB"/>
        </w:rPr>
      </w:pPr>
      <w:r>
        <w:rPr>
          <w:rStyle w:val="FootnoteReference"/>
        </w:rPr>
        <w:footnoteRef/>
      </w:r>
      <w:r>
        <w:t xml:space="preserve"> </w:t>
      </w:r>
      <w:r w:rsidR="00DE1435">
        <w:rPr>
          <w:lang w:val="en-GB"/>
        </w:rPr>
        <w:t>Wyn-Evans</w:t>
      </w:r>
      <w:r w:rsidR="00AE5BA8">
        <w:rPr>
          <w:lang w:val="en-GB"/>
        </w:rPr>
        <w:t xml:space="preserve">, Wooding, </w:t>
      </w:r>
      <w:r w:rsidR="00AE5BA8">
        <w:rPr>
          <w:i/>
          <w:iCs/>
          <w:lang w:val="en-GB"/>
        </w:rPr>
        <w:t>St David of Wales Cult</w:t>
      </w:r>
      <w:r w:rsidR="00EB069F">
        <w:rPr>
          <w:i/>
          <w:iCs/>
          <w:lang w:val="en-GB"/>
        </w:rPr>
        <w:t>,</w:t>
      </w:r>
      <w:r w:rsidR="00AE5BA8">
        <w:rPr>
          <w:i/>
          <w:iCs/>
          <w:lang w:val="en-GB"/>
        </w:rPr>
        <w:t xml:space="preserve"> Church and Nation</w:t>
      </w:r>
      <w:r w:rsidR="00475552">
        <w:rPr>
          <w:i/>
          <w:iCs/>
          <w:lang w:val="en-GB"/>
        </w:rPr>
        <w:t xml:space="preserve">, </w:t>
      </w:r>
      <w:r w:rsidR="00C96D17">
        <w:rPr>
          <w:lang w:val="en-GB"/>
        </w:rPr>
        <w:t>182 -183</w:t>
      </w:r>
      <w:r w:rsidR="00475552">
        <w:rPr>
          <w:i/>
          <w:iCs/>
          <w:lang w:val="en-GB"/>
        </w:rPr>
        <w:t>.</w:t>
      </w:r>
    </w:p>
  </w:footnote>
  <w:footnote w:id="20">
    <w:p w14:paraId="0B44E264" w14:textId="6E012690" w:rsidR="00475552" w:rsidRPr="00471008" w:rsidRDefault="00475552">
      <w:pPr>
        <w:pStyle w:val="FootnoteText"/>
        <w:rPr>
          <w:lang w:val="en-GB"/>
        </w:rPr>
      </w:pPr>
      <w:r>
        <w:rPr>
          <w:rStyle w:val="FootnoteReference"/>
        </w:rPr>
        <w:footnoteRef/>
      </w:r>
      <w:r>
        <w:t xml:space="preserve"> </w:t>
      </w:r>
      <w:r w:rsidR="00DA7BB6">
        <w:t xml:space="preserve">Ian Bradley, </w:t>
      </w:r>
      <w:r w:rsidR="001D1CE2">
        <w:rPr>
          <w:i/>
          <w:iCs/>
          <w:lang w:val="en-GB"/>
        </w:rPr>
        <w:t>Celti</w:t>
      </w:r>
      <w:r w:rsidR="00447708">
        <w:rPr>
          <w:i/>
          <w:iCs/>
          <w:lang w:val="en-GB"/>
        </w:rPr>
        <w:t>c Christianity</w:t>
      </w:r>
      <w:r w:rsidR="00471008">
        <w:rPr>
          <w:i/>
          <w:iCs/>
          <w:lang w:val="en-GB"/>
        </w:rPr>
        <w:t xml:space="preserve"> </w:t>
      </w:r>
      <w:r w:rsidR="00B72A75">
        <w:rPr>
          <w:lang w:val="en-GB"/>
        </w:rPr>
        <w:t>(Edinburgh</w:t>
      </w:r>
      <w:r w:rsidR="00890107">
        <w:rPr>
          <w:lang w:val="en-GB"/>
        </w:rPr>
        <w:t>: Edinburgh University Press</w:t>
      </w:r>
      <w:r w:rsidR="001A03EB">
        <w:rPr>
          <w:lang w:val="en-GB"/>
        </w:rPr>
        <w:t>, 1999</w:t>
      </w:r>
      <w:r w:rsidR="0000354E">
        <w:rPr>
          <w:lang w:val="en-GB"/>
        </w:rPr>
        <w:t xml:space="preserve">), </w:t>
      </w:r>
      <w:r w:rsidR="00632085">
        <w:rPr>
          <w:lang w:val="en-GB"/>
        </w:rPr>
        <w:t>49.</w:t>
      </w:r>
    </w:p>
  </w:footnote>
  <w:footnote w:id="21">
    <w:p w14:paraId="384ECFC8" w14:textId="0FA58BE4" w:rsidR="005B6B2C" w:rsidRPr="00CA5BD4" w:rsidRDefault="005B6B2C">
      <w:pPr>
        <w:pStyle w:val="FootnoteText"/>
        <w:rPr>
          <w:u w:val="single"/>
          <w:lang w:val="en-GB"/>
        </w:rPr>
      </w:pPr>
      <w:r>
        <w:rPr>
          <w:rStyle w:val="FootnoteReference"/>
        </w:rPr>
        <w:footnoteRef/>
      </w:r>
      <w:r>
        <w:t xml:space="preserve"> </w:t>
      </w:r>
      <w:r w:rsidR="00E17DAF">
        <w:t>Oliver Davies</w:t>
      </w:r>
      <w:r w:rsidR="00466AB9">
        <w:t xml:space="preserve">, </w:t>
      </w:r>
      <w:r w:rsidR="0063648B">
        <w:rPr>
          <w:i/>
          <w:iCs/>
        </w:rPr>
        <w:t xml:space="preserve">Celtic </w:t>
      </w:r>
      <w:r w:rsidR="00827CB4">
        <w:rPr>
          <w:i/>
          <w:iCs/>
        </w:rPr>
        <w:t>Christianity</w:t>
      </w:r>
      <w:r w:rsidR="004B2724">
        <w:rPr>
          <w:i/>
          <w:iCs/>
        </w:rPr>
        <w:t xml:space="preserve"> in Early </w:t>
      </w:r>
      <w:r w:rsidR="00507F62">
        <w:rPr>
          <w:i/>
          <w:iCs/>
        </w:rPr>
        <w:t>Medieval Wales</w:t>
      </w:r>
      <w:r w:rsidR="00827CB4">
        <w:rPr>
          <w:i/>
          <w:iCs/>
        </w:rPr>
        <w:t xml:space="preserve"> </w:t>
      </w:r>
      <w:r w:rsidR="00CA5BD4">
        <w:t>(</w:t>
      </w:r>
      <w:r w:rsidR="007846A2">
        <w:t xml:space="preserve">Cardiff: University of Wales Press, </w:t>
      </w:r>
      <w:r w:rsidR="004F574B">
        <w:t xml:space="preserve">1996), </w:t>
      </w:r>
      <w:r w:rsidR="004B2724">
        <w:t>11.</w:t>
      </w:r>
    </w:p>
  </w:footnote>
  <w:footnote w:id="22">
    <w:p w14:paraId="305DF4B9" w14:textId="13F6BDEA" w:rsidR="00750C16" w:rsidRPr="00FB1E58" w:rsidRDefault="00750C16">
      <w:pPr>
        <w:pStyle w:val="FootnoteText"/>
        <w:rPr>
          <w:lang w:val="en-GB"/>
        </w:rPr>
      </w:pPr>
      <w:r>
        <w:rPr>
          <w:rStyle w:val="FootnoteReference"/>
        </w:rPr>
        <w:footnoteRef/>
      </w:r>
      <w:r w:rsidR="00DD476C">
        <w:rPr>
          <w:lang w:val="en-GB"/>
        </w:rPr>
        <w:t>John William</w:t>
      </w:r>
      <w:r w:rsidR="00ED4452">
        <w:rPr>
          <w:lang w:val="en-GB"/>
        </w:rPr>
        <w:t xml:space="preserve"> James, </w:t>
      </w:r>
      <w:proofErr w:type="spellStart"/>
      <w:r w:rsidR="000D7974">
        <w:rPr>
          <w:i/>
          <w:iCs/>
          <w:lang w:val="en-GB"/>
        </w:rPr>
        <w:t>Rh</w:t>
      </w:r>
      <w:r w:rsidR="00F27960">
        <w:rPr>
          <w:i/>
          <w:iCs/>
          <w:lang w:val="en-GB"/>
        </w:rPr>
        <w:t>i</w:t>
      </w:r>
      <w:r w:rsidR="00A170DA">
        <w:rPr>
          <w:i/>
          <w:iCs/>
          <w:lang w:val="en-GB"/>
        </w:rPr>
        <w:t>g</w:t>
      </w:r>
      <w:r w:rsidR="000D7974">
        <w:rPr>
          <w:i/>
          <w:iCs/>
          <w:lang w:val="en-GB"/>
        </w:rPr>
        <w:t>yf</w:t>
      </w:r>
      <w:r w:rsidR="00863E15">
        <w:rPr>
          <w:i/>
          <w:iCs/>
          <w:lang w:val="en-GB"/>
        </w:rPr>
        <w:t>arch’s</w:t>
      </w:r>
      <w:proofErr w:type="spellEnd"/>
      <w:r w:rsidR="00863E15">
        <w:rPr>
          <w:i/>
          <w:iCs/>
          <w:lang w:val="en-GB"/>
        </w:rPr>
        <w:t xml:space="preserve"> Life of St David</w:t>
      </w:r>
      <w:r w:rsidR="00FB1E58">
        <w:rPr>
          <w:i/>
          <w:iCs/>
          <w:lang w:val="en-GB"/>
        </w:rPr>
        <w:t xml:space="preserve"> </w:t>
      </w:r>
      <w:r w:rsidR="003A4323">
        <w:rPr>
          <w:lang w:val="en-GB"/>
        </w:rPr>
        <w:t>(</w:t>
      </w:r>
      <w:r w:rsidR="00544D82">
        <w:rPr>
          <w:lang w:val="en-GB"/>
        </w:rPr>
        <w:t>Cardiff</w:t>
      </w:r>
      <w:r w:rsidR="00B66525">
        <w:rPr>
          <w:lang w:val="en-GB"/>
        </w:rPr>
        <w:t xml:space="preserve">: University of </w:t>
      </w:r>
      <w:r w:rsidR="0075527F">
        <w:rPr>
          <w:lang w:val="en-GB"/>
        </w:rPr>
        <w:t>Wales</w:t>
      </w:r>
      <w:r w:rsidR="00B66525">
        <w:rPr>
          <w:lang w:val="en-GB"/>
        </w:rPr>
        <w:t xml:space="preserve"> Press</w:t>
      </w:r>
      <w:r w:rsidR="00C8379D">
        <w:rPr>
          <w:lang w:val="en-GB"/>
        </w:rPr>
        <w:t>, 1967)</w:t>
      </w:r>
      <w:r w:rsidR="002E4583">
        <w:rPr>
          <w:lang w:val="en-GB"/>
        </w:rPr>
        <w:t>, X</w:t>
      </w:r>
      <w:r w:rsidR="0048266A">
        <w:rPr>
          <w:lang w:val="en-GB"/>
        </w:rPr>
        <w:t>I.</w:t>
      </w:r>
    </w:p>
  </w:footnote>
  <w:footnote w:id="23">
    <w:p w14:paraId="07D18976" w14:textId="7B08C798" w:rsidR="009E4F76" w:rsidRPr="001D072C" w:rsidRDefault="009E4F76">
      <w:pPr>
        <w:pStyle w:val="FootnoteText"/>
        <w:rPr>
          <w:lang w:val="en-GB"/>
        </w:rPr>
      </w:pPr>
      <w:r>
        <w:rPr>
          <w:rStyle w:val="FootnoteReference"/>
        </w:rPr>
        <w:footnoteRef/>
      </w:r>
      <w:r>
        <w:t xml:space="preserve"> </w:t>
      </w:r>
      <w:proofErr w:type="spellStart"/>
      <w:r w:rsidR="00AB3B9C">
        <w:t>Cartwight</w:t>
      </w:r>
      <w:proofErr w:type="spellEnd"/>
      <w:r w:rsidR="00D624E0">
        <w:t>,</w:t>
      </w:r>
      <w:r w:rsidR="00974626">
        <w:t xml:space="preserve"> </w:t>
      </w:r>
      <w:r w:rsidR="00974626">
        <w:rPr>
          <w:i/>
          <w:iCs/>
        </w:rPr>
        <w:t xml:space="preserve">Celtic Hagiography and </w:t>
      </w:r>
      <w:r w:rsidR="00FF10E3">
        <w:rPr>
          <w:i/>
          <w:iCs/>
        </w:rPr>
        <w:t>Saints Cults</w:t>
      </w:r>
      <w:r w:rsidR="001D072C">
        <w:rPr>
          <w:i/>
          <w:iCs/>
        </w:rPr>
        <w:t xml:space="preserve">, </w:t>
      </w:r>
      <w:r w:rsidR="001D072C">
        <w:t>34.</w:t>
      </w:r>
    </w:p>
  </w:footnote>
  <w:footnote w:id="24">
    <w:p w14:paraId="6AB8F7A8" w14:textId="2DFCEC50" w:rsidR="00314D18" w:rsidRPr="00072812" w:rsidRDefault="00314D18">
      <w:pPr>
        <w:pStyle w:val="FootnoteText"/>
        <w:rPr>
          <w:i/>
          <w:iCs/>
          <w:lang w:val="en-GB"/>
        </w:rPr>
      </w:pPr>
      <w:r>
        <w:rPr>
          <w:rStyle w:val="FootnoteReference"/>
        </w:rPr>
        <w:footnoteRef/>
      </w:r>
      <w:r>
        <w:t xml:space="preserve"> </w:t>
      </w:r>
      <w:r w:rsidR="00BB0714">
        <w:t>Bradley</w:t>
      </w:r>
      <w:r w:rsidR="0033171C" w:rsidRPr="0033171C">
        <w:rPr>
          <w:i/>
          <w:iCs/>
        </w:rPr>
        <w:t>, Celtic Christianity</w:t>
      </w:r>
      <w:r w:rsidR="00072812">
        <w:rPr>
          <w:i/>
          <w:iCs/>
        </w:rPr>
        <w:t>,</w:t>
      </w:r>
      <w:r w:rsidR="00072812">
        <w:t xml:space="preserve"> 47.</w:t>
      </w:r>
    </w:p>
  </w:footnote>
  <w:footnote w:id="25">
    <w:p w14:paraId="3E01ACC8" w14:textId="593557AC" w:rsidR="006F62D8" w:rsidRPr="006F62D8" w:rsidRDefault="006F62D8">
      <w:pPr>
        <w:pStyle w:val="FootnoteText"/>
        <w:rPr>
          <w:lang w:val="en-GB"/>
        </w:rPr>
      </w:pPr>
      <w:r>
        <w:rPr>
          <w:rStyle w:val="FootnoteReference"/>
        </w:rPr>
        <w:footnoteRef/>
      </w:r>
      <w:r>
        <w:t xml:space="preserve"> </w:t>
      </w:r>
      <w:r w:rsidR="00FB037B">
        <w:t>Wyn-Evans, Wooding</w:t>
      </w:r>
      <w:r w:rsidR="00D327FA">
        <w:t xml:space="preserve">, </w:t>
      </w:r>
      <w:r w:rsidR="005328F6">
        <w:rPr>
          <w:i/>
          <w:iCs/>
        </w:rPr>
        <w:t>St David of Wales Cult</w:t>
      </w:r>
      <w:r w:rsidR="00EB069F">
        <w:rPr>
          <w:i/>
          <w:iCs/>
        </w:rPr>
        <w:t>,</w:t>
      </w:r>
      <w:r w:rsidR="005328F6">
        <w:rPr>
          <w:i/>
          <w:iCs/>
        </w:rPr>
        <w:t xml:space="preserve"> Church and Nation, </w:t>
      </w:r>
      <w:r w:rsidR="00775B5D">
        <w:rPr>
          <w:lang w:val="en-GB"/>
        </w:rPr>
        <w:t>143.</w:t>
      </w:r>
    </w:p>
  </w:footnote>
  <w:footnote w:id="26">
    <w:p w14:paraId="182D9A84" w14:textId="17731268" w:rsidR="00953161" w:rsidRPr="00BC683E" w:rsidRDefault="00953161">
      <w:pPr>
        <w:pStyle w:val="FootnoteText"/>
        <w:rPr>
          <w:lang w:val="en-GB"/>
        </w:rPr>
      </w:pPr>
      <w:r>
        <w:rPr>
          <w:rStyle w:val="FootnoteReference"/>
        </w:rPr>
        <w:footnoteRef/>
      </w:r>
      <w:r>
        <w:rPr>
          <w:lang w:val="en-GB"/>
        </w:rPr>
        <w:t xml:space="preserve"> </w:t>
      </w:r>
      <w:r w:rsidR="001F5E8B">
        <w:rPr>
          <w:lang w:val="en-GB"/>
        </w:rPr>
        <w:t>Wade-Evans</w:t>
      </w:r>
      <w:r w:rsidR="0002034C">
        <w:rPr>
          <w:lang w:val="en-GB"/>
        </w:rPr>
        <w:t xml:space="preserve">, </w:t>
      </w:r>
      <w:r w:rsidR="006D0ACF">
        <w:rPr>
          <w:i/>
          <w:iCs/>
          <w:lang w:val="en-GB"/>
        </w:rPr>
        <w:t xml:space="preserve">Vitae </w:t>
      </w:r>
      <w:r w:rsidR="00882ABB">
        <w:rPr>
          <w:i/>
          <w:iCs/>
          <w:lang w:val="en-GB"/>
        </w:rPr>
        <w:t>Sanctorum</w:t>
      </w:r>
      <w:r w:rsidR="006D0ACF">
        <w:rPr>
          <w:i/>
          <w:iCs/>
          <w:lang w:val="en-GB"/>
        </w:rPr>
        <w:t xml:space="preserve"> </w:t>
      </w:r>
      <w:r w:rsidR="00ED0553">
        <w:rPr>
          <w:i/>
          <w:iCs/>
          <w:lang w:val="en-GB"/>
        </w:rPr>
        <w:t>Britanniae et</w:t>
      </w:r>
      <w:r w:rsidR="006D0ACF">
        <w:rPr>
          <w:i/>
          <w:iCs/>
          <w:lang w:val="en-GB"/>
        </w:rPr>
        <w:t xml:space="preserve"> </w:t>
      </w:r>
      <w:proofErr w:type="spellStart"/>
      <w:r w:rsidR="006D0ACF">
        <w:rPr>
          <w:i/>
          <w:iCs/>
          <w:lang w:val="en-GB"/>
        </w:rPr>
        <w:t>Geneal</w:t>
      </w:r>
      <w:r w:rsidR="009054D9">
        <w:rPr>
          <w:i/>
          <w:iCs/>
          <w:lang w:val="en-GB"/>
        </w:rPr>
        <w:t>ogi</w:t>
      </w:r>
      <w:r w:rsidR="00882ABB">
        <w:rPr>
          <w:i/>
          <w:iCs/>
          <w:lang w:val="en-GB"/>
        </w:rPr>
        <w:t>ae</w:t>
      </w:r>
      <w:proofErr w:type="spellEnd"/>
      <w:r w:rsidR="00882ABB">
        <w:rPr>
          <w:i/>
          <w:iCs/>
          <w:lang w:val="en-GB"/>
        </w:rPr>
        <w:t>,</w:t>
      </w:r>
      <w:r w:rsidR="008C1529">
        <w:rPr>
          <w:i/>
          <w:iCs/>
          <w:lang w:val="en-GB"/>
        </w:rPr>
        <w:t xml:space="preserve"> </w:t>
      </w:r>
      <w:r w:rsidR="00D33AE0">
        <w:rPr>
          <w:lang w:val="en-GB"/>
        </w:rPr>
        <w:t>XIV</w:t>
      </w:r>
      <w:r w:rsidR="00D75675">
        <w:rPr>
          <w:lang w:val="en-GB"/>
        </w:rPr>
        <w:t>.</w:t>
      </w:r>
    </w:p>
  </w:footnote>
  <w:footnote w:id="27">
    <w:p w14:paraId="0B4099B7" w14:textId="56123678" w:rsidR="00723C4C" w:rsidRPr="00723C4C" w:rsidRDefault="00723C4C">
      <w:pPr>
        <w:pStyle w:val="FootnoteText"/>
        <w:rPr>
          <w:lang w:val="en-GB"/>
        </w:rPr>
      </w:pPr>
      <w:r>
        <w:rPr>
          <w:rStyle w:val="FootnoteReference"/>
        </w:rPr>
        <w:footnoteRef/>
      </w:r>
      <w:r>
        <w:t xml:space="preserve"> </w:t>
      </w:r>
      <w:r w:rsidR="00651055">
        <w:t>Wyn</w:t>
      </w:r>
      <w:r w:rsidR="00AE5A27">
        <w:t>-</w:t>
      </w:r>
      <w:r w:rsidR="00651055">
        <w:t>Evans</w:t>
      </w:r>
      <w:r w:rsidR="00540D0A">
        <w:t>, Wooding</w:t>
      </w:r>
      <w:r w:rsidR="000D262C">
        <w:t xml:space="preserve">, </w:t>
      </w:r>
      <w:r w:rsidR="00767B12">
        <w:rPr>
          <w:i/>
          <w:iCs/>
        </w:rPr>
        <w:t>St David of Wales Cult</w:t>
      </w:r>
      <w:r w:rsidR="00EB069F">
        <w:rPr>
          <w:i/>
          <w:iCs/>
        </w:rPr>
        <w:t>,</w:t>
      </w:r>
      <w:r w:rsidR="00767B12">
        <w:rPr>
          <w:i/>
          <w:iCs/>
        </w:rPr>
        <w:t xml:space="preserve"> Church and</w:t>
      </w:r>
      <w:r w:rsidR="00EB069F">
        <w:rPr>
          <w:i/>
          <w:iCs/>
        </w:rPr>
        <w:t xml:space="preserve"> </w:t>
      </w:r>
      <w:r w:rsidR="000D262C">
        <w:rPr>
          <w:i/>
          <w:iCs/>
        </w:rPr>
        <w:t>N</w:t>
      </w:r>
      <w:r w:rsidR="00767B12">
        <w:rPr>
          <w:i/>
          <w:iCs/>
        </w:rPr>
        <w:t>ation</w:t>
      </w:r>
      <w:r w:rsidR="00540D0A">
        <w:rPr>
          <w:i/>
          <w:iCs/>
        </w:rPr>
        <w:t xml:space="preserve">, </w:t>
      </w:r>
      <w:r w:rsidR="00614B14">
        <w:t>90</w:t>
      </w:r>
      <w:r w:rsidR="00767B12">
        <w:t>.</w:t>
      </w:r>
    </w:p>
  </w:footnote>
  <w:footnote w:id="28">
    <w:p w14:paraId="5A8B9409" w14:textId="55E8CDB6" w:rsidR="00601D0C" w:rsidRPr="00601D0C" w:rsidRDefault="00601D0C">
      <w:pPr>
        <w:pStyle w:val="FootnoteText"/>
        <w:rPr>
          <w:lang w:val="en-GB"/>
        </w:rPr>
      </w:pPr>
      <w:r>
        <w:rPr>
          <w:rStyle w:val="FootnoteReference"/>
        </w:rPr>
        <w:footnoteRef/>
      </w:r>
      <w:r w:rsidR="00F70A1B">
        <w:t>James</w:t>
      </w:r>
      <w:r w:rsidR="001709F3">
        <w:t>,</w:t>
      </w:r>
      <w:r>
        <w:t xml:space="preserve"> </w:t>
      </w:r>
      <w:proofErr w:type="spellStart"/>
      <w:r w:rsidR="00EE5248">
        <w:rPr>
          <w:i/>
          <w:iCs/>
        </w:rPr>
        <w:t>R</w:t>
      </w:r>
      <w:r w:rsidR="006D0BC7">
        <w:rPr>
          <w:i/>
          <w:iCs/>
        </w:rPr>
        <w:t>h</w:t>
      </w:r>
      <w:r w:rsidR="00EE5248">
        <w:rPr>
          <w:i/>
          <w:iCs/>
        </w:rPr>
        <w:t>igyfarch’s</w:t>
      </w:r>
      <w:proofErr w:type="spellEnd"/>
      <w:r w:rsidR="00EE5248">
        <w:rPr>
          <w:i/>
          <w:iCs/>
        </w:rPr>
        <w:t xml:space="preserve"> </w:t>
      </w:r>
      <w:r w:rsidR="002C4F8C">
        <w:rPr>
          <w:i/>
          <w:iCs/>
        </w:rPr>
        <w:t xml:space="preserve">life of St David, </w:t>
      </w:r>
      <w:r w:rsidR="00072EF0">
        <w:t xml:space="preserve">XII </w:t>
      </w:r>
      <w:r w:rsidR="00FF0F4D">
        <w:t>–</w:t>
      </w:r>
      <w:r w:rsidR="00072EF0">
        <w:t xml:space="preserve"> XXXVIII</w:t>
      </w:r>
      <w:r w:rsidR="00FF0F4D">
        <w:t>.</w:t>
      </w:r>
      <w:r w:rsidR="005C4918">
        <w:t xml:space="preserve"> </w:t>
      </w:r>
    </w:p>
  </w:footnote>
  <w:footnote w:id="29">
    <w:p w14:paraId="5C8BB967" w14:textId="47516AC5" w:rsidR="0005630E" w:rsidRPr="0005630E" w:rsidRDefault="0005630E">
      <w:pPr>
        <w:pStyle w:val="FootnoteText"/>
        <w:rPr>
          <w:lang w:val="en-GB"/>
        </w:rPr>
      </w:pPr>
      <w:r>
        <w:rPr>
          <w:rStyle w:val="FootnoteReference"/>
        </w:rPr>
        <w:footnoteRef/>
      </w:r>
      <w:r>
        <w:t xml:space="preserve"> </w:t>
      </w:r>
      <w:r w:rsidR="004F3373">
        <w:t>Wyn-Evans</w:t>
      </w:r>
      <w:r w:rsidR="00E24DCB">
        <w:t xml:space="preserve">, Wooding, </w:t>
      </w:r>
      <w:r w:rsidR="00730F5B">
        <w:rPr>
          <w:i/>
          <w:iCs/>
        </w:rPr>
        <w:t>St David of Wales Cult</w:t>
      </w:r>
      <w:r w:rsidR="00EB069F">
        <w:rPr>
          <w:i/>
          <w:iCs/>
        </w:rPr>
        <w:t>,</w:t>
      </w:r>
      <w:r w:rsidR="00730F5B">
        <w:rPr>
          <w:i/>
          <w:iCs/>
        </w:rPr>
        <w:t xml:space="preserve"> Church and Nation, </w:t>
      </w:r>
      <w:r w:rsidR="00730F5B">
        <w:rPr>
          <w:lang w:val="en-GB"/>
        </w:rPr>
        <w:t>91.</w:t>
      </w:r>
    </w:p>
  </w:footnote>
  <w:footnote w:id="30">
    <w:p w14:paraId="5FF89E05" w14:textId="59BFE81B" w:rsidR="00E24DCB" w:rsidRPr="00E24DCB" w:rsidRDefault="00E24DCB">
      <w:pPr>
        <w:pStyle w:val="FootnoteText"/>
        <w:rPr>
          <w:lang w:val="en-GB"/>
        </w:rPr>
      </w:pPr>
      <w:r>
        <w:rPr>
          <w:rStyle w:val="FootnoteReference"/>
        </w:rPr>
        <w:footnoteRef/>
      </w:r>
      <w:r>
        <w:t xml:space="preserve"> </w:t>
      </w:r>
      <w:r w:rsidR="0066481E">
        <w:t xml:space="preserve">Wyn-Evans, Wooding, </w:t>
      </w:r>
      <w:r w:rsidR="00EB069F">
        <w:rPr>
          <w:i/>
          <w:iCs/>
        </w:rPr>
        <w:t xml:space="preserve">St David of Wales Cult, Church and Nation, </w:t>
      </w:r>
      <w:r w:rsidR="00A31390">
        <w:t>92.</w:t>
      </w:r>
    </w:p>
  </w:footnote>
  <w:footnote w:id="31">
    <w:p w14:paraId="35458581" w14:textId="701BDA23" w:rsidR="00D510C6" w:rsidRPr="001A496D" w:rsidRDefault="00D510C6">
      <w:pPr>
        <w:pStyle w:val="FootnoteText"/>
        <w:rPr>
          <w:i/>
          <w:iCs/>
          <w:lang w:val="en-GB"/>
        </w:rPr>
      </w:pPr>
      <w:r>
        <w:rPr>
          <w:rStyle w:val="FootnoteReference"/>
        </w:rPr>
        <w:footnoteRef/>
      </w:r>
      <w:r>
        <w:t xml:space="preserve"> </w:t>
      </w:r>
      <w:r w:rsidR="00AA17CD">
        <w:rPr>
          <w:lang w:val="en-GB"/>
        </w:rPr>
        <w:t xml:space="preserve">Wyn-Evans, Wooding, </w:t>
      </w:r>
      <w:r w:rsidR="001A496D" w:rsidRPr="001A496D">
        <w:rPr>
          <w:i/>
          <w:iCs/>
          <w:lang w:val="en-GB"/>
        </w:rPr>
        <w:t>St David of Wal</w:t>
      </w:r>
      <w:r w:rsidR="00A0453A">
        <w:rPr>
          <w:i/>
          <w:iCs/>
          <w:lang w:val="en-GB"/>
        </w:rPr>
        <w:t>es Cult, Church and Nation, 93.</w:t>
      </w:r>
    </w:p>
  </w:footnote>
  <w:footnote w:id="32">
    <w:p w14:paraId="51517F6F" w14:textId="7A9FCA3E" w:rsidR="006955A0" w:rsidRPr="00DF5C6E" w:rsidRDefault="006955A0">
      <w:pPr>
        <w:pStyle w:val="FootnoteText"/>
        <w:rPr>
          <w:i/>
          <w:iCs/>
          <w:lang w:val="en-GB"/>
        </w:rPr>
      </w:pPr>
      <w:r>
        <w:rPr>
          <w:rStyle w:val="FootnoteReference"/>
        </w:rPr>
        <w:footnoteRef/>
      </w:r>
      <w:r>
        <w:t xml:space="preserve"> </w:t>
      </w:r>
      <w:r w:rsidR="00B071FC">
        <w:t>Wyn</w:t>
      </w:r>
      <w:r w:rsidR="008846A9">
        <w:t>-</w:t>
      </w:r>
      <w:r w:rsidR="00B071FC">
        <w:t xml:space="preserve">Evans, Wooding, </w:t>
      </w:r>
      <w:r w:rsidR="00DF5C6E">
        <w:rPr>
          <w:i/>
          <w:iCs/>
        </w:rPr>
        <w:t>St Davd of Wal</w:t>
      </w:r>
      <w:r w:rsidR="00DE5C53">
        <w:rPr>
          <w:i/>
          <w:iCs/>
        </w:rPr>
        <w:t xml:space="preserve">es Cult, Church and Nation, </w:t>
      </w:r>
      <w:r w:rsidR="005B1368">
        <w:rPr>
          <w:i/>
          <w:iCs/>
        </w:rPr>
        <w:t>105.</w:t>
      </w:r>
    </w:p>
  </w:footnote>
  <w:footnote w:id="33">
    <w:p w14:paraId="635FF2DE" w14:textId="157BFECF" w:rsidR="00C1506D" w:rsidRPr="00D33AF3" w:rsidRDefault="00C1506D">
      <w:pPr>
        <w:pStyle w:val="FootnoteText"/>
        <w:rPr>
          <w:lang w:val="en-GB"/>
        </w:rPr>
      </w:pPr>
      <w:r>
        <w:rPr>
          <w:rStyle w:val="FootnoteReference"/>
        </w:rPr>
        <w:footnoteRef/>
      </w:r>
      <w:r>
        <w:t xml:space="preserve"> </w:t>
      </w:r>
      <w:r w:rsidR="008A2EBF">
        <w:rPr>
          <w:lang w:val="en-GB"/>
        </w:rPr>
        <w:t xml:space="preserve">Sian </w:t>
      </w:r>
      <w:r w:rsidR="007E4A1F">
        <w:rPr>
          <w:lang w:val="en-GB"/>
        </w:rPr>
        <w:t xml:space="preserve">Victory, </w:t>
      </w:r>
      <w:r w:rsidR="007E4A1F">
        <w:rPr>
          <w:i/>
          <w:iCs/>
          <w:lang w:val="en-GB"/>
        </w:rPr>
        <w:t>The Celtic Church in Wale</w:t>
      </w:r>
      <w:r w:rsidR="000157A7">
        <w:rPr>
          <w:i/>
          <w:iCs/>
          <w:lang w:val="en-GB"/>
        </w:rPr>
        <w:t>s</w:t>
      </w:r>
      <w:r w:rsidR="009E0735">
        <w:rPr>
          <w:i/>
          <w:iCs/>
          <w:lang w:val="en-GB"/>
        </w:rPr>
        <w:t xml:space="preserve"> </w:t>
      </w:r>
      <w:r w:rsidR="00D33AF3">
        <w:rPr>
          <w:lang w:val="en-GB"/>
        </w:rPr>
        <w:t>(London</w:t>
      </w:r>
      <w:r w:rsidR="00701E84">
        <w:rPr>
          <w:lang w:val="en-GB"/>
        </w:rPr>
        <w:t>: SPCK, 19</w:t>
      </w:r>
      <w:r w:rsidR="002D2CEB">
        <w:rPr>
          <w:lang w:val="en-GB"/>
        </w:rPr>
        <w:t>77), 115.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745"/>
    <w:rsid w:val="0000354E"/>
    <w:rsid w:val="00004FEB"/>
    <w:rsid w:val="00007792"/>
    <w:rsid w:val="0001325A"/>
    <w:rsid w:val="000157A7"/>
    <w:rsid w:val="0002034C"/>
    <w:rsid w:val="00027827"/>
    <w:rsid w:val="00031B8C"/>
    <w:rsid w:val="00042F98"/>
    <w:rsid w:val="0005105A"/>
    <w:rsid w:val="000542D7"/>
    <w:rsid w:val="0005630E"/>
    <w:rsid w:val="00070164"/>
    <w:rsid w:val="00072812"/>
    <w:rsid w:val="00072EF0"/>
    <w:rsid w:val="0007637B"/>
    <w:rsid w:val="00082B1E"/>
    <w:rsid w:val="000A7BCF"/>
    <w:rsid w:val="000B0762"/>
    <w:rsid w:val="000B4288"/>
    <w:rsid w:val="000B5518"/>
    <w:rsid w:val="000B7493"/>
    <w:rsid w:val="000C0D6D"/>
    <w:rsid w:val="000C6DB1"/>
    <w:rsid w:val="000D262C"/>
    <w:rsid w:val="000D33E6"/>
    <w:rsid w:val="000D7974"/>
    <w:rsid w:val="000D7F4C"/>
    <w:rsid w:val="000E57FC"/>
    <w:rsid w:val="000E6801"/>
    <w:rsid w:val="000F0EAE"/>
    <w:rsid w:val="000F1F1B"/>
    <w:rsid w:val="0010120B"/>
    <w:rsid w:val="00120F73"/>
    <w:rsid w:val="00122B97"/>
    <w:rsid w:val="00142EF2"/>
    <w:rsid w:val="00144A6C"/>
    <w:rsid w:val="001562E5"/>
    <w:rsid w:val="0016175B"/>
    <w:rsid w:val="001709F3"/>
    <w:rsid w:val="00187627"/>
    <w:rsid w:val="001A03EB"/>
    <w:rsid w:val="001A1A07"/>
    <w:rsid w:val="001A1DCA"/>
    <w:rsid w:val="001A2BCD"/>
    <w:rsid w:val="001A496D"/>
    <w:rsid w:val="001A5CC1"/>
    <w:rsid w:val="001B2EE1"/>
    <w:rsid w:val="001B3E02"/>
    <w:rsid w:val="001B6CAB"/>
    <w:rsid w:val="001D072C"/>
    <w:rsid w:val="001D1CB9"/>
    <w:rsid w:val="001D1CE2"/>
    <w:rsid w:val="001D50DC"/>
    <w:rsid w:val="001D59C3"/>
    <w:rsid w:val="001D609A"/>
    <w:rsid w:val="001E5417"/>
    <w:rsid w:val="001F5E8B"/>
    <w:rsid w:val="00200324"/>
    <w:rsid w:val="002016ED"/>
    <w:rsid w:val="00202523"/>
    <w:rsid w:val="00205D65"/>
    <w:rsid w:val="00206D61"/>
    <w:rsid w:val="00214DC7"/>
    <w:rsid w:val="00227FDE"/>
    <w:rsid w:val="00244952"/>
    <w:rsid w:val="002470E9"/>
    <w:rsid w:val="00254476"/>
    <w:rsid w:val="00273A9F"/>
    <w:rsid w:val="00282B13"/>
    <w:rsid w:val="00291852"/>
    <w:rsid w:val="002A4C13"/>
    <w:rsid w:val="002B24BC"/>
    <w:rsid w:val="002C3895"/>
    <w:rsid w:val="002C3B47"/>
    <w:rsid w:val="002C4F8C"/>
    <w:rsid w:val="002C5F2E"/>
    <w:rsid w:val="002C63AF"/>
    <w:rsid w:val="002D2CEB"/>
    <w:rsid w:val="002E4131"/>
    <w:rsid w:val="002E4583"/>
    <w:rsid w:val="002E55DB"/>
    <w:rsid w:val="002F0F9E"/>
    <w:rsid w:val="002F303E"/>
    <w:rsid w:val="002F581B"/>
    <w:rsid w:val="00301E5D"/>
    <w:rsid w:val="00304288"/>
    <w:rsid w:val="00306F6D"/>
    <w:rsid w:val="00313690"/>
    <w:rsid w:val="00314D18"/>
    <w:rsid w:val="0033171C"/>
    <w:rsid w:val="003328C1"/>
    <w:rsid w:val="003374D9"/>
    <w:rsid w:val="00337BA8"/>
    <w:rsid w:val="0034052B"/>
    <w:rsid w:val="003579B5"/>
    <w:rsid w:val="003603D6"/>
    <w:rsid w:val="00361399"/>
    <w:rsid w:val="00373488"/>
    <w:rsid w:val="00376136"/>
    <w:rsid w:val="00376F98"/>
    <w:rsid w:val="003823DA"/>
    <w:rsid w:val="00383F30"/>
    <w:rsid w:val="0038580B"/>
    <w:rsid w:val="00387935"/>
    <w:rsid w:val="00392C38"/>
    <w:rsid w:val="00396E2A"/>
    <w:rsid w:val="003A4323"/>
    <w:rsid w:val="003B05F9"/>
    <w:rsid w:val="003B1141"/>
    <w:rsid w:val="003B2E59"/>
    <w:rsid w:val="003C4F03"/>
    <w:rsid w:val="003C62F8"/>
    <w:rsid w:val="003D0576"/>
    <w:rsid w:val="003E0160"/>
    <w:rsid w:val="003E464C"/>
    <w:rsid w:val="003F2217"/>
    <w:rsid w:val="003F77D0"/>
    <w:rsid w:val="00402326"/>
    <w:rsid w:val="00414741"/>
    <w:rsid w:val="004213F3"/>
    <w:rsid w:val="00447708"/>
    <w:rsid w:val="00462950"/>
    <w:rsid w:val="00466AB9"/>
    <w:rsid w:val="00471008"/>
    <w:rsid w:val="00475552"/>
    <w:rsid w:val="0048266A"/>
    <w:rsid w:val="00490821"/>
    <w:rsid w:val="00492494"/>
    <w:rsid w:val="004B22C9"/>
    <w:rsid w:val="004B2724"/>
    <w:rsid w:val="004B4ACD"/>
    <w:rsid w:val="004C249D"/>
    <w:rsid w:val="004D2559"/>
    <w:rsid w:val="004D29D4"/>
    <w:rsid w:val="004F3373"/>
    <w:rsid w:val="004F574B"/>
    <w:rsid w:val="0050349D"/>
    <w:rsid w:val="00505CA0"/>
    <w:rsid w:val="00507F62"/>
    <w:rsid w:val="0052056D"/>
    <w:rsid w:val="00526B0F"/>
    <w:rsid w:val="005328F6"/>
    <w:rsid w:val="00534151"/>
    <w:rsid w:val="00540D0A"/>
    <w:rsid w:val="00544D82"/>
    <w:rsid w:val="0054533B"/>
    <w:rsid w:val="0054574C"/>
    <w:rsid w:val="0055122A"/>
    <w:rsid w:val="00554039"/>
    <w:rsid w:val="0056146C"/>
    <w:rsid w:val="00561911"/>
    <w:rsid w:val="005663C5"/>
    <w:rsid w:val="00581784"/>
    <w:rsid w:val="00582620"/>
    <w:rsid w:val="00585103"/>
    <w:rsid w:val="005910DA"/>
    <w:rsid w:val="005B1368"/>
    <w:rsid w:val="005B1B28"/>
    <w:rsid w:val="005B5385"/>
    <w:rsid w:val="005B54CC"/>
    <w:rsid w:val="005B6B2C"/>
    <w:rsid w:val="005C26C2"/>
    <w:rsid w:val="005C3347"/>
    <w:rsid w:val="005C4918"/>
    <w:rsid w:val="005E7852"/>
    <w:rsid w:val="00601D0C"/>
    <w:rsid w:val="00605363"/>
    <w:rsid w:val="00605503"/>
    <w:rsid w:val="0061138D"/>
    <w:rsid w:val="00614B14"/>
    <w:rsid w:val="006240FA"/>
    <w:rsid w:val="00632085"/>
    <w:rsid w:val="0063462C"/>
    <w:rsid w:val="0063648B"/>
    <w:rsid w:val="0064125A"/>
    <w:rsid w:val="00651055"/>
    <w:rsid w:val="00652257"/>
    <w:rsid w:val="00656342"/>
    <w:rsid w:val="00663B0B"/>
    <w:rsid w:val="0066481E"/>
    <w:rsid w:val="00671450"/>
    <w:rsid w:val="00676678"/>
    <w:rsid w:val="00687B51"/>
    <w:rsid w:val="006935A4"/>
    <w:rsid w:val="006955A0"/>
    <w:rsid w:val="00695CAC"/>
    <w:rsid w:val="006A764E"/>
    <w:rsid w:val="006C2E0D"/>
    <w:rsid w:val="006C3502"/>
    <w:rsid w:val="006C59D8"/>
    <w:rsid w:val="006C6023"/>
    <w:rsid w:val="006C7127"/>
    <w:rsid w:val="006D0608"/>
    <w:rsid w:val="006D0ACF"/>
    <w:rsid w:val="006D0BC7"/>
    <w:rsid w:val="006D3D29"/>
    <w:rsid w:val="006E5DAB"/>
    <w:rsid w:val="006F1342"/>
    <w:rsid w:val="006F62D8"/>
    <w:rsid w:val="007006F0"/>
    <w:rsid w:val="00701E84"/>
    <w:rsid w:val="00702FB8"/>
    <w:rsid w:val="0070313F"/>
    <w:rsid w:val="007220E1"/>
    <w:rsid w:val="00723C4C"/>
    <w:rsid w:val="00723D64"/>
    <w:rsid w:val="00723FFB"/>
    <w:rsid w:val="00730F5B"/>
    <w:rsid w:val="00735860"/>
    <w:rsid w:val="00737327"/>
    <w:rsid w:val="00743576"/>
    <w:rsid w:val="00750C16"/>
    <w:rsid w:val="0075527F"/>
    <w:rsid w:val="007668D0"/>
    <w:rsid w:val="00767B12"/>
    <w:rsid w:val="00773EF5"/>
    <w:rsid w:val="007746EF"/>
    <w:rsid w:val="007754D9"/>
    <w:rsid w:val="00775B5D"/>
    <w:rsid w:val="007846A2"/>
    <w:rsid w:val="00791BE3"/>
    <w:rsid w:val="007932F3"/>
    <w:rsid w:val="00797DAD"/>
    <w:rsid w:val="007A47BB"/>
    <w:rsid w:val="007B115F"/>
    <w:rsid w:val="007D3E85"/>
    <w:rsid w:val="007D5F81"/>
    <w:rsid w:val="007D658B"/>
    <w:rsid w:val="007E1766"/>
    <w:rsid w:val="007E4A1F"/>
    <w:rsid w:val="00806120"/>
    <w:rsid w:val="0080784F"/>
    <w:rsid w:val="00814A14"/>
    <w:rsid w:val="00816508"/>
    <w:rsid w:val="00820413"/>
    <w:rsid w:val="00823617"/>
    <w:rsid w:val="00827CB4"/>
    <w:rsid w:val="008426FD"/>
    <w:rsid w:val="00863E15"/>
    <w:rsid w:val="00872B0C"/>
    <w:rsid w:val="008740E7"/>
    <w:rsid w:val="0087664D"/>
    <w:rsid w:val="0088215A"/>
    <w:rsid w:val="00882ABB"/>
    <w:rsid w:val="00882BE9"/>
    <w:rsid w:val="008846A9"/>
    <w:rsid w:val="00890107"/>
    <w:rsid w:val="00891964"/>
    <w:rsid w:val="008A2505"/>
    <w:rsid w:val="008A2EBF"/>
    <w:rsid w:val="008A4F20"/>
    <w:rsid w:val="008A6E60"/>
    <w:rsid w:val="008C1089"/>
    <w:rsid w:val="008C1529"/>
    <w:rsid w:val="008C4398"/>
    <w:rsid w:val="008C449A"/>
    <w:rsid w:val="008D57C1"/>
    <w:rsid w:val="008E1C57"/>
    <w:rsid w:val="008E5CD2"/>
    <w:rsid w:val="008E74EF"/>
    <w:rsid w:val="00904D73"/>
    <w:rsid w:val="009054D9"/>
    <w:rsid w:val="009063DB"/>
    <w:rsid w:val="00906DF2"/>
    <w:rsid w:val="00916DD6"/>
    <w:rsid w:val="00930830"/>
    <w:rsid w:val="0093234F"/>
    <w:rsid w:val="00933760"/>
    <w:rsid w:val="009338C3"/>
    <w:rsid w:val="00937C1B"/>
    <w:rsid w:val="00953161"/>
    <w:rsid w:val="009549E9"/>
    <w:rsid w:val="00954FB8"/>
    <w:rsid w:val="00955C43"/>
    <w:rsid w:val="009575F2"/>
    <w:rsid w:val="00962E78"/>
    <w:rsid w:val="00974626"/>
    <w:rsid w:val="00990D06"/>
    <w:rsid w:val="009A1F54"/>
    <w:rsid w:val="009A2AA6"/>
    <w:rsid w:val="009A3D71"/>
    <w:rsid w:val="009A5360"/>
    <w:rsid w:val="009B1719"/>
    <w:rsid w:val="009B6538"/>
    <w:rsid w:val="009B74A7"/>
    <w:rsid w:val="009C1A80"/>
    <w:rsid w:val="009C7370"/>
    <w:rsid w:val="009E0735"/>
    <w:rsid w:val="009E4F76"/>
    <w:rsid w:val="009E6A92"/>
    <w:rsid w:val="009F24F1"/>
    <w:rsid w:val="009F4B10"/>
    <w:rsid w:val="009F587F"/>
    <w:rsid w:val="00A033FE"/>
    <w:rsid w:val="00A0453A"/>
    <w:rsid w:val="00A05ED8"/>
    <w:rsid w:val="00A11621"/>
    <w:rsid w:val="00A1358F"/>
    <w:rsid w:val="00A13745"/>
    <w:rsid w:val="00A16819"/>
    <w:rsid w:val="00A170DA"/>
    <w:rsid w:val="00A31390"/>
    <w:rsid w:val="00A37203"/>
    <w:rsid w:val="00A43FAE"/>
    <w:rsid w:val="00A4688B"/>
    <w:rsid w:val="00A52508"/>
    <w:rsid w:val="00A66A25"/>
    <w:rsid w:val="00A71B1E"/>
    <w:rsid w:val="00A8464A"/>
    <w:rsid w:val="00A876B0"/>
    <w:rsid w:val="00A973F2"/>
    <w:rsid w:val="00AA1049"/>
    <w:rsid w:val="00AA17CD"/>
    <w:rsid w:val="00AA5214"/>
    <w:rsid w:val="00AB3B9C"/>
    <w:rsid w:val="00AC27F4"/>
    <w:rsid w:val="00AD3B17"/>
    <w:rsid w:val="00AE5A27"/>
    <w:rsid w:val="00AE5BA8"/>
    <w:rsid w:val="00AF707F"/>
    <w:rsid w:val="00B05DC0"/>
    <w:rsid w:val="00B071FC"/>
    <w:rsid w:val="00B11E8E"/>
    <w:rsid w:val="00B16986"/>
    <w:rsid w:val="00B200D3"/>
    <w:rsid w:val="00B26949"/>
    <w:rsid w:val="00B327AB"/>
    <w:rsid w:val="00B33759"/>
    <w:rsid w:val="00B37FED"/>
    <w:rsid w:val="00B47BB1"/>
    <w:rsid w:val="00B54A7A"/>
    <w:rsid w:val="00B63385"/>
    <w:rsid w:val="00B6473C"/>
    <w:rsid w:val="00B6500F"/>
    <w:rsid w:val="00B6637A"/>
    <w:rsid w:val="00B66525"/>
    <w:rsid w:val="00B72A75"/>
    <w:rsid w:val="00B72B9F"/>
    <w:rsid w:val="00B85799"/>
    <w:rsid w:val="00B919F9"/>
    <w:rsid w:val="00BA09F5"/>
    <w:rsid w:val="00BA17CC"/>
    <w:rsid w:val="00BA1EB8"/>
    <w:rsid w:val="00BB0714"/>
    <w:rsid w:val="00BC683E"/>
    <w:rsid w:val="00BD24D8"/>
    <w:rsid w:val="00BD61F4"/>
    <w:rsid w:val="00BF2688"/>
    <w:rsid w:val="00BF5C2B"/>
    <w:rsid w:val="00C02EA7"/>
    <w:rsid w:val="00C032CC"/>
    <w:rsid w:val="00C04BF1"/>
    <w:rsid w:val="00C05C6E"/>
    <w:rsid w:val="00C076CC"/>
    <w:rsid w:val="00C07DDD"/>
    <w:rsid w:val="00C108A2"/>
    <w:rsid w:val="00C1506D"/>
    <w:rsid w:val="00C23AE4"/>
    <w:rsid w:val="00C24717"/>
    <w:rsid w:val="00C27067"/>
    <w:rsid w:val="00C2788B"/>
    <w:rsid w:val="00C50EC1"/>
    <w:rsid w:val="00C5791F"/>
    <w:rsid w:val="00C60898"/>
    <w:rsid w:val="00C67949"/>
    <w:rsid w:val="00C750AC"/>
    <w:rsid w:val="00C82DDF"/>
    <w:rsid w:val="00C8379D"/>
    <w:rsid w:val="00C86CE4"/>
    <w:rsid w:val="00C92794"/>
    <w:rsid w:val="00C95FCA"/>
    <w:rsid w:val="00C96A66"/>
    <w:rsid w:val="00C96D17"/>
    <w:rsid w:val="00CA5BD4"/>
    <w:rsid w:val="00CB3F6A"/>
    <w:rsid w:val="00CD0E83"/>
    <w:rsid w:val="00CD1262"/>
    <w:rsid w:val="00CD5292"/>
    <w:rsid w:val="00CE0A9E"/>
    <w:rsid w:val="00CE0D02"/>
    <w:rsid w:val="00CE5E08"/>
    <w:rsid w:val="00CF2C39"/>
    <w:rsid w:val="00CF2FF7"/>
    <w:rsid w:val="00D03168"/>
    <w:rsid w:val="00D049CA"/>
    <w:rsid w:val="00D07D46"/>
    <w:rsid w:val="00D116A6"/>
    <w:rsid w:val="00D121CE"/>
    <w:rsid w:val="00D3149D"/>
    <w:rsid w:val="00D327FA"/>
    <w:rsid w:val="00D33AE0"/>
    <w:rsid w:val="00D33AF3"/>
    <w:rsid w:val="00D3489B"/>
    <w:rsid w:val="00D3650F"/>
    <w:rsid w:val="00D4464D"/>
    <w:rsid w:val="00D47A72"/>
    <w:rsid w:val="00D510C6"/>
    <w:rsid w:val="00D624E0"/>
    <w:rsid w:val="00D6300F"/>
    <w:rsid w:val="00D64EC2"/>
    <w:rsid w:val="00D67B54"/>
    <w:rsid w:val="00D75675"/>
    <w:rsid w:val="00D85F6C"/>
    <w:rsid w:val="00D91171"/>
    <w:rsid w:val="00DA7BB6"/>
    <w:rsid w:val="00DB13C6"/>
    <w:rsid w:val="00DB63CB"/>
    <w:rsid w:val="00DD2E70"/>
    <w:rsid w:val="00DD476C"/>
    <w:rsid w:val="00DE1435"/>
    <w:rsid w:val="00DE59D1"/>
    <w:rsid w:val="00DE5C53"/>
    <w:rsid w:val="00DF5C6E"/>
    <w:rsid w:val="00DF688C"/>
    <w:rsid w:val="00DF73C7"/>
    <w:rsid w:val="00E04DC6"/>
    <w:rsid w:val="00E05BB3"/>
    <w:rsid w:val="00E12EF1"/>
    <w:rsid w:val="00E17DAF"/>
    <w:rsid w:val="00E2227B"/>
    <w:rsid w:val="00E24DCB"/>
    <w:rsid w:val="00E27479"/>
    <w:rsid w:val="00E34313"/>
    <w:rsid w:val="00E368A3"/>
    <w:rsid w:val="00E525DE"/>
    <w:rsid w:val="00E55475"/>
    <w:rsid w:val="00E61EC8"/>
    <w:rsid w:val="00E62F76"/>
    <w:rsid w:val="00E63B66"/>
    <w:rsid w:val="00E67A5A"/>
    <w:rsid w:val="00E7497A"/>
    <w:rsid w:val="00E7500D"/>
    <w:rsid w:val="00E83BDA"/>
    <w:rsid w:val="00E87DB2"/>
    <w:rsid w:val="00EA4300"/>
    <w:rsid w:val="00EA6621"/>
    <w:rsid w:val="00EB069F"/>
    <w:rsid w:val="00EB20AE"/>
    <w:rsid w:val="00EB4E44"/>
    <w:rsid w:val="00EC54DC"/>
    <w:rsid w:val="00EC5FD5"/>
    <w:rsid w:val="00EC62D9"/>
    <w:rsid w:val="00ED0553"/>
    <w:rsid w:val="00ED4452"/>
    <w:rsid w:val="00ED5B67"/>
    <w:rsid w:val="00ED7734"/>
    <w:rsid w:val="00EE5248"/>
    <w:rsid w:val="00F04466"/>
    <w:rsid w:val="00F14539"/>
    <w:rsid w:val="00F223FE"/>
    <w:rsid w:val="00F27960"/>
    <w:rsid w:val="00F33D17"/>
    <w:rsid w:val="00F43B35"/>
    <w:rsid w:val="00F4631D"/>
    <w:rsid w:val="00F57641"/>
    <w:rsid w:val="00F65D35"/>
    <w:rsid w:val="00F70A1B"/>
    <w:rsid w:val="00F87FC5"/>
    <w:rsid w:val="00FA18B1"/>
    <w:rsid w:val="00FA2F0F"/>
    <w:rsid w:val="00FB037B"/>
    <w:rsid w:val="00FB1E58"/>
    <w:rsid w:val="00FB3D84"/>
    <w:rsid w:val="00FC4875"/>
    <w:rsid w:val="00FC66C1"/>
    <w:rsid w:val="00FC75D8"/>
    <w:rsid w:val="00FD3221"/>
    <w:rsid w:val="00FD5667"/>
    <w:rsid w:val="00FD5F64"/>
    <w:rsid w:val="00FE35B7"/>
    <w:rsid w:val="00FE3ED8"/>
    <w:rsid w:val="00FE47D6"/>
    <w:rsid w:val="00FE6FB9"/>
    <w:rsid w:val="00FF0F4D"/>
    <w:rsid w:val="00FF10E3"/>
    <w:rsid w:val="00FF5280"/>
    <w:rsid w:val="00FF5CDA"/>
    <w:rsid w:val="00FF7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5FDAA3"/>
  <w15:chartTrackingRefBased/>
  <w15:docId w15:val="{8CE1D762-9E2C-46EA-BD32-EC040680F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745"/>
    <w:pPr>
      <w:pBdr>
        <w:top w:val="nil"/>
        <w:left w:val="nil"/>
        <w:bottom w:val="nil"/>
        <w:right w:val="nil"/>
        <w:between w:val="nil"/>
        <w:bar w:val="nil"/>
      </w:pBdr>
      <w:spacing w:after="0" w:line="240" w:lineRule="auto"/>
    </w:pPr>
    <w:rPr>
      <w:rFonts w:ascii="Times New Roman" w:eastAsia="Arial Unicode MS" w:hAnsi="Times New Roman" w:cs="Times New Roman"/>
      <w:kern w:val="0"/>
      <w:bdr w:val="nil"/>
      <w:lang w:val="en-US"/>
      <w14:ligatures w14:val="none"/>
    </w:rPr>
  </w:style>
  <w:style w:type="paragraph" w:styleId="Heading1">
    <w:name w:val="heading 1"/>
    <w:basedOn w:val="Normal"/>
    <w:next w:val="Normal"/>
    <w:link w:val="Heading1Char"/>
    <w:uiPriority w:val="9"/>
    <w:qFormat/>
    <w:rsid w:val="00A13745"/>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360" w:after="80" w:line="278" w:lineRule="auto"/>
      <w:outlineLvl w:val="0"/>
    </w:pPr>
    <w:rPr>
      <w:rFonts w:asciiTheme="majorHAnsi" w:eastAsiaTheme="majorEastAsia" w:hAnsiTheme="majorHAnsi" w:cstheme="majorBidi"/>
      <w:color w:val="0F4761" w:themeColor="accent1" w:themeShade="BF"/>
      <w:kern w:val="2"/>
      <w:sz w:val="40"/>
      <w:szCs w:val="40"/>
      <w:bdr w:val="none" w:sz="0" w:space="0" w:color="auto"/>
      <w:lang w:val="en-GB"/>
      <w14:ligatures w14:val="standardContextual"/>
    </w:rPr>
  </w:style>
  <w:style w:type="paragraph" w:styleId="Heading2">
    <w:name w:val="heading 2"/>
    <w:basedOn w:val="Normal"/>
    <w:next w:val="Normal"/>
    <w:link w:val="Heading2Char"/>
    <w:uiPriority w:val="9"/>
    <w:semiHidden/>
    <w:unhideWhenUsed/>
    <w:qFormat/>
    <w:rsid w:val="00A13745"/>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160" w:after="80" w:line="278" w:lineRule="auto"/>
      <w:outlineLvl w:val="1"/>
    </w:pPr>
    <w:rPr>
      <w:rFonts w:asciiTheme="majorHAnsi" w:eastAsiaTheme="majorEastAsia" w:hAnsiTheme="majorHAnsi" w:cstheme="majorBidi"/>
      <w:color w:val="0F4761" w:themeColor="accent1" w:themeShade="BF"/>
      <w:kern w:val="2"/>
      <w:sz w:val="32"/>
      <w:szCs w:val="32"/>
      <w:bdr w:val="none" w:sz="0" w:space="0" w:color="auto"/>
      <w:lang w:val="en-GB"/>
      <w14:ligatures w14:val="standardContextual"/>
    </w:rPr>
  </w:style>
  <w:style w:type="paragraph" w:styleId="Heading3">
    <w:name w:val="heading 3"/>
    <w:basedOn w:val="Normal"/>
    <w:next w:val="Normal"/>
    <w:link w:val="Heading3Char"/>
    <w:uiPriority w:val="9"/>
    <w:semiHidden/>
    <w:unhideWhenUsed/>
    <w:qFormat/>
    <w:rsid w:val="00A13745"/>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160" w:after="80" w:line="278" w:lineRule="auto"/>
      <w:outlineLvl w:val="2"/>
    </w:pPr>
    <w:rPr>
      <w:rFonts w:asciiTheme="minorHAnsi" w:eastAsiaTheme="majorEastAsia" w:hAnsiTheme="minorHAnsi" w:cstheme="majorBidi"/>
      <w:color w:val="0F4761" w:themeColor="accent1" w:themeShade="BF"/>
      <w:kern w:val="2"/>
      <w:sz w:val="28"/>
      <w:szCs w:val="28"/>
      <w:bdr w:val="none" w:sz="0" w:space="0" w:color="auto"/>
      <w:lang w:val="en-GB"/>
      <w14:ligatures w14:val="standardContextual"/>
    </w:rPr>
  </w:style>
  <w:style w:type="paragraph" w:styleId="Heading4">
    <w:name w:val="heading 4"/>
    <w:basedOn w:val="Normal"/>
    <w:next w:val="Normal"/>
    <w:link w:val="Heading4Char"/>
    <w:uiPriority w:val="9"/>
    <w:semiHidden/>
    <w:unhideWhenUsed/>
    <w:qFormat/>
    <w:rsid w:val="00A13745"/>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80" w:after="40" w:line="278" w:lineRule="auto"/>
      <w:outlineLvl w:val="3"/>
    </w:pPr>
    <w:rPr>
      <w:rFonts w:asciiTheme="minorHAnsi" w:eastAsiaTheme="majorEastAsia" w:hAnsiTheme="minorHAnsi" w:cstheme="majorBidi"/>
      <w:i/>
      <w:iCs/>
      <w:color w:val="0F4761" w:themeColor="accent1" w:themeShade="BF"/>
      <w:kern w:val="2"/>
      <w:bdr w:val="none" w:sz="0" w:space="0" w:color="auto"/>
      <w:lang w:val="en-GB"/>
      <w14:ligatures w14:val="standardContextual"/>
    </w:rPr>
  </w:style>
  <w:style w:type="paragraph" w:styleId="Heading5">
    <w:name w:val="heading 5"/>
    <w:basedOn w:val="Normal"/>
    <w:next w:val="Normal"/>
    <w:link w:val="Heading5Char"/>
    <w:uiPriority w:val="9"/>
    <w:semiHidden/>
    <w:unhideWhenUsed/>
    <w:qFormat/>
    <w:rsid w:val="00A13745"/>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80" w:after="40" w:line="278" w:lineRule="auto"/>
      <w:outlineLvl w:val="4"/>
    </w:pPr>
    <w:rPr>
      <w:rFonts w:asciiTheme="minorHAnsi" w:eastAsiaTheme="majorEastAsia" w:hAnsiTheme="minorHAnsi" w:cstheme="majorBidi"/>
      <w:color w:val="0F4761" w:themeColor="accent1" w:themeShade="BF"/>
      <w:kern w:val="2"/>
      <w:bdr w:val="none" w:sz="0" w:space="0" w:color="auto"/>
      <w:lang w:val="en-GB"/>
      <w14:ligatures w14:val="standardContextual"/>
    </w:rPr>
  </w:style>
  <w:style w:type="paragraph" w:styleId="Heading6">
    <w:name w:val="heading 6"/>
    <w:basedOn w:val="Normal"/>
    <w:next w:val="Normal"/>
    <w:link w:val="Heading6Char"/>
    <w:uiPriority w:val="9"/>
    <w:semiHidden/>
    <w:unhideWhenUsed/>
    <w:qFormat/>
    <w:rsid w:val="00A13745"/>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40" w:line="278" w:lineRule="auto"/>
      <w:outlineLvl w:val="5"/>
    </w:pPr>
    <w:rPr>
      <w:rFonts w:asciiTheme="minorHAnsi" w:eastAsiaTheme="majorEastAsia" w:hAnsiTheme="minorHAnsi" w:cstheme="majorBidi"/>
      <w:i/>
      <w:iCs/>
      <w:color w:val="595959" w:themeColor="text1" w:themeTint="A6"/>
      <w:kern w:val="2"/>
      <w:bdr w:val="none" w:sz="0" w:space="0" w:color="auto"/>
      <w:lang w:val="en-GB"/>
      <w14:ligatures w14:val="standardContextual"/>
    </w:rPr>
  </w:style>
  <w:style w:type="paragraph" w:styleId="Heading7">
    <w:name w:val="heading 7"/>
    <w:basedOn w:val="Normal"/>
    <w:next w:val="Normal"/>
    <w:link w:val="Heading7Char"/>
    <w:uiPriority w:val="9"/>
    <w:semiHidden/>
    <w:unhideWhenUsed/>
    <w:qFormat/>
    <w:rsid w:val="00A13745"/>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40" w:line="278" w:lineRule="auto"/>
      <w:outlineLvl w:val="6"/>
    </w:pPr>
    <w:rPr>
      <w:rFonts w:asciiTheme="minorHAnsi" w:eastAsiaTheme="majorEastAsia" w:hAnsiTheme="minorHAnsi" w:cstheme="majorBidi"/>
      <w:color w:val="595959" w:themeColor="text1" w:themeTint="A6"/>
      <w:kern w:val="2"/>
      <w:bdr w:val="none" w:sz="0" w:space="0" w:color="auto"/>
      <w:lang w:val="en-GB"/>
      <w14:ligatures w14:val="standardContextual"/>
    </w:rPr>
  </w:style>
  <w:style w:type="paragraph" w:styleId="Heading8">
    <w:name w:val="heading 8"/>
    <w:basedOn w:val="Normal"/>
    <w:next w:val="Normal"/>
    <w:link w:val="Heading8Char"/>
    <w:uiPriority w:val="9"/>
    <w:semiHidden/>
    <w:unhideWhenUsed/>
    <w:qFormat/>
    <w:rsid w:val="00A13745"/>
    <w:pPr>
      <w:keepNext/>
      <w:keepLines/>
      <w:pBdr>
        <w:top w:val="none" w:sz="0" w:space="0" w:color="auto"/>
        <w:left w:val="none" w:sz="0" w:space="0" w:color="auto"/>
        <w:bottom w:val="none" w:sz="0" w:space="0" w:color="auto"/>
        <w:right w:val="none" w:sz="0" w:space="0" w:color="auto"/>
        <w:between w:val="none" w:sz="0" w:space="0" w:color="auto"/>
        <w:bar w:val="none" w:sz="0" w:color="auto"/>
      </w:pBdr>
      <w:spacing w:line="278" w:lineRule="auto"/>
      <w:outlineLvl w:val="7"/>
    </w:pPr>
    <w:rPr>
      <w:rFonts w:asciiTheme="minorHAnsi" w:eastAsiaTheme="majorEastAsia" w:hAnsiTheme="minorHAnsi" w:cstheme="majorBidi"/>
      <w:i/>
      <w:iCs/>
      <w:color w:val="272727" w:themeColor="text1" w:themeTint="D8"/>
      <w:kern w:val="2"/>
      <w:bdr w:val="none" w:sz="0" w:space="0" w:color="auto"/>
      <w:lang w:val="en-GB"/>
      <w14:ligatures w14:val="standardContextual"/>
    </w:rPr>
  </w:style>
  <w:style w:type="paragraph" w:styleId="Heading9">
    <w:name w:val="heading 9"/>
    <w:basedOn w:val="Normal"/>
    <w:next w:val="Normal"/>
    <w:link w:val="Heading9Char"/>
    <w:uiPriority w:val="9"/>
    <w:semiHidden/>
    <w:unhideWhenUsed/>
    <w:qFormat/>
    <w:rsid w:val="00A13745"/>
    <w:pPr>
      <w:keepNext/>
      <w:keepLines/>
      <w:pBdr>
        <w:top w:val="none" w:sz="0" w:space="0" w:color="auto"/>
        <w:left w:val="none" w:sz="0" w:space="0" w:color="auto"/>
        <w:bottom w:val="none" w:sz="0" w:space="0" w:color="auto"/>
        <w:right w:val="none" w:sz="0" w:space="0" w:color="auto"/>
        <w:between w:val="none" w:sz="0" w:space="0" w:color="auto"/>
        <w:bar w:val="none" w:sz="0" w:color="auto"/>
      </w:pBdr>
      <w:spacing w:line="278" w:lineRule="auto"/>
      <w:outlineLvl w:val="8"/>
    </w:pPr>
    <w:rPr>
      <w:rFonts w:asciiTheme="minorHAnsi" w:eastAsiaTheme="majorEastAsia" w:hAnsiTheme="minorHAnsi" w:cstheme="majorBidi"/>
      <w:color w:val="272727" w:themeColor="text1" w:themeTint="D8"/>
      <w:kern w:val="2"/>
      <w:bdr w:val="none" w:sz="0" w:space="0" w:color="auto"/>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7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37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7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7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7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7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7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7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745"/>
    <w:rPr>
      <w:rFonts w:eastAsiaTheme="majorEastAsia" w:cstheme="majorBidi"/>
      <w:color w:val="272727" w:themeColor="text1" w:themeTint="D8"/>
    </w:rPr>
  </w:style>
  <w:style w:type="paragraph" w:styleId="Title">
    <w:name w:val="Title"/>
    <w:basedOn w:val="Normal"/>
    <w:next w:val="Normal"/>
    <w:link w:val="TitleChar"/>
    <w:uiPriority w:val="10"/>
    <w:qFormat/>
    <w:rsid w:val="00A13745"/>
    <w:pPr>
      <w:pBdr>
        <w:top w:val="none" w:sz="0" w:space="0" w:color="auto"/>
        <w:left w:val="none" w:sz="0" w:space="0" w:color="auto"/>
        <w:bottom w:val="none" w:sz="0" w:space="0" w:color="auto"/>
        <w:right w:val="none" w:sz="0" w:space="0" w:color="auto"/>
        <w:between w:val="none" w:sz="0" w:space="0" w:color="auto"/>
        <w:bar w:val="none" w:sz="0" w:color="auto"/>
      </w:pBdr>
      <w:spacing w:after="80"/>
      <w:contextualSpacing/>
    </w:pPr>
    <w:rPr>
      <w:rFonts w:asciiTheme="majorHAnsi" w:eastAsiaTheme="majorEastAsia" w:hAnsiTheme="majorHAnsi" w:cstheme="majorBidi"/>
      <w:spacing w:val="-10"/>
      <w:kern w:val="28"/>
      <w:sz w:val="56"/>
      <w:szCs w:val="56"/>
      <w:bdr w:val="none" w:sz="0" w:space="0" w:color="auto"/>
      <w:lang w:val="en-GB"/>
      <w14:ligatures w14:val="standardContextual"/>
    </w:rPr>
  </w:style>
  <w:style w:type="character" w:customStyle="1" w:styleId="TitleChar">
    <w:name w:val="Title Char"/>
    <w:basedOn w:val="DefaultParagraphFont"/>
    <w:link w:val="Title"/>
    <w:uiPriority w:val="10"/>
    <w:rsid w:val="00A137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745"/>
    <w:pPr>
      <w:numPr>
        <w:ilvl w:val="1"/>
      </w:numPr>
      <w:pBdr>
        <w:top w:val="none" w:sz="0" w:space="0" w:color="auto"/>
        <w:left w:val="none" w:sz="0" w:space="0" w:color="auto"/>
        <w:bottom w:val="none" w:sz="0" w:space="0" w:color="auto"/>
        <w:right w:val="none" w:sz="0" w:space="0" w:color="auto"/>
        <w:between w:val="none" w:sz="0" w:space="0" w:color="auto"/>
        <w:bar w:val="none" w:sz="0" w:color="auto"/>
      </w:pBdr>
      <w:spacing w:after="160" w:line="278" w:lineRule="auto"/>
    </w:pPr>
    <w:rPr>
      <w:rFonts w:asciiTheme="minorHAnsi" w:eastAsiaTheme="majorEastAsia" w:hAnsiTheme="minorHAnsi" w:cstheme="majorBidi"/>
      <w:color w:val="595959" w:themeColor="text1" w:themeTint="A6"/>
      <w:spacing w:val="15"/>
      <w:kern w:val="2"/>
      <w:sz w:val="28"/>
      <w:szCs w:val="28"/>
      <w:bdr w:val="none" w:sz="0" w:space="0" w:color="auto"/>
      <w:lang w:val="en-GB"/>
      <w14:ligatures w14:val="standardContextual"/>
    </w:rPr>
  </w:style>
  <w:style w:type="character" w:customStyle="1" w:styleId="SubtitleChar">
    <w:name w:val="Subtitle Char"/>
    <w:basedOn w:val="DefaultParagraphFont"/>
    <w:link w:val="Subtitle"/>
    <w:uiPriority w:val="11"/>
    <w:rsid w:val="00A137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745"/>
    <w:pPr>
      <w:pBdr>
        <w:top w:val="none" w:sz="0" w:space="0" w:color="auto"/>
        <w:left w:val="none" w:sz="0" w:space="0" w:color="auto"/>
        <w:bottom w:val="none" w:sz="0" w:space="0" w:color="auto"/>
        <w:right w:val="none" w:sz="0" w:space="0" w:color="auto"/>
        <w:between w:val="none" w:sz="0" w:space="0" w:color="auto"/>
        <w:bar w:val="none" w:sz="0" w:color="auto"/>
      </w:pBdr>
      <w:spacing w:before="160" w:after="160" w:line="278" w:lineRule="auto"/>
      <w:jc w:val="center"/>
    </w:pPr>
    <w:rPr>
      <w:rFonts w:asciiTheme="minorHAnsi" w:eastAsiaTheme="minorHAnsi" w:hAnsiTheme="minorHAnsi" w:cstheme="minorBidi"/>
      <w:i/>
      <w:iCs/>
      <w:color w:val="404040" w:themeColor="text1" w:themeTint="BF"/>
      <w:kern w:val="2"/>
      <w:bdr w:val="none" w:sz="0" w:space="0" w:color="auto"/>
      <w:lang w:val="en-GB"/>
      <w14:ligatures w14:val="standardContextual"/>
    </w:rPr>
  </w:style>
  <w:style w:type="character" w:customStyle="1" w:styleId="QuoteChar">
    <w:name w:val="Quote Char"/>
    <w:basedOn w:val="DefaultParagraphFont"/>
    <w:link w:val="Quote"/>
    <w:uiPriority w:val="29"/>
    <w:rsid w:val="00A13745"/>
    <w:rPr>
      <w:i/>
      <w:iCs/>
      <w:color w:val="404040" w:themeColor="text1" w:themeTint="BF"/>
    </w:rPr>
  </w:style>
  <w:style w:type="paragraph" w:styleId="ListParagraph">
    <w:name w:val="List Paragraph"/>
    <w:basedOn w:val="Normal"/>
    <w:uiPriority w:val="34"/>
    <w:qFormat/>
    <w:rsid w:val="00A13745"/>
    <w:pPr>
      <w:pBdr>
        <w:top w:val="none" w:sz="0" w:space="0" w:color="auto"/>
        <w:left w:val="none" w:sz="0" w:space="0" w:color="auto"/>
        <w:bottom w:val="none" w:sz="0" w:space="0" w:color="auto"/>
        <w:right w:val="none" w:sz="0" w:space="0" w:color="auto"/>
        <w:between w:val="none" w:sz="0" w:space="0" w:color="auto"/>
        <w:bar w:val="none" w:sz="0" w:color="auto"/>
      </w:pBdr>
      <w:spacing w:after="160" w:line="278" w:lineRule="auto"/>
      <w:ind w:left="720"/>
      <w:contextualSpacing/>
    </w:pPr>
    <w:rPr>
      <w:rFonts w:asciiTheme="minorHAnsi" w:eastAsiaTheme="minorHAnsi" w:hAnsiTheme="minorHAnsi" w:cstheme="minorBidi"/>
      <w:kern w:val="2"/>
      <w:bdr w:val="none" w:sz="0" w:space="0" w:color="auto"/>
      <w:lang w:val="en-GB"/>
      <w14:ligatures w14:val="standardContextual"/>
    </w:rPr>
  </w:style>
  <w:style w:type="character" w:styleId="IntenseEmphasis">
    <w:name w:val="Intense Emphasis"/>
    <w:basedOn w:val="DefaultParagraphFont"/>
    <w:uiPriority w:val="21"/>
    <w:qFormat/>
    <w:rsid w:val="00A13745"/>
    <w:rPr>
      <w:i/>
      <w:iCs/>
      <w:color w:val="0F4761" w:themeColor="accent1" w:themeShade="BF"/>
    </w:rPr>
  </w:style>
  <w:style w:type="paragraph" w:styleId="IntenseQuote">
    <w:name w:val="Intense Quote"/>
    <w:basedOn w:val="Normal"/>
    <w:next w:val="Normal"/>
    <w:link w:val="IntenseQuoteChar"/>
    <w:uiPriority w:val="30"/>
    <w:qFormat/>
    <w:rsid w:val="00A13745"/>
    <w:pPr>
      <w:pBdr>
        <w:top w:val="single" w:sz="4" w:space="10" w:color="0F4761" w:themeColor="accent1" w:themeShade="BF"/>
        <w:left w:val="none" w:sz="0" w:space="0" w:color="auto"/>
        <w:bottom w:val="single" w:sz="4" w:space="10" w:color="0F4761" w:themeColor="accent1" w:themeShade="BF"/>
        <w:right w:val="none" w:sz="0" w:space="0" w:color="auto"/>
        <w:between w:val="none" w:sz="0" w:space="0" w:color="auto"/>
        <w:bar w:val="none" w:sz="0" w:color="auto"/>
      </w:pBdr>
      <w:spacing w:before="360" w:after="360" w:line="278" w:lineRule="auto"/>
      <w:ind w:left="864" w:right="864"/>
      <w:jc w:val="center"/>
    </w:pPr>
    <w:rPr>
      <w:rFonts w:asciiTheme="minorHAnsi" w:eastAsiaTheme="minorHAnsi" w:hAnsiTheme="minorHAnsi" w:cstheme="minorBidi"/>
      <w:i/>
      <w:iCs/>
      <w:color w:val="0F4761" w:themeColor="accent1" w:themeShade="BF"/>
      <w:kern w:val="2"/>
      <w:bdr w:val="none" w:sz="0" w:space="0" w:color="auto"/>
      <w:lang w:val="en-GB"/>
      <w14:ligatures w14:val="standardContextual"/>
    </w:rPr>
  </w:style>
  <w:style w:type="character" w:customStyle="1" w:styleId="IntenseQuoteChar">
    <w:name w:val="Intense Quote Char"/>
    <w:basedOn w:val="DefaultParagraphFont"/>
    <w:link w:val="IntenseQuote"/>
    <w:uiPriority w:val="30"/>
    <w:rsid w:val="00A13745"/>
    <w:rPr>
      <w:i/>
      <w:iCs/>
      <w:color w:val="0F4761" w:themeColor="accent1" w:themeShade="BF"/>
    </w:rPr>
  </w:style>
  <w:style w:type="character" w:styleId="IntenseReference">
    <w:name w:val="Intense Reference"/>
    <w:basedOn w:val="DefaultParagraphFont"/>
    <w:uiPriority w:val="32"/>
    <w:qFormat/>
    <w:rsid w:val="00A13745"/>
    <w:rPr>
      <w:b/>
      <w:bCs/>
      <w:smallCaps/>
      <w:color w:val="0F4761" w:themeColor="accent1" w:themeShade="BF"/>
      <w:spacing w:val="5"/>
    </w:rPr>
  </w:style>
  <w:style w:type="paragraph" w:customStyle="1" w:styleId="Body">
    <w:name w:val="Body"/>
    <w:rsid w:val="00A13745"/>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2"/>
      <w:szCs w:val="22"/>
      <w:bdr w:val="nil"/>
      <w:lang w:val="en-US" w:eastAsia="en-GB"/>
      <w14:textOutline w14:w="0" w14:cap="flat" w14:cmpd="sng" w14:algn="ctr">
        <w14:noFill/>
        <w14:prstDash w14:val="solid"/>
        <w14:bevel/>
      </w14:textOutline>
      <w14:ligatures w14:val="none"/>
    </w:rPr>
  </w:style>
  <w:style w:type="paragraph" w:styleId="FootnoteText">
    <w:name w:val="footnote text"/>
    <w:basedOn w:val="Normal"/>
    <w:link w:val="FootnoteTextChar"/>
    <w:uiPriority w:val="99"/>
    <w:semiHidden/>
    <w:unhideWhenUsed/>
    <w:rsid w:val="00AC27F4"/>
    <w:rPr>
      <w:sz w:val="20"/>
      <w:szCs w:val="20"/>
    </w:rPr>
  </w:style>
  <w:style w:type="character" w:customStyle="1" w:styleId="FootnoteTextChar">
    <w:name w:val="Footnote Text Char"/>
    <w:basedOn w:val="DefaultParagraphFont"/>
    <w:link w:val="FootnoteText"/>
    <w:uiPriority w:val="99"/>
    <w:semiHidden/>
    <w:rsid w:val="00AC27F4"/>
    <w:rPr>
      <w:rFonts w:ascii="Times New Roman" w:eastAsia="Arial Unicode MS" w:hAnsi="Times New Roman" w:cs="Times New Roman"/>
      <w:kern w:val="0"/>
      <w:sz w:val="20"/>
      <w:szCs w:val="20"/>
      <w:bdr w:val="nil"/>
      <w:lang w:val="en-US"/>
      <w14:ligatures w14:val="none"/>
    </w:rPr>
  </w:style>
  <w:style w:type="character" w:styleId="FootnoteReference">
    <w:name w:val="footnote reference"/>
    <w:basedOn w:val="DefaultParagraphFont"/>
    <w:uiPriority w:val="99"/>
    <w:semiHidden/>
    <w:unhideWhenUsed/>
    <w:rsid w:val="00AC27F4"/>
    <w:rPr>
      <w:vertAlign w:val="superscript"/>
    </w:rPr>
  </w:style>
  <w:style w:type="paragraph" w:styleId="Bibliography">
    <w:name w:val="Bibliography"/>
    <w:basedOn w:val="Normal"/>
    <w:next w:val="Normal"/>
    <w:uiPriority w:val="37"/>
    <w:unhideWhenUsed/>
    <w:rsid w:val="00A1358F"/>
  </w:style>
  <w:style w:type="paragraph" w:styleId="Header">
    <w:name w:val="header"/>
    <w:basedOn w:val="Normal"/>
    <w:link w:val="HeaderChar"/>
    <w:uiPriority w:val="99"/>
    <w:unhideWhenUsed/>
    <w:rsid w:val="000B0762"/>
    <w:pPr>
      <w:tabs>
        <w:tab w:val="center" w:pos="4513"/>
        <w:tab w:val="right" w:pos="9026"/>
      </w:tabs>
    </w:pPr>
  </w:style>
  <w:style w:type="character" w:customStyle="1" w:styleId="HeaderChar">
    <w:name w:val="Header Char"/>
    <w:basedOn w:val="DefaultParagraphFont"/>
    <w:link w:val="Header"/>
    <w:uiPriority w:val="99"/>
    <w:rsid w:val="000B0762"/>
    <w:rPr>
      <w:rFonts w:ascii="Times New Roman" w:eastAsia="Arial Unicode MS" w:hAnsi="Times New Roman" w:cs="Times New Roman"/>
      <w:kern w:val="0"/>
      <w:bdr w:val="nil"/>
      <w:lang w:val="en-US"/>
      <w14:ligatures w14:val="none"/>
    </w:rPr>
  </w:style>
  <w:style w:type="paragraph" w:styleId="Footer">
    <w:name w:val="footer"/>
    <w:basedOn w:val="Normal"/>
    <w:link w:val="FooterChar"/>
    <w:uiPriority w:val="99"/>
    <w:unhideWhenUsed/>
    <w:rsid w:val="000B0762"/>
    <w:pPr>
      <w:tabs>
        <w:tab w:val="center" w:pos="4513"/>
        <w:tab w:val="right" w:pos="9026"/>
      </w:tabs>
    </w:pPr>
  </w:style>
  <w:style w:type="character" w:customStyle="1" w:styleId="FooterChar">
    <w:name w:val="Footer Char"/>
    <w:basedOn w:val="DefaultParagraphFont"/>
    <w:link w:val="Footer"/>
    <w:uiPriority w:val="99"/>
    <w:rsid w:val="000B0762"/>
    <w:rPr>
      <w:rFonts w:ascii="Times New Roman" w:eastAsia="Arial Unicode MS" w:hAnsi="Times New Roman" w:cs="Times New Roman"/>
      <w:kern w:val="0"/>
      <w:bdr w:val="nil"/>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5879">
      <w:bodyDiv w:val="1"/>
      <w:marLeft w:val="0"/>
      <w:marRight w:val="0"/>
      <w:marTop w:val="0"/>
      <w:marBottom w:val="0"/>
      <w:divBdr>
        <w:top w:val="none" w:sz="0" w:space="0" w:color="auto"/>
        <w:left w:val="none" w:sz="0" w:space="0" w:color="auto"/>
        <w:bottom w:val="none" w:sz="0" w:space="0" w:color="auto"/>
        <w:right w:val="none" w:sz="0" w:space="0" w:color="auto"/>
      </w:divBdr>
    </w:div>
    <w:div w:id="45686834">
      <w:bodyDiv w:val="1"/>
      <w:marLeft w:val="0"/>
      <w:marRight w:val="0"/>
      <w:marTop w:val="0"/>
      <w:marBottom w:val="0"/>
      <w:divBdr>
        <w:top w:val="none" w:sz="0" w:space="0" w:color="auto"/>
        <w:left w:val="none" w:sz="0" w:space="0" w:color="auto"/>
        <w:bottom w:val="none" w:sz="0" w:space="0" w:color="auto"/>
        <w:right w:val="none" w:sz="0" w:space="0" w:color="auto"/>
      </w:divBdr>
    </w:div>
    <w:div w:id="154540295">
      <w:bodyDiv w:val="1"/>
      <w:marLeft w:val="0"/>
      <w:marRight w:val="0"/>
      <w:marTop w:val="0"/>
      <w:marBottom w:val="0"/>
      <w:divBdr>
        <w:top w:val="none" w:sz="0" w:space="0" w:color="auto"/>
        <w:left w:val="none" w:sz="0" w:space="0" w:color="auto"/>
        <w:bottom w:val="none" w:sz="0" w:space="0" w:color="auto"/>
        <w:right w:val="none" w:sz="0" w:space="0" w:color="auto"/>
      </w:divBdr>
    </w:div>
    <w:div w:id="192813660">
      <w:bodyDiv w:val="1"/>
      <w:marLeft w:val="0"/>
      <w:marRight w:val="0"/>
      <w:marTop w:val="0"/>
      <w:marBottom w:val="0"/>
      <w:divBdr>
        <w:top w:val="none" w:sz="0" w:space="0" w:color="auto"/>
        <w:left w:val="none" w:sz="0" w:space="0" w:color="auto"/>
        <w:bottom w:val="none" w:sz="0" w:space="0" w:color="auto"/>
        <w:right w:val="none" w:sz="0" w:space="0" w:color="auto"/>
      </w:divBdr>
    </w:div>
    <w:div w:id="223496042">
      <w:bodyDiv w:val="1"/>
      <w:marLeft w:val="0"/>
      <w:marRight w:val="0"/>
      <w:marTop w:val="0"/>
      <w:marBottom w:val="0"/>
      <w:divBdr>
        <w:top w:val="none" w:sz="0" w:space="0" w:color="auto"/>
        <w:left w:val="none" w:sz="0" w:space="0" w:color="auto"/>
        <w:bottom w:val="none" w:sz="0" w:space="0" w:color="auto"/>
        <w:right w:val="none" w:sz="0" w:space="0" w:color="auto"/>
      </w:divBdr>
    </w:div>
    <w:div w:id="232735716">
      <w:bodyDiv w:val="1"/>
      <w:marLeft w:val="0"/>
      <w:marRight w:val="0"/>
      <w:marTop w:val="0"/>
      <w:marBottom w:val="0"/>
      <w:divBdr>
        <w:top w:val="none" w:sz="0" w:space="0" w:color="auto"/>
        <w:left w:val="none" w:sz="0" w:space="0" w:color="auto"/>
        <w:bottom w:val="none" w:sz="0" w:space="0" w:color="auto"/>
        <w:right w:val="none" w:sz="0" w:space="0" w:color="auto"/>
      </w:divBdr>
    </w:div>
    <w:div w:id="242305539">
      <w:bodyDiv w:val="1"/>
      <w:marLeft w:val="0"/>
      <w:marRight w:val="0"/>
      <w:marTop w:val="0"/>
      <w:marBottom w:val="0"/>
      <w:divBdr>
        <w:top w:val="none" w:sz="0" w:space="0" w:color="auto"/>
        <w:left w:val="none" w:sz="0" w:space="0" w:color="auto"/>
        <w:bottom w:val="none" w:sz="0" w:space="0" w:color="auto"/>
        <w:right w:val="none" w:sz="0" w:space="0" w:color="auto"/>
      </w:divBdr>
    </w:div>
    <w:div w:id="301011207">
      <w:bodyDiv w:val="1"/>
      <w:marLeft w:val="0"/>
      <w:marRight w:val="0"/>
      <w:marTop w:val="0"/>
      <w:marBottom w:val="0"/>
      <w:divBdr>
        <w:top w:val="none" w:sz="0" w:space="0" w:color="auto"/>
        <w:left w:val="none" w:sz="0" w:space="0" w:color="auto"/>
        <w:bottom w:val="none" w:sz="0" w:space="0" w:color="auto"/>
        <w:right w:val="none" w:sz="0" w:space="0" w:color="auto"/>
      </w:divBdr>
    </w:div>
    <w:div w:id="364185522">
      <w:bodyDiv w:val="1"/>
      <w:marLeft w:val="0"/>
      <w:marRight w:val="0"/>
      <w:marTop w:val="0"/>
      <w:marBottom w:val="0"/>
      <w:divBdr>
        <w:top w:val="none" w:sz="0" w:space="0" w:color="auto"/>
        <w:left w:val="none" w:sz="0" w:space="0" w:color="auto"/>
        <w:bottom w:val="none" w:sz="0" w:space="0" w:color="auto"/>
        <w:right w:val="none" w:sz="0" w:space="0" w:color="auto"/>
      </w:divBdr>
    </w:div>
    <w:div w:id="397097630">
      <w:bodyDiv w:val="1"/>
      <w:marLeft w:val="0"/>
      <w:marRight w:val="0"/>
      <w:marTop w:val="0"/>
      <w:marBottom w:val="0"/>
      <w:divBdr>
        <w:top w:val="none" w:sz="0" w:space="0" w:color="auto"/>
        <w:left w:val="none" w:sz="0" w:space="0" w:color="auto"/>
        <w:bottom w:val="none" w:sz="0" w:space="0" w:color="auto"/>
        <w:right w:val="none" w:sz="0" w:space="0" w:color="auto"/>
      </w:divBdr>
    </w:div>
    <w:div w:id="491066941">
      <w:bodyDiv w:val="1"/>
      <w:marLeft w:val="0"/>
      <w:marRight w:val="0"/>
      <w:marTop w:val="0"/>
      <w:marBottom w:val="0"/>
      <w:divBdr>
        <w:top w:val="none" w:sz="0" w:space="0" w:color="auto"/>
        <w:left w:val="none" w:sz="0" w:space="0" w:color="auto"/>
        <w:bottom w:val="none" w:sz="0" w:space="0" w:color="auto"/>
        <w:right w:val="none" w:sz="0" w:space="0" w:color="auto"/>
      </w:divBdr>
    </w:div>
    <w:div w:id="500924406">
      <w:bodyDiv w:val="1"/>
      <w:marLeft w:val="0"/>
      <w:marRight w:val="0"/>
      <w:marTop w:val="0"/>
      <w:marBottom w:val="0"/>
      <w:divBdr>
        <w:top w:val="none" w:sz="0" w:space="0" w:color="auto"/>
        <w:left w:val="none" w:sz="0" w:space="0" w:color="auto"/>
        <w:bottom w:val="none" w:sz="0" w:space="0" w:color="auto"/>
        <w:right w:val="none" w:sz="0" w:space="0" w:color="auto"/>
      </w:divBdr>
    </w:div>
    <w:div w:id="510946397">
      <w:bodyDiv w:val="1"/>
      <w:marLeft w:val="0"/>
      <w:marRight w:val="0"/>
      <w:marTop w:val="0"/>
      <w:marBottom w:val="0"/>
      <w:divBdr>
        <w:top w:val="none" w:sz="0" w:space="0" w:color="auto"/>
        <w:left w:val="none" w:sz="0" w:space="0" w:color="auto"/>
        <w:bottom w:val="none" w:sz="0" w:space="0" w:color="auto"/>
        <w:right w:val="none" w:sz="0" w:space="0" w:color="auto"/>
      </w:divBdr>
    </w:div>
    <w:div w:id="549462091">
      <w:bodyDiv w:val="1"/>
      <w:marLeft w:val="0"/>
      <w:marRight w:val="0"/>
      <w:marTop w:val="0"/>
      <w:marBottom w:val="0"/>
      <w:divBdr>
        <w:top w:val="none" w:sz="0" w:space="0" w:color="auto"/>
        <w:left w:val="none" w:sz="0" w:space="0" w:color="auto"/>
        <w:bottom w:val="none" w:sz="0" w:space="0" w:color="auto"/>
        <w:right w:val="none" w:sz="0" w:space="0" w:color="auto"/>
      </w:divBdr>
    </w:div>
    <w:div w:id="664477142">
      <w:bodyDiv w:val="1"/>
      <w:marLeft w:val="0"/>
      <w:marRight w:val="0"/>
      <w:marTop w:val="0"/>
      <w:marBottom w:val="0"/>
      <w:divBdr>
        <w:top w:val="none" w:sz="0" w:space="0" w:color="auto"/>
        <w:left w:val="none" w:sz="0" w:space="0" w:color="auto"/>
        <w:bottom w:val="none" w:sz="0" w:space="0" w:color="auto"/>
        <w:right w:val="none" w:sz="0" w:space="0" w:color="auto"/>
      </w:divBdr>
    </w:div>
    <w:div w:id="685860976">
      <w:bodyDiv w:val="1"/>
      <w:marLeft w:val="0"/>
      <w:marRight w:val="0"/>
      <w:marTop w:val="0"/>
      <w:marBottom w:val="0"/>
      <w:divBdr>
        <w:top w:val="none" w:sz="0" w:space="0" w:color="auto"/>
        <w:left w:val="none" w:sz="0" w:space="0" w:color="auto"/>
        <w:bottom w:val="none" w:sz="0" w:space="0" w:color="auto"/>
        <w:right w:val="none" w:sz="0" w:space="0" w:color="auto"/>
      </w:divBdr>
    </w:div>
    <w:div w:id="749740751">
      <w:bodyDiv w:val="1"/>
      <w:marLeft w:val="0"/>
      <w:marRight w:val="0"/>
      <w:marTop w:val="0"/>
      <w:marBottom w:val="0"/>
      <w:divBdr>
        <w:top w:val="none" w:sz="0" w:space="0" w:color="auto"/>
        <w:left w:val="none" w:sz="0" w:space="0" w:color="auto"/>
        <w:bottom w:val="none" w:sz="0" w:space="0" w:color="auto"/>
        <w:right w:val="none" w:sz="0" w:space="0" w:color="auto"/>
      </w:divBdr>
    </w:div>
    <w:div w:id="757680267">
      <w:bodyDiv w:val="1"/>
      <w:marLeft w:val="0"/>
      <w:marRight w:val="0"/>
      <w:marTop w:val="0"/>
      <w:marBottom w:val="0"/>
      <w:divBdr>
        <w:top w:val="none" w:sz="0" w:space="0" w:color="auto"/>
        <w:left w:val="none" w:sz="0" w:space="0" w:color="auto"/>
        <w:bottom w:val="none" w:sz="0" w:space="0" w:color="auto"/>
        <w:right w:val="none" w:sz="0" w:space="0" w:color="auto"/>
      </w:divBdr>
    </w:div>
    <w:div w:id="776146197">
      <w:bodyDiv w:val="1"/>
      <w:marLeft w:val="0"/>
      <w:marRight w:val="0"/>
      <w:marTop w:val="0"/>
      <w:marBottom w:val="0"/>
      <w:divBdr>
        <w:top w:val="none" w:sz="0" w:space="0" w:color="auto"/>
        <w:left w:val="none" w:sz="0" w:space="0" w:color="auto"/>
        <w:bottom w:val="none" w:sz="0" w:space="0" w:color="auto"/>
        <w:right w:val="none" w:sz="0" w:space="0" w:color="auto"/>
      </w:divBdr>
    </w:div>
    <w:div w:id="873234377">
      <w:bodyDiv w:val="1"/>
      <w:marLeft w:val="0"/>
      <w:marRight w:val="0"/>
      <w:marTop w:val="0"/>
      <w:marBottom w:val="0"/>
      <w:divBdr>
        <w:top w:val="none" w:sz="0" w:space="0" w:color="auto"/>
        <w:left w:val="none" w:sz="0" w:space="0" w:color="auto"/>
        <w:bottom w:val="none" w:sz="0" w:space="0" w:color="auto"/>
        <w:right w:val="none" w:sz="0" w:space="0" w:color="auto"/>
      </w:divBdr>
    </w:div>
    <w:div w:id="874390684">
      <w:bodyDiv w:val="1"/>
      <w:marLeft w:val="0"/>
      <w:marRight w:val="0"/>
      <w:marTop w:val="0"/>
      <w:marBottom w:val="0"/>
      <w:divBdr>
        <w:top w:val="none" w:sz="0" w:space="0" w:color="auto"/>
        <w:left w:val="none" w:sz="0" w:space="0" w:color="auto"/>
        <w:bottom w:val="none" w:sz="0" w:space="0" w:color="auto"/>
        <w:right w:val="none" w:sz="0" w:space="0" w:color="auto"/>
      </w:divBdr>
    </w:div>
    <w:div w:id="892421798">
      <w:bodyDiv w:val="1"/>
      <w:marLeft w:val="0"/>
      <w:marRight w:val="0"/>
      <w:marTop w:val="0"/>
      <w:marBottom w:val="0"/>
      <w:divBdr>
        <w:top w:val="none" w:sz="0" w:space="0" w:color="auto"/>
        <w:left w:val="none" w:sz="0" w:space="0" w:color="auto"/>
        <w:bottom w:val="none" w:sz="0" w:space="0" w:color="auto"/>
        <w:right w:val="none" w:sz="0" w:space="0" w:color="auto"/>
      </w:divBdr>
    </w:div>
    <w:div w:id="904801517">
      <w:bodyDiv w:val="1"/>
      <w:marLeft w:val="0"/>
      <w:marRight w:val="0"/>
      <w:marTop w:val="0"/>
      <w:marBottom w:val="0"/>
      <w:divBdr>
        <w:top w:val="none" w:sz="0" w:space="0" w:color="auto"/>
        <w:left w:val="none" w:sz="0" w:space="0" w:color="auto"/>
        <w:bottom w:val="none" w:sz="0" w:space="0" w:color="auto"/>
        <w:right w:val="none" w:sz="0" w:space="0" w:color="auto"/>
      </w:divBdr>
    </w:div>
    <w:div w:id="962879165">
      <w:bodyDiv w:val="1"/>
      <w:marLeft w:val="0"/>
      <w:marRight w:val="0"/>
      <w:marTop w:val="0"/>
      <w:marBottom w:val="0"/>
      <w:divBdr>
        <w:top w:val="none" w:sz="0" w:space="0" w:color="auto"/>
        <w:left w:val="none" w:sz="0" w:space="0" w:color="auto"/>
        <w:bottom w:val="none" w:sz="0" w:space="0" w:color="auto"/>
        <w:right w:val="none" w:sz="0" w:space="0" w:color="auto"/>
      </w:divBdr>
    </w:div>
    <w:div w:id="1123772555">
      <w:bodyDiv w:val="1"/>
      <w:marLeft w:val="0"/>
      <w:marRight w:val="0"/>
      <w:marTop w:val="0"/>
      <w:marBottom w:val="0"/>
      <w:divBdr>
        <w:top w:val="none" w:sz="0" w:space="0" w:color="auto"/>
        <w:left w:val="none" w:sz="0" w:space="0" w:color="auto"/>
        <w:bottom w:val="none" w:sz="0" w:space="0" w:color="auto"/>
        <w:right w:val="none" w:sz="0" w:space="0" w:color="auto"/>
      </w:divBdr>
    </w:div>
    <w:div w:id="1183007367">
      <w:bodyDiv w:val="1"/>
      <w:marLeft w:val="0"/>
      <w:marRight w:val="0"/>
      <w:marTop w:val="0"/>
      <w:marBottom w:val="0"/>
      <w:divBdr>
        <w:top w:val="none" w:sz="0" w:space="0" w:color="auto"/>
        <w:left w:val="none" w:sz="0" w:space="0" w:color="auto"/>
        <w:bottom w:val="none" w:sz="0" w:space="0" w:color="auto"/>
        <w:right w:val="none" w:sz="0" w:space="0" w:color="auto"/>
      </w:divBdr>
    </w:div>
    <w:div w:id="1204711513">
      <w:bodyDiv w:val="1"/>
      <w:marLeft w:val="0"/>
      <w:marRight w:val="0"/>
      <w:marTop w:val="0"/>
      <w:marBottom w:val="0"/>
      <w:divBdr>
        <w:top w:val="none" w:sz="0" w:space="0" w:color="auto"/>
        <w:left w:val="none" w:sz="0" w:space="0" w:color="auto"/>
        <w:bottom w:val="none" w:sz="0" w:space="0" w:color="auto"/>
        <w:right w:val="none" w:sz="0" w:space="0" w:color="auto"/>
      </w:divBdr>
    </w:div>
    <w:div w:id="1294364949">
      <w:bodyDiv w:val="1"/>
      <w:marLeft w:val="0"/>
      <w:marRight w:val="0"/>
      <w:marTop w:val="0"/>
      <w:marBottom w:val="0"/>
      <w:divBdr>
        <w:top w:val="none" w:sz="0" w:space="0" w:color="auto"/>
        <w:left w:val="none" w:sz="0" w:space="0" w:color="auto"/>
        <w:bottom w:val="none" w:sz="0" w:space="0" w:color="auto"/>
        <w:right w:val="none" w:sz="0" w:space="0" w:color="auto"/>
      </w:divBdr>
    </w:div>
    <w:div w:id="1351492898">
      <w:bodyDiv w:val="1"/>
      <w:marLeft w:val="0"/>
      <w:marRight w:val="0"/>
      <w:marTop w:val="0"/>
      <w:marBottom w:val="0"/>
      <w:divBdr>
        <w:top w:val="none" w:sz="0" w:space="0" w:color="auto"/>
        <w:left w:val="none" w:sz="0" w:space="0" w:color="auto"/>
        <w:bottom w:val="none" w:sz="0" w:space="0" w:color="auto"/>
        <w:right w:val="none" w:sz="0" w:space="0" w:color="auto"/>
      </w:divBdr>
    </w:div>
    <w:div w:id="1364135199">
      <w:bodyDiv w:val="1"/>
      <w:marLeft w:val="0"/>
      <w:marRight w:val="0"/>
      <w:marTop w:val="0"/>
      <w:marBottom w:val="0"/>
      <w:divBdr>
        <w:top w:val="none" w:sz="0" w:space="0" w:color="auto"/>
        <w:left w:val="none" w:sz="0" w:space="0" w:color="auto"/>
        <w:bottom w:val="none" w:sz="0" w:space="0" w:color="auto"/>
        <w:right w:val="none" w:sz="0" w:space="0" w:color="auto"/>
      </w:divBdr>
    </w:div>
    <w:div w:id="1458260881">
      <w:bodyDiv w:val="1"/>
      <w:marLeft w:val="0"/>
      <w:marRight w:val="0"/>
      <w:marTop w:val="0"/>
      <w:marBottom w:val="0"/>
      <w:divBdr>
        <w:top w:val="none" w:sz="0" w:space="0" w:color="auto"/>
        <w:left w:val="none" w:sz="0" w:space="0" w:color="auto"/>
        <w:bottom w:val="none" w:sz="0" w:space="0" w:color="auto"/>
        <w:right w:val="none" w:sz="0" w:space="0" w:color="auto"/>
      </w:divBdr>
    </w:div>
    <w:div w:id="1473670075">
      <w:bodyDiv w:val="1"/>
      <w:marLeft w:val="0"/>
      <w:marRight w:val="0"/>
      <w:marTop w:val="0"/>
      <w:marBottom w:val="0"/>
      <w:divBdr>
        <w:top w:val="none" w:sz="0" w:space="0" w:color="auto"/>
        <w:left w:val="none" w:sz="0" w:space="0" w:color="auto"/>
        <w:bottom w:val="none" w:sz="0" w:space="0" w:color="auto"/>
        <w:right w:val="none" w:sz="0" w:space="0" w:color="auto"/>
      </w:divBdr>
    </w:div>
    <w:div w:id="1551068765">
      <w:bodyDiv w:val="1"/>
      <w:marLeft w:val="0"/>
      <w:marRight w:val="0"/>
      <w:marTop w:val="0"/>
      <w:marBottom w:val="0"/>
      <w:divBdr>
        <w:top w:val="none" w:sz="0" w:space="0" w:color="auto"/>
        <w:left w:val="none" w:sz="0" w:space="0" w:color="auto"/>
        <w:bottom w:val="none" w:sz="0" w:space="0" w:color="auto"/>
        <w:right w:val="none" w:sz="0" w:space="0" w:color="auto"/>
      </w:divBdr>
    </w:div>
    <w:div w:id="1627195736">
      <w:bodyDiv w:val="1"/>
      <w:marLeft w:val="0"/>
      <w:marRight w:val="0"/>
      <w:marTop w:val="0"/>
      <w:marBottom w:val="0"/>
      <w:divBdr>
        <w:top w:val="none" w:sz="0" w:space="0" w:color="auto"/>
        <w:left w:val="none" w:sz="0" w:space="0" w:color="auto"/>
        <w:bottom w:val="none" w:sz="0" w:space="0" w:color="auto"/>
        <w:right w:val="none" w:sz="0" w:space="0" w:color="auto"/>
      </w:divBdr>
    </w:div>
    <w:div w:id="1647932316">
      <w:bodyDiv w:val="1"/>
      <w:marLeft w:val="0"/>
      <w:marRight w:val="0"/>
      <w:marTop w:val="0"/>
      <w:marBottom w:val="0"/>
      <w:divBdr>
        <w:top w:val="none" w:sz="0" w:space="0" w:color="auto"/>
        <w:left w:val="none" w:sz="0" w:space="0" w:color="auto"/>
        <w:bottom w:val="none" w:sz="0" w:space="0" w:color="auto"/>
        <w:right w:val="none" w:sz="0" w:space="0" w:color="auto"/>
      </w:divBdr>
    </w:div>
    <w:div w:id="1683043674">
      <w:bodyDiv w:val="1"/>
      <w:marLeft w:val="0"/>
      <w:marRight w:val="0"/>
      <w:marTop w:val="0"/>
      <w:marBottom w:val="0"/>
      <w:divBdr>
        <w:top w:val="none" w:sz="0" w:space="0" w:color="auto"/>
        <w:left w:val="none" w:sz="0" w:space="0" w:color="auto"/>
        <w:bottom w:val="none" w:sz="0" w:space="0" w:color="auto"/>
        <w:right w:val="none" w:sz="0" w:space="0" w:color="auto"/>
      </w:divBdr>
    </w:div>
    <w:div w:id="1695040089">
      <w:bodyDiv w:val="1"/>
      <w:marLeft w:val="0"/>
      <w:marRight w:val="0"/>
      <w:marTop w:val="0"/>
      <w:marBottom w:val="0"/>
      <w:divBdr>
        <w:top w:val="none" w:sz="0" w:space="0" w:color="auto"/>
        <w:left w:val="none" w:sz="0" w:space="0" w:color="auto"/>
        <w:bottom w:val="none" w:sz="0" w:space="0" w:color="auto"/>
        <w:right w:val="none" w:sz="0" w:space="0" w:color="auto"/>
      </w:divBdr>
    </w:div>
    <w:div w:id="1764300346">
      <w:bodyDiv w:val="1"/>
      <w:marLeft w:val="0"/>
      <w:marRight w:val="0"/>
      <w:marTop w:val="0"/>
      <w:marBottom w:val="0"/>
      <w:divBdr>
        <w:top w:val="none" w:sz="0" w:space="0" w:color="auto"/>
        <w:left w:val="none" w:sz="0" w:space="0" w:color="auto"/>
        <w:bottom w:val="none" w:sz="0" w:space="0" w:color="auto"/>
        <w:right w:val="none" w:sz="0" w:space="0" w:color="auto"/>
      </w:divBdr>
    </w:div>
    <w:div w:id="1786463359">
      <w:bodyDiv w:val="1"/>
      <w:marLeft w:val="0"/>
      <w:marRight w:val="0"/>
      <w:marTop w:val="0"/>
      <w:marBottom w:val="0"/>
      <w:divBdr>
        <w:top w:val="none" w:sz="0" w:space="0" w:color="auto"/>
        <w:left w:val="none" w:sz="0" w:space="0" w:color="auto"/>
        <w:bottom w:val="none" w:sz="0" w:space="0" w:color="auto"/>
        <w:right w:val="none" w:sz="0" w:space="0" w:color="auto"/>
      </w:divBdr>
    </w:div>
    <w:div w:id="1870333398">
      <w:bodyDiv w:val="1"/>
      <w:marLeft w:val="0"/>
      <w:marRight w:val="0"/>
      <w:marTop w:val="0"/>
      <w:marBottom w:val="0"/>
      <w:divBdr>
        <w:top w:val="none" w:sz="0" w:space="0" w:color="auto"/>
        <w:left w:val="none" w:sz="0" w:space="0" w:color="auto"/>
        <w:bottom w:val="none" w:sz="0" w:space="0" w:color="auto"/>
        <w:right w:val="none" w:sz="0" w:space="0" w:color="auto"/>
      </w:divBdr>
    </w:div>
    <w:div w:id="1913352385">
      <w:bodyDiv w:val="1"/>
      <w:marLeft w:val="0"/>
      <w:marRight w:val="0"/>
      <w:marTop w:val="0"/>
      <w:marBottom w:val="0"/>
      <w:divBdr>
        <w:top w:val="none" w:sz="0" w:space="0" w:color="auto"/>
        <w:left w:val="none" w:sz="0" w:space="0" w:color="auto"/>
        <w:bottom w:val="none" w:sz="0" w:space="0" w:color="auto"/>
        <w:right w:val="none" w:sz="0" w:space="0" w:color="auto"/>
      </w:divBdr>
    </w:div>
    <w:div w:id="1915040833">
      <w:bodyDiv w:val="1"/>
      <w:marLeft w:val="0"/>
      <w:marRight w:val="0"/>
      <w:marTop w:val="0"/>
      <w:marBottom w:val="0"/>
      <w:divBdr>
        <w:top w:val="none" w:sz="0" w:space="0" w:color="auto"/>
        <w:left w:val="none" w:sz="0" w:space="0" w:color="auto"/>
        <w:bottom w:val="none" w:sz="0" w:space="0" w:color="auto"/>
        <w:right w:val="none" w:sz="0" w:space="0" w:color="auto"/>
      </w:divBdr>
    </w:div>
    <w:div w:id="1943567686">
      <w:bodyDiv w:val="1"/>
      <w:marLeft w:val="0"/>
      <w:marRight w:val="0"/>
      <w:marTop w:val="0"/>
      <w:marBottom w:val="0"/>
      <w:divBdr>
        <w:top w:val="none" w:sz="0" w:space="0" w:color="auto"/>
        <w:left w:val="none" w:sz="0" w:space="0" w:color="auto"/>
        <w:bottom w:val="none" w:sz="0" w:space="0" w:color="auto"/>
        <w:right w:val="none" w:sz="0" w:space="0" w:color="auto"/>
      </w:divBdr>
    </w:div>
    <w:div w:id="1957639121">
      <w:bodyDiv w:val="1"/>
      <w:marLeft w:val="0"/>
      <w:marRight w:val="0"/>
      <w:marTop w:val="0"/>
      <w:marBottom w:val="0"/>
      <w:divBdr>
        <w:top w:val="none" w:sz="0" w:space="0" w:color="auto"/>
        <w:left w:val="none" w:sz="0" w:space="0" w:color="auto"/>
        <w:bottom w:val="none" w:sz="0" w:space="0" w:color="auto"/>
        <w:right w:val="none" w:sz="0" w:space="0" w:color="auto"/>
      </w:divBdr>
    </w:div>
    <w:div w:id="2144344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98E619-1E3C-44B6-855A-60F1EF558EED}">
  <we:reference id="8c1c3d44-57e9-40d7-86e4-4adf61fea1dd" version="2.1.0.1" store="EXCatalog" storeType="EXCatalog"/>
  <we:alternateReferences>
    <we:reference id="WA104380122" version="2.1.0.1" store="en-GB" storeType="OMEX"/>
  </we:alternateReferences>
  <we:properties>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Bow56</b:Tag>
    <b:SourceType>Book</b:SourceType>
    <b:Guid>{BF643249-7FE1-4CBC-A8F8-094577D597C9}</b:Guid>
    <b:Author>
      <b:Author>
        <b:NameList>
          <b:Person>
            <b:Last>Bowen</b:Last>
            <b:First>E</b:First>
            <b:Middle>G</b:Middle>
          </b:Person>
        </b:NameList>
      </b:Author>
    </b:Author>
    <b:Title>The Settlement of the Celtic Saints in Wales</b:Title>
    <b:Year>1956</b:Year>
    <b:City>Cardiff</b:City>
    <b:Publisher>Unierssity of Wales Press</b:Publisher>
    <b:Pages>56</b:Pages>
    <b:RefOrder>1</b:RefOrder>
  </b:Source>
  <b:Source>
    <b:Tag>Jan03</b:Tag>
    <b:SourceType>Book</b:SourceType>
    <b:Guid>{C8F41B70-82E4-401F-9AFC-0FE5719B8170}</b:Guid>
    <b:Author>
      <b:Author>
        <b:NameList>
          <b:Person>
            <b:Last>Cartwright</b:Last>
            <b:First>Jane</b:First>
          </b:Person>
        </b:NameList>
      </b:Author>
    </b:Author>
    <b:Title>Celtic Hagiography and Saints Cults</b:Title>
    <b:Year>2003</b:Year>
    <b:City>Cardiff</b:City>
    <b:Publisher>University of Wales Press</b:Publisher>
    <b:RefOrder>2</b:RefOrder>
  </b:Source>
  <b:Source>
    <b:Tag>Oli96</b:Tag>
    <b:SourceType>Book</b:SourceType>
    <b:Guid>{9C92629C-63B2-4DA8-9817-E26E4C9FD63A}</b:Guid>
    <b:Author>
      <b:Author>
        <b:NameList>
          <b:Person>
            <b:Last>Davies</b:Last>
            <b:First>Oliver</b:First>
          </b:Person>
        </b:NameList>
      </b:Author>
    </b:Author>
    <b:Title>Celtic Christianity in Early Medieval Wales</b:Title>
    <b:Year>1996</b:Year>
    <b:City>Cardiff</b:City>
    <b:Publisher>University of Wales Press</b:Publisher>
    <b:RefOrder>3</b:RefOrder>
  </b:Source>
  <b:Source>
    <b:Tag>Dav09</b:Tag>
    <b:SourceType>Book</b:SourceType>
    <b:Guid>{A3C5284F-5D23-4503-9A03-BA3D5B0396A8}</b:Guid>
    <b:Author>
      <b:Author>
        <b:NameList>
          <b:Person>
            <b:Last>Petts</b:Last>
            <b:First>David</b:First>
          </b:Person>
        </b:NameList>
      </b:Author>
    </b:Author>
    <b:Title>The Early Medieval Church in Wales</b:Title>
    <b:Year>2009</b:Year>
    <b:City>Stroud</b:City>
    <b:Publisher>The History Press</b:Publisher>
    <b:RefOrder>4</b:RefOrder>
  </b:Source>
  <b:Source>
    <b:Tag>Mic76</b:Tag>
    <b:SourceType>Book</b:SourceType>
    <b:Guid>{E9EF9A98-DE45-49AF-BE64-01A3A743F85E}</b:Guid>
    <b:Author>
      <b:Author>
        <b:NameList>
          <b:Person>
            <b:Last>Richter</b:Last>
            <b:First>Michael</b:First>
          </b:Person>
        </b:NameList>
      </b:Author>
    </b:Author>
    <b:Title>Geraldus Cambrensis</b:Title>
    <b:Year>1976</b:Year>
    <b:City>Aberystwyth</b:City>
    <b:Publisher>National Library of Wales</b:Publisher>
    <b:RefOrder>5</b:RefOrder>
  </b:Source>
  <b:Source>
    <b:Tag>AWW</b:Tag>
    <b:SourceType>Book</b:SourceType>
    <b:Guid>{55D118AF-CD1A-42A2-9715-4F1657F40B30}</b:Guid>
    <b:Author>
      <b:Author>
        <b:NameList>
          <b:Person>
            <b:Last>Wade-Evans A. W.</b:Last>
            <b:First>Edward</b:First>
            <b:Middle>LLoyd</b:Middle>
          </b:Person>
        </b:NameList>
      </b:Author>
    </b:Author>
    <b:Title>Vitae Sanctorum Britanniae et Genealogiae</b:Title>
    <b:City>Cardiff</b:City>
    <b:Publisher>Ashley-Drake Publishing Ltd.</b:Publisher>
    <b:Year>2013</b:Year>
    <b:RefOrder>6</b:RefOrder>
  </b:Source>
  <b:Source>
    <b:Tag>ian99</b:Tag>
    <b:SourceType>Book</b:SourceType>
    <b:Guid>{F3484312-AF43-4801-A61B-F21EB69D9FD3}</b:Guid>
    <b:Author>
      <b:Author>
        <b:NameList>
          <b:Person>
            <b:Last>Bradley</b:Last>
            <b:First>Ian</b:First>
          </b:Person>
        </b:NameList>
      </b:Author>
    </b:Author>
    <b:Title>Celtic Christianity</b:Title>
    <b:Year>1999</b:Year>
    <b:City>Edinburgh</b:City>
    <b:Publisher>Edinburgh University Press</b:Publisher>
    <b:RefOrder>7</b:RefOrder>
  </b:Source>
  <b:Source>
    <b:Tag>Vic77</b:Tag>
    <b:SourceType>Book</b:SourceType>
    <b:Guid>{F02EF1FC-5C0A-4223-92EB-88BF99BF6C8C}</b:Guid>
    <b:Author>
      <b:Author>
        <b:NameList>
          <b:Person>
            <b:Last>Victory</b:Last>
            <b:First>Sian</b:First>
          </b:Person>
        </b:NameList>
      </b:Author>
    </b:Author>
    <b:Title>The Celtic Church in Wales</b:Title>
    <b:Year>1977</b:Year>
    <b:City>London</b:City>
    <b:Publisher>SPCK</b:Publisher>
    <b:RefOrder>8</b:RefOrder>
  </b:Source>
  <b:Source>
    <b:Tag>Wil76</b:Tag>
    <b:SourceType>Book</b:SourceType>
    <b:Guid>{B1D095EF-3D78-4E0A-8B6C-C6769FAB9374}</b:Guid>
    <b:Author>
      <b:Author>
        <b:NameList>
          <b:Person>
            <b:Last>Williams</b:Last>
            <b:First>Glanmor</b:First>
          </b:Person>
        </b:NameList>
      </b:Author>
    </b:Author>
    <b:Title>The Welsh Church from Conquest to Reformation</b:Title>
    <b:Year>1976</b:Year>
    <b:City>Cardiff</b:City>
    <b:Publisher>Universsity of Wales Press</b:Publisher>
    <b:RefOrder>9</b:RefOrder>
  </b:Source>
  <b:Source>
    <b:Tag>Eva88</b:Tag>
    <b:SourceType>Book</b:SourceType>
    <b:Guid>{2F7D96E7-C32B-4615-939B-8F31A889F9CC}</b:Guid>
    <b:Author>
      <b:Author>
        <b:NameList>
          <b:Person>
            <b:Last>Evans</b:Last>
            <b:First>D.</b:First>
            <b:Middle>Simon</b:Middle>
          </b:Person>
        </b:NameList>
      </b:Author>
    </b:Author>
    <b:Title>The Welsh Life of St David</b:Title>
    <b:Year>1988</b:Year>
    <b:City>Cardiff</b:City>
    <b:Publisher>University of Wales Press</b:Publisher>
    <b:RefOrder>10</b:RefOrder>
  </b:Source>
  <b:Source>
    <b:Tag>Jam67</b:Tag>
    <b:SourceType>Book</b:SourceType>
    <b:Guid>{5D505932-FABA-43EF-9B40-AD475512F89F}</b:Guid>
    <b:Author>
      <b:Author>
        <b:NameList>
          <b:Person>
            <b:Last>James</b:Last>
            <b:First>J.</b:First>
            <b:Middle>W.</b:Middle>
          </b:Person>
        </b:NameList>
      </b:Author>
    </b:Author>
    <b:Title>Rhigyfarch's Life of St David</b:Title>
    <b:Year>1967</b:Year>
    <b:City>Cardiff</b:City>
    <b:Publisher>University of Wales Press</b:Publisher>
    <b:RefOrder>11</b:RefOrder>
  </b:Source>
  <b:Source>
    <b:Tag>JWy07</b:Tag>
    <b:SourceType>Book</b:SourceType>
    <b:Guid>{C79363C8-DF0E-4C29-BC86-2AA1C7393166}</b:Guid>
    <b:Author>
      <b:Author>
        <b:NameList>
          <b:Person>
            <b:Last>Wooding</b:Last>
            <b:First>J.,</b:First>
            <b:Middle>Wyn-Evans Jonathon M.</b:Middle>
          </b:Person>
        </b:NameList>
      </b:Author>
    </b:Author>
    <b:Title>St David of Wales Cult Church and Nation</b:Title>
    <b:Year>2007</b:Year>
    <b:City>Woodbridge</b:City>
    <b:Publisher>The Boydell Press</b:Publisher>
    <b:RefOrder>12</b:RefOrder>
  </b:Source>
  <b:Source>
    <b:Tag>Car08</b:Tag>
    <b:SourceType>Book</b:SourceType>
    <b:Guid>{69D4723F-AA10-4433-8E95-B0B0EAC51D96}</b:Guid>
    <b:Author>
      <b:Author>
        <b:NameList>
          <b:Person>
            <b:Last>Cartwright</b:Last>
            <b:First>Jane</b:First>
          </b:Person>
        </b:NameList>
      </b:Author>
    </b:Author>
    <b:Title>Feminine Sanctity and Spirituality in Medieval Wales</b:Title>
    <b:Year>2008</b:Year>
    <b:City>Cardiff</b:City>
    <b:Publisher>Univesrity of Wales Press</b:Publisher>
    <b:RefOrder>13</b:RefOrder>
  </b:Source>
  <b:Source>
    <b:Tag>Cro97</b:Tag>
    <b:SourceType>Book</b:SourceType>
    <b:Guid>{7E268EAD-34A4-46DC-BB16-8823F3BE3F6F}</b:Guid>
    <b:Author>
      <b:Author>
        <b:NameList>
          <b:Person>
            <b:Last>Cross</b:Last>
            <b:First>F.</b:First>
            <b:Middle>L, Livingstone, E. A.</b:Middle>
          </b:Person>
        </b:NameList>
      </b:Author>
    </b:Author>
    <b:Title>The Oxford Dictionary of the Christian Church</b:Title>
    <b:Year>1997</b:Year>
    <b:City>Oxford</b:City>
    <b:Publisher>Oxford University Press</b:Publisher>
    <b:RefOrder>14</b:RefOrder>
  </b:Source>
  <b:Source>
    <b:Tag>Edw92</b:Tag>
    <b:SourceType>Book</b:SourceType>
    <b:Guid>{61CDE8DF-0333-4AB1-ABF4-A789D3E12DD4}</b:Guid>
    <b:Author>
      <b:Author>
        <b:NameList>
          <b:Person>
            <b:Last>Edwards</b:Last>
            <b:First>Nancy.</b:First>
            <b:Middle>Lane, Alan</b:Middle>
          </b:Person>
        </b:NameList>
      </b:Author>
    </b:Author>
    <b:Title>The Early Church in Wales and the West</b:Title>
    <b:Year>1992</b:Year>
    <b:City>Oxford</b:City>
    <b:Publisher>Oxbow Books</b:Publisher>
    <b:RefOrder>15</b:RefOrder>
  </b:Source>
  <b:Source>
    <b:Tag>Dav95</b:Tag>
    <b:SourceType>Book</b:SourceType>
    <b:Guid>{3D42DBB0-0446-4C74-9879-A33C2FDBDBCE}</b:Guid>
    <b:Author>
      <b:Author>
        <b:NameList>
          <b:Person>
            <b:Last>Davies</b:Last>
            <b:First>Oliver:</b:First>
            <b:Middle>Bowie, Fiona</b:Middle>
          </b:Person>
        </b:NameList>
      </b:Author>
    </b:Author>
    <b:Title>Celtic Christian Spirituality</b:Title>
    <b:Year>1995</b:Year>
    <b:City>London</b:City>
    <b:Publisher>SPCK</b:Publisher>
    <b:RefOrder>16</b:RefOrder>
  </b:Source>
  <b:Source>
    <b:Tag>Cel</b:Tag>
    <b:SourceType>Book</b:SourceType>
    <b:Guid>{92A11654-E00E-4B7A-B724-C92F890280CF}</b:Guid>
    <b:Title>Celtic </b:Title>
    <b:RefOrder>17</b:RefOrder>
  </b:Source>
  <b:Source>
    <b:Tag>Van90</b:Tag>
    <b:SourceType>Book</b:SourceType>
    <b:Guid>{022331BD-A46B-4AD4-9EE0-F3B19974F1E2}</b:Guid>
    <b:Author>
      <b:Author>
        <b:NameList>
          <b:Person>
            <b:Last>Weyer</b:Last>
            <b:First>Van</b:First>
            <b:Middle>de</b:Middle>
          </b:Person>
        </b:NameList>
      </b:Author>
    </b:Author>
    <b:Title>Celtic Fire</b:Title>
    <b:Year>1990</b:Year>
    <b:City>London</b:City>
    <b:Publisher>Darton, Longman and Todd</b:Publisher>
    <b:RefOrder>18</b:RefOrder>
  </b:Source>
  <b:Source>
    <b:Tag>Dav92</b:Tag>
    <b:SourceType>Book</b:SourceType>
    <b:Guid>{08185092-06DD-47CE-A080-C7AD65B00872}</b:Guid>
    <b:Author>
      <b:Author>
        <b:NameList>
          <b:Person>
            <b:Last>Davies</b:Last>
            <b:First>Wendy</b:First>
          </b:Person>
          <b:Person>
            <b:Last>Edwards</b:Last>
            <b:First>Nancy</b:First>
          </b:Person>
          <b:Person>
            <b:Last>Lane</b:Last>
            <b:First>Alan</b:First>
          </b:Person>
        </b:NameList>
      </b:Author>
    </b:Author>
    <b:Title>The Myth of the Celtic Church</b:Title>
    <b:Year>1992</b:Year>
    <b:City>Oxford</b:City>
    <b:Publisher>Oxbow</b:Publisher>
    <b:RefOrder>19</b:RefOrder>
  </b:Source>
  <b:Source>
    <b:Tag>Lew22</b:Tag>
    <b:SourceType>Book</b:SourceType>
    <b:Guid>{C3421B31-8BFC-4FA5-BFAF-66BC55C4752B}</b:Guid>
    <b:Author>
      <b:Author>
        <b:NameList>
          <b:Person>
            <b:Last>Lewis</b:Last>
            <b:First>Barry</b:First>
            <b:Middle>J.</b:Middle>
          </b:Person>
          <b:Person>
            <b:Last>Gray</b:Last>
            <b:First>Madeleine</b:First>
          </b:Person>
          <b:Person>
            <b:Last>Jones</b:Last>
            <b:First>David</b:First>
            <b:Middle>C.</b:Middle>
          </b:Person>
          <b:Person>
            <b:Last>Morgan</b:Last>
            <b:First>D.</b:First>
            <b:Middle>Densil</b:Middle>
          </b:Person>
          <b:Person>
            <b:Last>Williams</b:Last>
            <b:First>Rowan</b:First>
          </b:Person>
        </b:NameList>
      </b:Author>
    </b:Author>
    <b:Title>A History of Christianity in Wales</b:Title>
    <b:Year>2022</b:Year>
    <b:City>Cardiff</b:City>
    <b:Publisher>University of Wales Press</b:Publisher>
    <b:RefOrder>20</b:RefOrder>
  </b:Source>
  <b:Source>
    <b:Tag>Bow95</b:Tag>
    <b:SourceType>Book</b:SourceType>
    <b:Guid>{ADF29087-FB7B-471A-96C5-918860DCE47A}</b:Guid>
    <b:Author>
      <b:Author>
        <b:Corporate>Bowie, Fiona; Davies, Oliver</b:Corporate>
      </b:Author>
    </b:Author>
    <b:Title>Celtic Christian Spirituality: Medieval and Modern</b:Title>
    <b:Year>1995</b:Year>
    <b:City>London</b:City>
    <b:Publisher>SPCK</b:Publisher>
    <b:RefOrder>21</b:RefOrder>
  </b:Source>
  <b:Source>
    <b:Tag>Boa09</b:Tag>
    <b:SourceType>Book</b:SourceType>
    <b:Guid>{E56268B6-204F-4D76-B76C-455787BBCFB7}</b:Guid>
    <b:Author>
      <b:Author>
        <b:NameList>
          <b:Person>
            <b:Last>Boardman</b:Last>
            <b:First>Stephen</b:First>
          </b:Person>
          <b:Person>
            <b:Last>Reuben</b:Last>
            <b:First>John</b:First>
          </b:Person>
          <b:Person>
            <b:Last>Williamson</b:Last>
            <b:First>Eila</b:First>
          </b:Person>
        </b:NameList>
      </b:Author>
    </b:Author>
    <b:Title>Saints' Cults in the Celtic World</b:Title>
    <b:Year>2009</b:Year>
    <b:City>Woodbridge</b:City>
    <b:Publisher>Boydell Press</b:Publisher>
    <b:RefOrder>22</b:RefOrder>
  </b:Source>
  <b:Source>
    <b:Tag>Bet021</b:Tag>
    <b:SourceType>Report</b:SourceType>
    <b:Guid>{9179F088-F281-4AF5-8C56-B7D02374A36F}</b:Guid>
    <b:Author>
      <b:Author>
        <b:NameList>
          <b:Person>
            <b:Last>Betts</b:Last>
            <b:First>Clive</b:First>
          </b:Person>
        </b:NameList>
      </b:Author>
    </b:Author>
    <b:Year>2002 !st March</b:Year>
    <b:Publisher>Western Mail</b:Publisher>
    <b:ThesisType>Newspaper Article</b:ThesisType>
    <b:RefOrder>23</b:RefOrder>
  </b:Source>
</b:Sources>
</file>

<file path=customXml/itemProps1.xml><?xml version="1.0" encoding="utf-8"?>
<ds:datastoreItem xmlns:ds="http://schemas.openxmlformats.org/officeDocument/2006/customXml" ds:itemID="{D95FEDEA-2591-461A-A41E-DBAD3CCA7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2872</Words>
  <Characters>15133</Characters>
  <Application>Microsoft Office Word</Application>
  <DocSecurity>0</DocSecurity>
  <Lines>126</Lines>
  <Paragraphs>35</Paragraphs>
  <ScaleCrop>false</ScaleCrop>
  <Company/>
  <LinksUpToDate>false</LinksUpToDate>
  <CharactersWithSpaces>17970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Conway (2116218)</dc:creator>
  <cp:keywords/>
  <dc:description/>
  <cp:lastModifiedBy>Glyn Conway (2116218)</cp:lastModifiedBy>
  <cp:revision>2</cp:revision>
  <dcterms:created xsi:type="dcterms:W3CDTF">2024-03-12T10:27:00Z</dcterms:created>
  <dcterms:modified xsi:type="dcterms:W3CDTF">2024-03-12T10:27:00Z</dcterms:modified>
</cp:coreProperties>
</file>