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09E602AE" w14:textId="77777777" w:rsidR="003C154B" w:rsidRDefault="009A5B4A" w:rsidP="00945CEC">
            <w:pPr>
              <w:rPr>
                <w:sz w:val="28"/>
                <w:szCs w:val="28"/>
              </w:rPr>
            </w:pPr>
            <w:r>
              <w:rPr>
                <w:sz w:val="28"/>
                <w:szCs w:val="28"/>
              </w:rPr>
              <w:t>William Page</w:t>
            </w:r>
          </w:p>
          <w:p w14:paraId="4407CD15" w14:textId="3C276BE8" w:rsidR="009A5B4A" w:rsidRPr="00753CE4" w:rsidRDefault="009A5B4A" w:rsidP="00945CEC">
            <w:pPr>
              <w:rPr>
                <w:sz w:val="28"/>
                <w:szCs w:val="28"/>
              </w:rPr>
            </w:pPr>
            <w:r>
              <w:rPr>
                <w:sz w:val="28"/>
                <w:szCs w:val="28"/>
              </w:rPr>
              <w:t>2113430</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48FD7F58" w:rsidR="003C154B" w:rsidRPr="009A5B4A" w:rsidRDefault="009A5B4A" w:rsidP="00945CEC">
            <w:pPr>
              <w:rPr>
                <w:iCs/>
                <w:sz w:val="28"/>
                <w:szCs w:val="28"/>
              </w:rPr>
            </w:pPr>
            <w:r>
              <w:rPr>
                <w:iCs/>
                <w:sz w:val="28"/>
                <w:szCs w:val="28"/>
              </w:rPr>
              <w:t>Stacey Coleman</w:t>
            </w:r>
          </w:p>
          <w:p w14:paraId="7E54B364" w14:textId="77777777" w:rsidR="009648D6" w:rsidRDefault="009648D6" w:rsidP="00945CEC">
            <w:pPr>
              <w:rPr>
                <w:i/>
                <w:sz w:val="20"/>
                <w:szCs w:val="28"/>
              </w:rPr>
            </w:pP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400B4203" w:rsidR="009648D6" w:rsidRPr="00A05E89" w:rsidRDefault="00F80900" w:rsidP="00C15547">
            <w:pPr>
              <w:rPr>
                <w:rFonts w:ascii="Arial" w:hAnsi="Arial" w:cs="Arial"/>
                <w:sz w:val="20"/>
                <w:szCs w:val="20"/>
              </w:rPr>
            </w:pPr>
            <w:r>
              <w:rPr>
                <w:rFonts w:ascii="Arial" w:hAnsi="Arial" w:cs="Arial"/>
                <w:sz w:val="20"/>
                <w:szCs w:val="20"/>
              </w:rPr>
              <w:t xml:space="preserve">Clinical Psychology </w:t>
            </w:r>
            <w:r w:rsidR="009A5B4A">
              <w:rPr>
                <w:rFonts w:ascii="MS Gothic" w:eastAsia="MS Gothic" w:hAnsi="MS Gothic" w:cs="Arial" w:hint="eastAsia"/>
                <w:sz w:val="20"/>
                <w:szCs w:val="20"/>
              </w:rPr>
              <w:t>✓</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0AF04E47" w:rsidR="002F3741" w:rsidRPr="00A05E89" w:rsidRDefault="009A5B4A" w:rsidP="00F73A03">
            <w:pPr>
              <w:rPr>
                <w:rFonts w:ascii="Arial" w:hAnsi="Arial" w:cs="Arial"/>
                <w:sz w:val="20"/>
                <w:szCs w:val="20"/>
              </w:rPr>
            </w:pPr>
            <w:r>
              <w:rPr>
                <w:rFonts w:ascii="MS Gothic" w:eastAsia="MS Gothic" w:hAnsi="MS Gothic" w:cs="Arial" w:hint="eastAsia"/>
                <w:sz w:val="20"/>
                <w:szCs w:val="20"/>
              </w:rPr>
              <w:t>✓</w:t>
            </w: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3A397173" w14:textId="48C228D6" w:rsidR="009A5B4A" w:rsidRPr="009A5B4A" w:rsidRDefault="00A5268F" w:rsidP="00C15547">
            <w:pPr>
              <w:rPr>
                <w:rFonts w:ascii="Arial" w:hAnsi="Arial" w:cs="Arial"/>
                <w:b/>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/Area</w:t>
            </w:r>
          </w:p>
          <w:p w14:paraId="0083A96E" w14:textId="55CB84F9" w:rsidR="009A5B4A" w:rsidRDefault="009A5B4A" w:rsidP="00C15547">
            <w:pPr>
              <w:rPr>
                <w:rFonts w:ascii="Arial" w:hAnsi="Arial" w:cs="Arial"/>
                <w:sz w:val="20"/>
              </w:rPr>
            </w:pPr>
            <w:r>
              <w:rPr>
                <w:rFonts w:ascii="Arial" w:hAnsi="Arial" w:cs="Arial"/>
                <w:sz w:val="20"/>
              </w:rPr>
              <w:t xml:space="preserve">Identifying what aspects of mental health and wellbeing self-reporting processes are likely to be engaged with dishonestly or inaccurately and why. </w:t>
            </w:r>
          </w:p>
          <w:p w14:paraId="67E62010" w14:textId="77777777" w:rsidR="00A5268F" w:rsidRDefault="00A5268F" w:rsidP="00C15547">
            <w:pPr>
              <w:rPr>
                <w:rFonts w:ascii="Arial" w:hAnsi="Arial" w:cs="Arial"/>
                <w:sz w:val="20"/>
              </w:rPr>
            </w:pP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05E3496F" w14:textId="52988935" w:rsidR="00992264" w:rsidRPr="007F63C7" w:rsidRDefault="007F63C7" w:rsidP="00360E4B">
            <w:pPr>
              <w:rPr>
                <w:rFonts w:ascii="Arial" w:hAnsi="Arial" w:cs="Arial"/>
                <w:bCs/>
                <w:sz w:val="22"/>
                <w:szCs w:val="22"/>
              </w:rPr>
            </w:pPr>
            <w:r>
              <w:rPr>
                <w:rFonts w:ascii="Arial" w:hAnsi="Arial" w:cs="Arial"/>
                <w:bCs/>
                <w:sz w:val="22"/>
                <w:szCs w:val="22"/>
              </w:rPr>
              <w:t>Research suggests that up to 50% of people will provide misinformation when engaging with any type of survey (</w:t>
            </w:r>
            <w:r w:rsidR="00C81899">
              <w:rPr>
                <w:rFonts w:ascii="Arial" w:hAnsi="Arial" w:cs="Arial"/>
                <w:bCs/>
                <w:sz w:val="22"/>
                <w:szCs w:val="22"/>
              </w:rPr>
              <w:t>Sevec, 2016</w:t>
            </w:r>
            <w:r>
              <w:rPr>
                <w:rFonts w:ascii="Arial" w:hAnsi="Arial" w:cs="Arial"/>
                <w:bCs/>
                <w:sz w:val="22"/>
                <w:szCs w:val="22"/>
              </w:rPr>
              <w:t>) and one in four individuals will provide inaccurate responses during a psychometric test (</w:t>
            </w:r>
            <w:r w:rsidR="009D373F">
              <w:rPr>
                <w:rFonts w:ascii="Arial" w:hAnsi="Arial" w:cs="Arial"/>
                <w:bCs/>
                <w:sz w:val="22"/>
                <w:szCs w:val="22"/>
              </w:rPr>
              <w:t>Ziegler et al., 2012</w:t>
            </w:r>
            <w:r>
              <w:rPr>
                <w:rFonts w:ascii="Arial" w:hAnsi="Arial" w:cs="Arial"/>
                <w:bCs/>
                <w:sz w:val="22"/>
                <w:szCs w:val="22"/>
              </w:rPr>
              <w:t>). There exists limited research into the extent to which this may include the general and psychometric data required for self-referral for mental health and wellbeing services. The research topic and hypothesis of this study has been drawn from a compilation of evidence surrounding the critique of reliability of psychometric scales (</w:t>
            </w:r>
            <w:r w:rsidR="00505272">
              <w:rPr>
                <w:rFonts w:ascii="Arial" w:hAnsi="Arial" w:cs="Arial"/>
                <w:bCs/>
                <w:sz w:val="22"/>
                <w:szCs w:val="22"/>
              </w:rPr>
              <w:t>Gaffaney et al., 2022</w:t>
            </w:r>
            <w:r>
              <w:rPr>
                <w:rFonts w:ascii="Arial" w:hAnsi="Arial" w:cs="Arial"/>
                <w:bCs/>
                <w:sz w:val="22"/>
                <w:szCs w:val="22"/>
              </w:rPr>
              <w:t>) and the conditions under which an individual may not honestly or accurately disclose information regarding their mental wellbeing (</w:t>
            </w:r>
            <w:r w:rsidR="00727118">
              <w:rPr>
                <w:rFonts w:ascii="Arial" w:hAnsi="Arial" w:cs="Arial"/>
                <w:bCs/>
                <w:sz w:val="22"/>
                <w:szCs w:val="22"/>
              </w:rPr>
              <w:t>Dale et al., 2021</w:t>
            </w:r>
            <w:r>
              <w:rPr>
                <w:rFonts w:ascii="Arial" w:hAnsi="Arial" w:cs="Arial"/>
                <w:bCs/>
                <w:sz w:val="22"/>
                <w:szCs w:val="22"/>
              </w:rPr>
              <w:t xml:space="preserve">). Therefore, </w:t>
            </w:r>
            <w:r w:rsidR="0008459E">
              <w:rPr>
                <w:rFonts w:ascii="Arial" w:hAnsi="Arial" w:cs="Arial"/>
                <w:bCs/>
                <w:sz w:val="22"/>
                <w:szCs w:val="22"/>
              </w:rPr>
              <w:t>these two distinct features are being considered as potentially interdependent in the possible implication of self-referral inaccuracy. Further research has been conducted to observe the validity of questionnaires and responses of individuals with specific conditions ranging from anxiety, self-injurious thoughts and behaviours,</w:t>
            </w:r>
            <w:r w:rsidR="000D0F82">
              <w:rPr>
                <w:rFonts w:ascii="Arial" w:hAnsi="Arial" w:cs="Arial"/>
                <w:bCs/>
                <w:sz w:val="22"/>
                <w:szCs w:val="22"/>
              </w:rPr>
              <w:t xml:space="preserve"> drug use,</w:t>
            </w:r>
            <w:r w:rsidR="0008459E">
              <w:rPr>
                <w:rFonts w:ascii="Arial" w:hAnsi="Arial" w:cs="Arial"/>
                <w:bCs/>
                <w:sz w:val="22"/>
                <w:szCs w:val="22"/>
              </w:rPr>
              <w:t xml:space="preserve"> and pregnancy (</w:t>
            </w:r>
            <w:r w:rsidR="00DC2AAA">
              <w:rPr>
                <w:rFonts w:ascii="Arial" w:hAnsi="Arial" w:cs="Arial"/>
                <w:bCs/>
                <w:sz w:val="22"/>
                <w:szCs w:val="22"/>
              </w:rPr>
              <w:t>Fox et al., 2020 &amp; Leeman et al.,2021</w:t>
            </w:r>
            <w:r w:rsidR="0008459E">
              <w:rPr>
                <w:rFonts w:ascii="Arial" w:hAnsi="Arial" w:cs="Arial"/>
                <w:bCs/>
                <w:sz w:val="22"/>
                <w:szCs w:val="22"/>
              </w:rPr>
              <w:t xml:space="preserve">). Biases and inaccuracies are considered to be the result of such </w:t>
            </w:r>
            <w:r w:rsidR="00892018">
              <w:rPr>
                <w:rFonts w:ascii="Arial" w:hAnsi="Arial" w:cs="Arial"/>
                <w:bCs/>
                <w:sz w:val="22"/>
                <w:szCs w:val="22"/>
              </w:rPr>
              <w:t>conditions,</w:t>
            </w:r>
            <w:r w:rsidR="0008459E">
              <w:rPr>
                <w:rFonts w:ascii="Arial" w:hAnsi="Arial" w:cs="Arial"/>
                <w:bCs/>
                <w:sz w:val="22"/>
                <w:szCs w:val="22"/>
              </w:rPr>
              <w:t xml:space="preserve"> or </w:t>
            </w:r>
            <w:r w:rsidR="00892018">
              <w:rPr>
                <w:rFonts w:ascii="Arial" w:hAnsi="Arial" w:cs="Arial"/>
                <w:bCs/>
                <w:sz w:val="22"/>
                <w:szCs w:val="22"/>
              </w:rPr>
              <w:t>they are due to flaws</w:t>
            </w:r>
            <w:r w:rsidR="0008459E">
              <w:rPr>
                <w:rFonts w:ascii="Arial" w:hAnsi="Arial" w:cs="Arial"/>
                <w:bCs/>
                <w:sz w:val="22"/>
                <w:szCs w:val="22"/>
              </w:rPr>
              <w:t xml:space="preserve"> in the method of data collection</w:t>
            </w:r>
            <w:r w:rsidR="00892018">
              <w:rPr>
                <w:rFonts w:ascii="Arial" w:hAnsi="Arial" w:cs="Arial"/>
                <w:bCs/>
                <w:sz w:val="22"/>
                <w:szCs w:val="22"/>
              </w:rPr>
              <w:t>. However, It appears to be seldom considered that there may be a closer relationship between an individual’s condition or manner in which they manage to engage in self-reporting and the way in which the self-reporting measures are presented. For example, to what extent could a referral form for treatment of anxiety actually induce or momentarily exacerbate the symptoms, does this impact responses, does this impact the perceived urgency of treatment for that individual</w:t>
            </w:r>
            <w:r w:rsidR="00473D53">
              <w:rPr>
                <w:rFonts w:ascii="Arial" w:hAnsi="Arial" w:cs="Arial"/>
                <w:bCs/>
                <w:sz w:val="22"/>
                <w:szCs w:val="22"/>
              </w:rPr>
              <w:t>, and does this relationship extend to other conditions and their relevant self-reporting measures?</w:t>
            </w:r>
            <w:r w:rsidR="00892018">
              <w:rPr>
                <w:rFonts w:ascii="Arial" w:hAnsi="Arial" w:cs="Arial"/>
                <w:bCs/>
                <w:sz w:val="22"/>
                <w:szCs w:val="22"/>
              </w:rPr>
              <w:t xml:space="preserve">  </w:t>
            </w:r>
            <w:r w:rsidR="0008459E">
              <w:rPr>
                <w:rFonts w:ascii="Arial" w:hAnsi="Arial" w:cs="Arial"/>
                <w:bCs/>
                <w:sz w:val="22"/>
                <w:szCs w:val="22"/>
              </w:rPr>
              <w:t xml:space="preserve">   </w:t>
            </w:r>
            <w:r>
              <w:rPr>
                <w:rFonts w:ascii="Arial" w:hAnsi="Arial" w:cs="Arial"/>
                <w:bCs/>
                <w:sz w:val="22"/>
                <w:szCs w:val="22"/>
              </w:rPr>
              <w:t xml:space="preserve">  </w:t>
            </w: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36935072" w14:textId="15DD84A0" w:rsidR="003B4AA4" w:rsidRPr="003B4AA4" w:rsidRDefault="003B4AA4" w:rsidP="00B24417">
            <w:pPr>
              <w:rPr>
                <w:rFonts w:ascii="Arial" w:hAnsi="Arial" w:cs="Arial"/>
                <w:bCs/>
                <w:sz w:val="20"/>
              </w:rPr>
            </w:pPr>
            <w:r>
              <w:rPr>
                <w:rFonts w:ascii="Arial" w:hAnsi="Arial" w:cs="Arial"/>
                <w:bCs/>
                <w:sz w:val="20"/>
              </w:rPr>
              <w:t xml:space="preserve">What aspects of mental health and wellbeing self-reporting processes are likely to </w:t>
            </w:r>
            <w:r w:rsidR="00F34406">
              <w:rPr>
                <w:rFonts w:ascii="Arial" w:hAnsi="Arial" w:cs="Arial"/>
                <w:bCs/>
                <w:sz w:val="20"/>
              </w:rPr>
              <w:t>el</w:t>
            </w:r>
            <w:r>
              <w:rPr>
                <w:rFonts w:ascii="Arial" w:hAnsi="Arial" w:cs="Arial"/>
                <w:bCs/>
                <w:sz w:val="20"/>
              </w:rPr>
              <w:t>icit dishonest or inaccurate responses from individuals seeking mental health support and why?</w:t>
            </w:r>
          </w:p>
          <w:p w14:paraId="7D91FB1C" w14:textId="577A0806" w:rsidR="00B24417" w:rsidRPr="003B4AA4" w:rsidRDefault="003B4AA4" w:rsidP="00B24417">
            <w:pPr>
              <w:rPr>
                <w:rFonts w:ascii="Arial" w:hAnsi="Arial" w:cs="Arial"/>
                <w:bCs/>
                <w:sz w:val="20"/>
              </w:rPr>
            </w:pPr>
            <w:r>
              <w:rPr>
                <w:rFonts w:ascii="Arial" w:hAnsi="Arial" w:cs="Arial"/>
                <w:bCs/>
                <w:sz w:val="20"/>
              </w:rPr>
              <w:t xml:space="preserve">It is hypothesised that there are two primary elements of this engagement that are potentially interdependently responsible for individuals providing misinformation in the process. These include the individual’s psychological and emotional state, and the presentation of information provided within the self-reporting material. </w:t>
            </w: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0F37DF6B" w14:textId="77777777" w:rsidR="00EE2D54" w:rsidRDefault="00EE2D54" w:rsidP="00360E4B">
            <w:pPr>
              <w:rPr>
                <w:rFonts w:ascii="Arial" w:hAnsi="Arial" w:cs="Arial"/>
                <w:b/>
              </w:rPr>
            </w:pPr>
          </w:p>
          <w:p w14:paraId="6E355057" w14:textId="19410FAA" w:rsidR="00EE2D54" w:rsidRPr="00AD7A25" w:rsidRDefault="00EE2D54" w:rsidP="00EE2D54">
            <w:pPr>
              <w:pStyle w:val="ListParagraph"/>
              <w:numPr>
                <w:ilvl w:val="0"/>
                <w:numId w:val="4"/>
              </w:numPr>
              <w:rPr>
                <w:rFonts w:ascii="Arial" w:hAnsi="Arial" w:cs="Arial"/>
                <w:b/>
              </w:rPr>
            </w:pPr>
            <w:r>
              <w:rPr>
                <w:rFonts w:ascii="Arial" w:hAnsi="Arial" w:cs="Arial"/>
                <w:bCs/>
                <w:sz w:val="22"/>
                <w:szCs w:val="22"/>
              </w:rPr>
              <w:t xml:space="preserve">Participants: </w:t>
            </w:r>
            <w:r w:rsidR="00AD7A25">
              <w:rPr>
                <w:rFonts w:ascii="Arial" w:hAnsi="Arial" w:cs="Arial"/>
                <w:bCs/>
                <w:sz w:val="22"/>
                <w:szCs w:val="22"/>
              </w:rPr>
              <w:t>Research participants will be comprised of UWTSD students recruited from the online Experiment Management System. Demographic information will not be a factor in determining eligibility apart from the age requirement of being 18 years of age or older. At least 10 participants will be required for this study.</w:t>
            </w:r>
          </w:p>
          <w:p w14:paraId="04760534" w14:textId="77777777" w:rsidR="00AD7A25" w:rsidRPr="00AD7A25" w:rsidRDefault="00AD7A25" w:rsidP="00AD7A25">
            <w:pPr>
              <w:pStyle w:val="ListParagraph"/>
              <w:rPr>
                <w:rFonts w:ascii="Arial" w:hAnsi="Arial" w:cs="Arial"/>
                <w:b/>
              </w:rPr>
            </w:pPr>
          </w:p>
          <w:p w14:paraId="30E9628A" w14:textId="347E79B4" w:rsidR="00AD7A25" w:rsidRPr="00AD7A25" w:rsidRDefault="00AD7A25" w:rsidP="00EE2D54">
            <w:pPr>
              <w:pStyle w:val="ListParagraph"/>
              <w:numPr>
                <w:ilvl w:val="0"/>
                <w:numId w:val="4"/>
              </w:numPr>
              <w:rPr>
                <w:rFonts w:ascii="Arial" w:hAnsi="Arial" w:cs="Arial"/>
                <w:b/>
              </w:rPr>
            </w:pPr>
            <w:r>
              <w:rPr>
                <w:rFonts w:ascii="Arial" w:hAnsi="Arial" w:cs="Arial"/>
                <w:bCs/>
                <w:sz w:val="22"/>
                <w:szCs w:val="22"/>
              </w:rPr>
              <w:t xml:space="preserve">Design: A qualitative approach will be employed for this study. Interviews will be conducted individually with each participant. Each interview will be recorded and transcribed after which a thematic analysis will be conducted for each interview to determine and encode significant and/or reoccurring themes. </w:t>
            </w:r>
          </w:p>
          <w:p w14:paraId="6F6078BE" w14:textId="77777777" w:rsidR="00AD7A25" w:rsidRPr="00AD7A25" w:rsidRDefault="00AD7A25" w:rsidP="00AD7A25">
            <w:pPr>
              <w:pStyle w:val="ListParagraph"/>
              <w:rPr>
                <w:rFonts w:ascii="Arial" w:hAnsi="Arial" w:cs="Arial"/>
                <w:b/>
              </w:rPr>
            </w:pPr>
          </w:p>
          <w:p w14:paraId="3C2B9784" w14:textId="5B677E21" w:rsidR="00AD7A25" w:rsidRPr="00174C73" w:rsidRDefault="00AD7A25" w:rsidP="00EE2D54">
            <w:pPr>
              <w:pStyle w:val="ListParagraph"/>
              <w:numPr>
                <w:ilvl w:val="0"/>
                <w:numId w:val="4"/>
              </w:numPr>
              <w:rPr>
                <w:rFonts w:ascii="Arial" w:hAnsi="Arial" w:cs="Arial"/>
                <w:b/>
              </w:rPr>
            </w:pPr>
            <w:r>
              <w:rPr>
                <w:rFonts w:ascii="Arial" w:hAnsi="Arial" w:cs="Arial"/>
                <w:bCs/>
                <w:sz w:val="22"/>
                <w:szCs w:val="22"/>
              </w:rPr>
              <w:lastRenderedPageBreak/>
              <w:t xml:space="preserve">Materials: The interviews will involve questions regarding participant perceptions of </w:t>
            </w:r>
            <w:r w:rsidR="00BF30C0">
              <w:rPr>
                <w:rFonts w:ascii="Arial" w:hAnsi="Arial" w:cs="Arial"/>
                <w:bCs/>
                <w:sz w:val="22"/>
                <w:szCs w:val="22"/>
              </w:rPr>
              <w:t>three</w:t>
            </w:r>
            <w:r>
              <w:rPr>
                <w:rFonts w:ascii="Arial" w:hAnsi="Arial" w:cs="Arial"/>
                <w:bCs/>
                <w:sz w:val="22"/>
                <w:szCs w:val="22"/>
              </w:rPr>
              <w:t xml:space="preserve"> self-reporting materials which will be discussed between the interviewer and participant. </w:t>
            </w:r>
            <w:r w:rsidR="00A162A6">
              <w:rPr>
                <w:rFonts w:ascii="Arial" w:hAnsi="Arial" w:cs="Arial"/>
                <w:bCs/>
                <w:sz w:val="22"/>
                <w:szCs w:val="22"/>
              </w:rPr>
              <w:t xml:space="preserve">The first material shall be a physical copy of </w:t>
            </w:r>
            <w:r w:rsidR="00BF30C0">
              <w:rPr>
                <w:rFonts w:ascii="Arial" w:hAnsi="Arial" w:cs="Arial"/>
                <w:bCs/>
                <w:sz w:val="22"/>
                <w:szCs w:val="22"/>
              </w:rPr>
              <w:t xml:space="preserve">the 6-page Anxiety UK Therapy Referral Form. The second will be </w:t>
            </w:r>
            <w:r w:rsidR="00174C73">
              <w:rPr>
                <w:rFonts w:ascii="Arial" w:hAnsi="Arial" w:cs="Arial"/>
                <w:bCs/>
                <w:sz w:val="22"/>
                <w:szCs w:val="22"/>
              </w:rPr>
              <w:t>a digitally interactive version of the 10 item ‘Clinical Outcomes in Routine Evaluation’ measurement tool (CORE-10). The third will be in the same format as the second, however, it will be the 34 item CORE-OM (Outcome Measure). The Likert scale of both CORE forms will be presented in “radio button” format.</w:t>
            </w:r>
          </w:p>
          <w:p w14:paraId="0FDB46F3" w14:textId="77777777" w:rsidR="00174C73" w:rsidRPr="00174C73" w:rsidRDefault="00174C73" w:rsidP="00174C73">
            <w:pPr>
              <w:pStyle w:val="ListParagraph"/>
              <w:rPr>
                <w:rFonts w:ascii="Arial" w:hAnsi="Arial" w:cs="Arial"/>
                <w:b/>
              </w:rPr>
            </w:pPr>
          </w:p>
          <w:p w14:paraId="46463E92" w14:textId="17899C09" w:rsidR="00174C73" w:rsidRPr="00EE2D54" w:rsidRDefault="00174C73" w:rsidP="00EE2D54">
            <w:pPr>
              <w:pStyle w:val="ListParagraph"/>
              <w:numPr>
                <w:ilvl w:val="0"/>
                <w:numId w:val="4"/>
              </w:numPr>
              <w:rPr>
                <w:rFonts w:ascii="Arial" w:hAnsi="Arial" w:cs="Arial"/>
                <w:b/>
              </w:rPr>
            </w:pPr>
            <w:r>
              <w:rPr>
                <w:rFonts w:ascii="Arial" w:hAnsi="Arial" w:cs="Arial"/>
                <w:bCs/>
                <w:sz w:val="22"/>
                <w:szCs w:val="22"/>
              </w:rPr>
              <w:t xml:space="preserve">Procedure: Each participant will be shown to a room in the psychology labs and, after a brief introduction from the interviewer, will be provided with the study information sheet and consent form. Once the participant has completed the form, assuming consent has been </w:t>
            </w:r>
            <w:r w:rsidR="00EE5C49">
              <w:rPr>
                <w:rFonts w:ascii="Arial" w:hAnsi="Arial" w:cs="Arial"/>
                <w:bCs/>
                <w:sz w:val="22"/>
                <w:szCs w:val="22"/>
              </w:rPr>
              <w:t>given along with participant signature and an optional disclosure of demographic information (age only), the participant will be verbally reminded of their rights as a research participant that will have been clearly indicated within the BPS Code of Conduct section of the consent form provided (right to withdraw, consent to recording data, deletion of response and participant data following completion of the research, etc). The interview will then take place</w:t>
            </w:r>
            <w:r w:rsidR="00505259">
              <w:rPr>
                <w:rFonts w:ascii="Arial" w:hAnsi="Arial" w:cs="Arial"/>
                <w:bCs/>
                <w:sz w:val="22"/>
                <w:szCs w:val="22"/>
              </w:rPr>
              <w:t xml:space="preserve"> and the three self-reporting materials will be provided consecutively and the nature of each form will be explained to the participant by the interviewer.</w:t>
            </w:r>
            <w:r>
              <w:rPr>
                <w:rFonts w:ascii="Arial" w:hAnsi="Arial" w:cs="Arial"/>
                <w:bCs/>
                <w:sz w:val="22"/>
                <w:szCs w:val="22"/>
              </w:rPr>
              <w:t xml:space="preserve"> </w:t>
            </w:r>
            <w:r w:rsidR="00505259">
              <w:rPr>
                <w:rFonts w:ascii="Arial" w:hAnsi="Arial" w:cs="Arial"/>
                <w:bCs/>
                <w:sz w:val="22"/>
                <w:szCs w:val="22"/>
              </w:rPr>
              <w:t>The interview</w:t>
            </w:r>
            <w:r w:rsidR="00EE5C49">
              <w:rPr>
                <w:rFonts w:ascii="Arial" w:hAnsi="Arial" w:cs="Arial"/>
                <w:bCs/>
                <w:sz w:val="22"/>
                <w:szCs w:val="22"/>
              </w:rPr>
              <w:t xml:space="preserve"> will include 20 questions</w:t>
            </w:r>
            <w:r w:rsidR="00505259">
              <w:rPr>
                <w:rFonts w:ascii="Arial" w:hAnsi="Arial" w:cs="Arial"/>
                <w:bCs/>
                <w:sz w:val="22"/>
                <w:szCs w:val="22"/>
              </w:rPr>
              <w:t xml:space="preserve"> regarding</w:t>
            </w:r>
            <w:r w:rsidR="00EE5C49">
              <w:rPr>
                <w:rFonts w:ascii="Arial" w:hAnsi="Arial" w:cs="Arial"/>
                <w:bCs/>
                <w:sz w:val="22"/>
                <w:szCs w:val="22"/>
              </w:rPr>
              <w:t xml:space="preserve"> reasons why the participant may feel an individual may</w:t>
            </w:r>
            <w:r w:rsidR="00505259">
              <w:rPr>
                <w:rFonts w:ascii="Arial" w:hAnsi="Arial" w:cs="Arial"/>
                <w:bCs/>
                <w:sz w:val="22"/>
                <w:szCs w:val="22"/>
              </w:rPr>
              <w:t xml:space="preserve"> or may not</w:t>
            </w:r>
            <w:r w:rsidR="00EE5C49">
              <w:rPr>
                <w:rFonts w:ascii="Arial" w:hAnsi="Arial" w:cs="Arial"/>
                <w:bCs/>
                <w:sz w:val="22"/>
                <w:szCs w:val="22"/>
              </w:rPr>
              <w:t xml:space="preserve"> respond to each section of the materials provided inaccurately or dishonestly</w:t>
            </w:r>
            <w:r w:rsidR="00505259">
              <w:rPr>
                <w:rFonts w:ascii="Arial" w:hAnsi="Arial" w:cs="Arial"/>
                <w:bCs/>
                <w:sz w:val="22"/>
                <w:szCs w:val="22"/>
              </w:rPr>
              <w:t xml:space="preserve"> based on how they themselves have managed to engage with the materials during the interview. Participants will be encouraged to respond using hypothetical descriptions should they wish to provide further details. Throughout the interview, participants will be reminded that they can withdraw from the study should they begin to feel uncomfortable and, when appropriate, the interviewer shall ask if the participant is comfortable continuing. An audio recording will be taken of the entire interview and stopped when the interview concludes. Following this, the participant will be provided with a study debrief form, thanked for their participation and offered the opportunity to privately engage in an online mindfulness exercise before leaving the labs. </w:t>
            </w:r>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3D8AD04F" w14:textId="6200C6E6" w:rsidR="00E24E04" w:rsidRPr="00F34406" w:rsidRDefault="00F34406" w:rsidP="00E24E04">
            <w:pPr>
              <w:rPr>
                <w:rFonts w:ascii="Arial" w:hAnsi="Arial" w:cs="Arial"/>
                <w:bCs/>
                <w:sz w:val="22"/>
                <w:szCs w:val="22"/>
              </w:rPr>
            </w:pPr>
            <w:r>
              <w:rPr>
                <w:rFonts w:ascii="Arial" w:hAnsi="Arial" w:cs="Arial"/>
                <w:bCs/>
                <w:sz w:val="22"/>
                <w:szCs w:val="22"/>
              </w:rPr>
              <w:t xml:space="preserve">Though participants will not be asked to draw upon their personal experiences (if any) of engaging with mental health self-reporting when responding to the interview questions, it is still possible that </w:t>
            </w:r>
            <w:r w:rsidR="001B17B2">
              <w:rPr>
                <w:rFonts w:ascii="Arial" w:hAnsi="Arial" w:cs="Arial"/>
                <w:bCs/>
                <w:sz w:val="22"/>
                <w:szCs w:val="22"/>
              </w:rPr>
              <w:t xml:space="preserve">when discussing sections of a psychometric scale or self-referral form, certain questions within these materials may cause the participant to feel uncomfortable or be negatively emotionally impacted. This </w:t>
            </w:r>
            <w:r w:rsidR="001B17B2">
              <w:rPr>
                <w:rFonts w:ascii="Arial" w:hAnsi="Arial" w:cs="Arial"/>
                <w:bCs/>
                <w:sz w:val="22"/>
                <w:szCs w:val="22"/>
              </w:rPr>
              <w:lastRenderedPageBreak/>
              <w:t xml:space="preserve">may include, but is not limited to, sections in the materials in which an individual is asked to rate how often they consider attempting self-harm. Though the research participant will not be asked this question, the discussion surrounding their perceptions of how accurately an individual may respond to it may cause the participant to feel distressed. </w:t>
            </w:r>
          </w:p>
          <w:p w14:paraId="11664A95" w14:textId="24A03E1D" w:rsidR="00E24E04" w:rsidRPr="001B17B2" w:rsidRDefault="001B17B2" w:rsidP="00E24E04">
            <w:pPr>
              <w:rPr>
                <w:rFonts w:ascii="Arial" w:hAnsi="Arial" w:cs="Arial"/>
                <w:bCs/>
                <w:sz w:val="22"/>
                <w:szCs w:val="22"/>
              </w:rPr>
            </w:pPr>
            <w:r>
              <w:rPr>
                <w:rFonts w:ascii="Arial" w:hAnsi="Arial" w:cs="Arial"/>
                <w:bCs/>
                <w:sz w:val="22"/>
                <w:szCs w:val="22"/>
              </w:rPr>
              <w:t xml:space="preserve">When screening for participant eligibility, previous experience in self-reporting will not be a consideration. However, prior to consent participants will be made informed </w:t>
            </w:r>
            <w:r w:rsidR="006D0B4E">
              <w:rPr>
                <w:rFonts w:ascii="Arial" w:hAnsi="Arial" w:cs="Arial"/>
                <w:bCs/>
                <w:sz w:val="22"/>
                <w:szCs w:val="22"/>
              </w:rPr>
              <w:t>of the sensitive nature of certain questions within the materials that they will be required to discuss with the researcher. Participants will be reminded of their right to withdraw at any time during the interview, the researcher will ask if the participant is comfortable to continue when appropriate, and participants will be provided with a safe space in which they can engage in an online wellbeing exercise should they so choose.</w:t>
            </w: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0AE56" w14:textId="77777777" w:rsidR="00FF4FC6" w:rsidRDefault="00FF4FC6">
      <w:r>
        <w:separator/>
      </w:r>
    </w:p>
  </w:endnote>
  <w:endnote w:type="continuationSeparator" w:id="0">
    <w:p w14:paraId="6D13CE81" w14:textId="77777777" w:rsidR="00FF4FC6" w:rsidRDefault="00FF4F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01361" w14:textId="77777777" w:rsidR="00FF4FC6" w:rsidRDefault="00FF4FC6">
      <w:r>
        <w:separator/>
      </w:r>
    </w:p>
  </w:footnote>
  <w:footnote w:type="continuationSeparator" w:id="0">
    <w:p w14:paraId="58973154" w14:textId="77777777" w:rsidR="00FF4FC6" w:rsidRDefault="00FF4F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314828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57DD"/>
    <w:rsid w:val="00057223"/>
    <w:rsid w:val="00066E0A"/>
    <w:rsid w:val="00073E06"/>
    <w:rsid w:val="0008459E"/>
    <w:rsid w:val="00086D4F"/>
    <w:rsid w:val="00087BF3"/>
    <w:rsid w:val="000920D2"/>
    <w:rsid w:val="000C1972"/>
    <w:rsid w:val="000C45C6"/>
    <w:rsid w:val="000C7356"/>
    <w:rsid w:val="000D0F82"/>
    <w:rsid w:val="000E4E3F"/>
    <w:rsid w:val="000F514D"/>
    <w:rsid w:val="00107694"/>
    <w:rsid w:val="00137D0F"/>
    <w:rsid w:val="001466E6"/>
    <w:rsid w:val="00161012"/>
    <w:rsid w:val="001704C8"/>
    <w:rsid w:val="00174C73"/>
    <w:rsid w:val="00175793"/>
    <w:rsid w:val="00183928"/>
    <w:rsid w:val="00185FED"/>
    <w:rsid w:val="00186F40"/>
    <w:rsid w:val="001879DB"/>
    <w:rsid w:val="001A749D"/>
    <w:rsid w:val="001B17B2"/>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4AA4"/>
    <w:rsid w:val="003B5F80"/>
    <w:rsid w:val="003C154B"/>
    <w:rsid w:val="003D0CD4"/>
    <w:rsid w:val="003D1B92"/>
    <w:rsid w:val="003E444F"/>
    <w:rsid w:val="003E4ECD"/>
    <w:rsid w:val="003E5FDA"/>
    <w:rsid w:val="003F0AAE"/>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73D53"/>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5259"/>
    <w:rsid w:val="00505272"/>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27CB"/>
    <w:rsid w:val="005E4647"/>
    <w:rsid w:val="005E74F1"/>
    <w:rsid w:val="005F2114"/>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0B4E"/>
    <w:rsid w:val="006D10AC"/>
    <w:rsid w:val="006D31CA"/>
    <w:rsid w:val="006E4763"/>
    <w:rsid w:val="006E670A"/>
    <w:rsid w:val="006E6E6E"/>
    <w:rsid w:val="006F3D33"/>
    <w:rsid w:val="00704616"/>
    <w:rsid w:val="00707654"/>
    <w:rsid w:val="0071671E"/>
    <w:rsid w:val="007209B9"/>
    <w:rsid w:val="00720E1E"/>
    <w:rsid w:val="00727118"/>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D7F22"/>
    <w:rsid w:val="007E1B79"/>
    <w:rsid w:val="007E279A"/>
    <w:rsid w:val="007E787E"/>
    <w:rsid w:val="007F63C7"/>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2018"/>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A5B4A"/>
    <w:rsid w:val="009C0B5A"/>
    <w:rsid w:val="009D14AD"/>
    <w:rsid w:val="009D373F"/>
    <w:rsid w:val="009E43FE"/>
    <w:rsid w:val="009F0537"/>
    <w:rsid w:val="009F6541"/>
    <w:rsid w:val="00A01F77"/>
    <w:rsid w:val="00A05E89"/>
    <w:rsid w:val="00A07CA3"/>
    <w:rsid w:val="00A1196A"/>
    <w:rsid w:val="00A13ED4"/>
    <w:rsid w:val="00A162A6"/>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D7A25"/>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BF30C0"/>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1899"/>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2AAA"/>
    <w:rsid w:val="00DC77E1"/>
    <w:rsid w:val="00DE121A"/>
    <w:rsid w:val="00DE3226"/>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E2D54"/>
    <w:rsid w:val="00EE5C49"/>
    <w:rsid w:val="00EF25ED"/>
    <w:rsid w:val="00EF4440"/>
    <w:rsid w:val="00EF6B3C"/>
    <w:rsid w:val="00F06B1D"/>
    <w:rsid w:val="00F15CBA"/>
    <w:rsid w:val="00F17B14"/>
    <w:rsid w:val="00F200A1"/>
    <w:rsid w:val="00F341B6"/>
    <w:rsid w:val="00F3440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4FC6"/>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241</TotalTime>
  <Pages>4</Pages>
  <Words>1344</Words>
  <Characters>7661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8988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William Page (2113430)</cp:lastModifiedBy>
  <cp:revision>31</cp:revision>
  <cp:lastPrinted>2008-04-14T13:39:00Z</cp:lastPrinted>
  <dcterms:created xsi:type="dcterms:W3CDTF">2023-05-28T12:14:00Z</dcterms:created>
  <dcterms:modified xsi:type="dcterms:W3CDTF">2023-05-28T16:17:00Z</dcterms:modified>
</cp:coreProperties>
</file>