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FEC79" w14:textId="77777777" w:rsidR="00E50157" w:rsidRPr="00BF38C4" w:rsidRDefault="00E50157" w:rsidP="008F1381">
      <w:pPr>
        <w:spacing w:line="360" w:lineRule="auto"/>
        <w:jc w:val="center"/>
        <w:rPr>
          <w:rFonts w:ascii="Arial" w:hAnsi="Arial" w:cs="Arial"/>
          <w:b/>
          <w:sz w:val="24"/>
          <w:szCs w:val="24"/>
        </w:rPr>
      </w:pPr>
    </w:p>
    <w:p w14:paraId="216FE3EE" w14:textId="77777777" w:rsidR="00E50157" w:rsidRPr="00BF38C4" w:rsidRDefault="00E50157" w:rsidP="008F1381">
      <w:pPr>
        <w:spacing w:line="360" w:lineRule="auto"/>
        <w:jc w:val="center"/>
        <w:rPr>
          <w:rFonts w:ascii="Arial" w:hAnsi="Arial" w:cs="Arial"/>
          <w:b/>
          <w:sz w:val="24"/>
          <w:szCs w:val="24"/>
        </w:rPr>
      </w:pPr>
    </w:p>
    <w:p w14:paraId="5C87F29B" w14:textId="77777777" w:rsidR="00E50157" w:rsidRPr="00BF38C4" w:rsidRDefault="00E50157" w:rsidP="008F1381">
      <w:pPr>
        <w:spacing w:line="360" w:lineRule="auto"/>
        <w:jc w:val="center"/>
        <w:rPr>
          <w:rFonts w:ascii="Arial" w:hAnsi="Arial" w:cs="Arial"/>
          <w:b/>
          <w:sz w:val="24"/>
          <w:szCs w:val="24"/>
        </w:rPr>
      </w:pPr>
    </w:p>
    <w:p w14:paraId="667319A5" w14:textId="77777777" w:rsidR="00E50157" w:rsidRPr="00BF38C4" w:rsidRDefault="00E50157" w:rsidP="008F1381">
      <w:pPr>
        <w:spacing w:line="360" w:lineRule="auto"/>
        <w:jc w:val="center"/>
        <w:rPr>
          <w:rFonts w:ascii="Arial" w:hAnsi="Arial" w:cs="Arial"/>
          <w:b/>
          <w:sz w:val="24"/>
          <w:szCs w:val="24"/>
        </w:rPr>
      </w:pPr>
    </w:p>
    <w:p w14:paraId="68ABBA03" w14:textId="77777777" w:rsidR="00E50157" w:rsidRPr="00BF38C4" w:rsidRDefault="00E50157" w:rsidP="008F1381">
      <w:pPr>
        <w:spacing w:line="360" w:lineRule="auto"/>
        <w:jc w:val="center"/>
        <w:rPr>
          <w:rFonts w:ascii="Arial" w:hAnsi="Arial" w:cs="Arial"/>
          <w:b/>
          <w:sz w:val="24"/>
          <w:szCs w:val="24"/>
        </w:rPr>
      </w:pPr>
    </w:p>
    <w:p w14:paraId="1F0BF496" w14:textId="77777777" w:rsidR="00BA7900" w:rsidRPr="00BF38C4" w:rsidRDefault="00E50157" w:rsidP="008F1381">
      <w:pPr>
        <w:spacing w:line="360" w:lineRule="auto"/>
        <w:jc w:val="center"/>
        <w:rPr>
          <w:rFonts w:ascii="Arial" w:hAnsi="Arial" w:cs="Arial"/>
          <w:b/>
          <w:sz w:val="24"/>
          <w:szCs w:val="24"/>
        </w:rPr>
      </w:pPr>
      <w:r w:rsidRPr="00BF38C4">
        <w:rPr>
          <w:rFonts w:ascii="Arial" w:hAnsi="Arial" w:cs="Arial"/>
          <w:b/>
          <w:sz w:val="24"/>
          <w:szCs w:val="24"/>
        </w:rPr>
        <w:t>BMIH5005 Personnel Resourcing and Development</w:t>
      </w:r>
    </w:p>
    <w:p w14:paraId="28B2DCC2" w14:textId="77777777" w:rsidR="00E50157" w:rsidRPr="00BF38C4" w:rsidRDefault="00E50157" w:rsidP="008F1381">
      <w:pPr>
        <w:spacing w:line="360" w:lineRule="auto"/>
        <w:jc w:val="center"/>
        <w:rPr>
          <w:rFonts w:ascii="Arial" w:hAnsi="Arial" w:cs="Arial"/>
          <w:b/>
          <w:sz w:val="24"/>
          <w:szCs w:val="24"/>
        </w:rPr>
      </w:pPr>
    </w:p>
    <w:p w14:paraId="70CBD624" w14:textId="77777777" w:rsidR="00E50157" w:rsidRPr="00BF38C4" w:rsidRDefault="00E50157" w:rsidP="008F1381">
      <w:pPr>
        <w:spacing w:line="360" w:lineRule="auto"/>
        <w:jc w:val="center"/>
        <w:rPr>
          <w:rFonts w:ascii="Arial" w:hAnsi="Arial" w:cs="Arial"/>
          <w:b/>
          <w:sz w:val="24"/>
          <w:szCs w:val="24"/>
        </w:rPr>
      </w:pPr>
    </w:p>
    <w:p w14:paraId="56E310D9" w14:textId="77777777" w:rsidR="00E50157" w:rsidRPr="00BF38C4" w:rsidRDefault="00E50157" w:rsidP="008F1381">
      <w:pPr>
        <w:spacing w:line="360" w:lineRule="auto"/>
        <w:jc w:val="center"/>
        <w:rPr>
          <w:rFonts w:ascii="Arial" w:hAnsi="Arial" w:cs="Arial"/>
          <w:b/>
          <w:sz w:val="24"/>
          <w:szCs w:val="24"/>
        </w:rPr>
      </w:pPr>
    </w:p>
    <w:p w14:paraId="600A32B7" w14:textId="77777777" w:rsidR="00E50157" w:rsidRPr="00BF38C4" w:rsidRDefault="00F83CF3" w:rsidP="008F1381">
      <w:pPr>
        <w:spacing w:line="360" w:lineRule="auto"/>
        <w:jc w:val="center"/>
        <w:rPr>
          <w:rFonts w:ascii="Arial" w:hAnsi="Arial" w:cs="Arial"/>
          <w:b/>
          <w:sz w:val="24"/>
          <w:szCs w:val="24"/>
        </w:rPr>
      </w:pPr>
      <w:r w:rsidRPr="00BF38C4">
        <w:rPr>
          <w:rFonts w:ascii="Arial" w:hAnsi="Arial" w:cs="Arial"/>
          <w:b/>
          <w:sz w:val="24"/>
          <w:szCs w:val="24"/>
        </w:rPr>
        <w:t>Title - How to retain and engage employees throughout the employee lifecycle</w:t>
      </w:r>
    </w:p>
    <w:p w14:paraId="0248872D" w14:textId="77777777" w:rsidR="00E50157" w:rsidRPr="00BF38C4" w:rsidRDefault="00E50157" w:rsidP="008F1381">
      <w:pPr>
        <w:spacing w:line="360" w:lineRule="auto"/>
        <w:jc w:val="center"/>
        <w:rPr>
          <w:rFonts w:ascii="Arial" w:hAnsi="Arial" w:cs="Arial"/>
          <w:b/>
          <w:sz w:val="24"/>
          <w:szCs w:val="24"/>
        </w:rPr>
      </w:pPr>
    </w:p>
    <w:p w14:paraId="33768405" w14:textId="5AE5BC51" w:rsidR="00E50157" w:rsidRPr="00BF38C4" w:rsidRDefault="00E50157" w:rsidP="008F1381">
      <w:pPr>
        <w:spacing w:line="360" w:lineRule="auto"/>
        <w:jc w:val="center"/>
        <w:rPr>
          <w:rFonts w:ascii="Arial" w:hAnsi="Arial" w:cs="Arial"/>
          <w:sz w:val="24"/>
          <w:szCs w:val="24"/>
        </w:rPr>
      </w:pPr>
      <w:r w:rsidRPr="00BF38C4">
        <w:rPr>
          <w:rFonts w:ascii="Arial" w:hAnsi="Arial" w:cs="Arial"/>
          <w:sz w:val="24"/>
          <w:szCs w:val="24"/>
        </w:rPr>
        <w:t>Name of Student</w:t>
      </w:r>
      <w:r w:rsidR="00F83CF3" w:rsidRPr="00BF38C4">
        <w:rPr>
          <w:rFonts w:ascii="Arial" w:hAnsi="Arial" w:cs="Arial"/>
          <w:sz w:val="24"/>
          <w:szCs w:val="24"/>
        </w:rPr>
        <w:t>:</w:t>
      </w:r>
      <w:r w:rsidR="000329D2">
        <w:rPr>
          <w:rFonts w:ascii="Arial" w:hAnsi="Arial" w:cs="Arial"/>
          <w:sz w:val="24"/>
          <w:szCs w:val="24"/>
        </w:rPr>
        <w:t xml:space="preserve"> Martin Yankov</w:t>
      </w:r>
    </w:p>
    <w:p w14:paraId="64B36FE9" w14:textId="6B2F7B4D" w:rsidR="00E50157" w:rsidRPr="00BF38C4" w:rsidRDefault="00F83CF3" w:rsidP="008F1381">
      <w:pPr>
        <w:spacing w:line="360" w:lineRule="auto"/>
        <w:jc w:val="center"/>
        <w:rPr>
          <w:rFonts w:ascii="Arial" w:hAnsi="Arial" w:cs="Arial"/>
          <w:sz w:val="24"/>
          <w:szCs w:val="24"/>
        </w:rPr>
      </w:pPr>
      <w:r w:rsidRPr="00BF38C4">
        <w:rPr>
          <w:rFonts w:ascii="Arial" w:hAnsi="Arial" w:cs="Arial"/>
          <w:sz w:val="24"/>
          <w:szCs w:val="24"/>
        </w:rPr>
        <w:t xml:space="preserve">Module Number: </w:t>
      </w:r>
      <w:r w:rsidR="000329D2">
        <w:rPr>
          <w:rFonts w:ascii="Arial" w:hAnsi="Arial" w:cs="Arial"/>
          <w:sz w:val="24"/>
          <w:szCs w:val="24"/>
        </w:rPr>
        <w:t>BMIH5005</w:t>
      </w:r>
    </w:p>
    <w:p w14:paraId="52D9220C" w14:textId="76DCDD8F" w:rsidR="00E50157" w:rsidRPr="00BF38C4" w:rsidRDefault="00F83CF3" w:rsidP="008F1381">
      <w:pPr>
        <w:spacing w:line="360" w:lineRule="auto"/>
        <w:jc w:val="center"/>
        <w:rPr>
          <w:rFonts w:ascii="Arial" w:hAnsi="Arial" w:cs="Arial"/>
          <w:sz w:val="24"/>
          <w:szCs w:val="24"/>
        </w:rPr>
      </w:pPr>
      <w:r w:rsidRPr="00BF38C4">
        <w:rPr>
          <w:rFonts w:ascii="Arial" w:hAnsi="Arial" w:cs="Arial"/>
          <w:sz w:val="24"/>
          <w:szCs w:val="24"/>
        </w:rPr>
        <w:t>Lecturer Name:</w:t>
      </w:r>
      <w:r w:rsidR="000329D2">
        <w:rPr>
          <w:rFonts w:ascii="Arial" w:hAnsi="Arial" w:cs="Arial"/>
          <w:sz w:val="24"/>
          <w:szCs w:val="24"/>
        </w:rPr>
        <w:t xml:space="preserve"> Helen Evans</w:t>
      </w:r>
    </w:p>
    <w:p w14:paraId="6EFC0F7B" w14:textId="77777777" w:rsidR="00E50157" w:rsidRPr="00BF38C4" w:rsidRDefault="00E50157" w:rsidP="008F1381">
      <w:pPr>
        <w:spacing w:line="360" w:lineRule="auto"/>
        <w:rPr>
          <w:rFonts w:ascii="Arial" w:hAnsi="Arial" w:cs="Arial"/>
          <w:sz w:val="24"/>
          <w:szCs w:val="24"/>
        </w:rPr>
      </w:pPr>
      <w:r w:rsidRPr="00BF38C4">
        <w:rPr>
          <w:rFonts w:ascii="Arial" w:hAnsi="Arial" w:cs="Arial"/>
          <w:sz w:val="24"/>
          <w:szCs w:val="24"/>
        </w:rPr>
        <w:br w:type="page"/>
      </w:r>
    </w:p>
    <w:p w14:paraId="56EADBD1" w14:textId="77777777" w:rsidR="00F83CF3" w:rsidRPr="00BF38C4" w:rsidRDefault="00F83CF3" w:rsidP="005D26D2">
      <w:pPr>
        <w:spacing w:line="360" w:lineRule="auto"/>
        <w:jc w:val="both"/>
        <w:rPr>
          <w:rFonts w:ascii="Arial" w:hAnsi="Arial" w:cs="Arial"/>
          <w:b/>
          <w:sz w:val="24"/>
          <w:szCs w:val="24"/>
        </w:rPr>
      </w:pPr>
      <w:r w:rsidRPr="00BF38C4">
        <w:rPr>
          <w:rFonts w:ascii="Arial" w:hAnsi="Arial" w:cs="Arial"/>
          <w:b/>
          <w:sz w:val="24"/>
          <w:szCs w:val="24"/>
        </w:rPr>
        <w:lastRenderedPageBreak/>
        <w:t>Introduction</w:t>
      </w:r>
    </w:p>
    <w:p w14:paraId="0AFFBDC4" w14:textId="77777777" w:rsidR="00F83CF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Human Resources (HR) plays an essential role in the hospitality business, especially at larger hotels, in terms of talent management and development over the Employee Lifecycle (ELC) (Barron et al., 2017). Attraction, recruiting, onboarding, development, retention, and separation are all parts of the employee life cycle (ELC) (McCracken et al., 2016). As stated by Kapoor and Gupta (2016), an organization's success and competitiveness are directly tied to the quality of its human resource management. In order to recruit and retain top talent in an industry characterised by high turnover and a fiercely competitive job market, hotels must develop a strong employer brand. However, further research is needed because of the intricacy of these processes. Consequently, the purpose of this essay is to assess how well HR plays a part in the ELC of a big hotel and what tactics it employs to manage and cultivate talent. To further appreciate the importance of good people management in this business, examples of industry best practices and their influence on organisational success will be offered.</w:t>
      </w:r>
    </w:p>
    <w:p w14:paraId="101FBDB5" w14:textId="77777777" w:rsidR="00F83CF3" w:rsidRPr="00BF38C4" w:rsidRDefault="00F83CF3" w:rsidP="005D26D2">
      <w:pPr>
        <w:spacing w:line="360" w:lineRule="auto"/>
        <w:jc w:val="both"/>
        <w:rPr>
          <w:rFonts w:ascii="Arial" w:hAnsi="Arial" w:cs="Arial"/>
          <w:b/>
          <w:sz w:val="24"/>
          <w:szCs w:val="24"/>
        </w:rPr>
      </w:pPr>
      <w:r w:rsidRPr="00BF38C4">
        <w:rPr>
          <w:rFonts w:ascii="Arial" w:hAnsi="Arial" w:cs="Arial"/>
          <w:b/>
          <w:sz w:val="24"/>
          <w:szCs w:val="24"/>
        </w:rPr>
        <w:t>Discussion</w:t>
      </w:r>
    </w:p>
    <w:p w14:paraId="2CBD7064"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Throughout the Employee Lifecycle (ELC), the HR department plays a crucial role in managing and developing talent. Strategic human resource management often includes talent management since it helps businesses find, train, and retain personnel who will help them achieve their goals (Barron et al., 2017). High turnover rates in the hospitality business make it difficult for human resources departments, especially in major hotels, to both recruit and retain qualified workers. HR departments are under increasing pressure to guarantee high levels of employee performance and business success (Kapoor &amp; Gupta, 2016).</w:t>
      </w:r>
    </w:p>
    <w:p w14:paraId="7A8D8989"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 xml:space="preserve">Attraction is the first phase of the ELC and entails marketing the company to prospective workers by highlighting its positive qualities as an employer, such as its culture, values, and career development prospects. Here, HR plays a pivotal role in making sure a strong employer brand is articulated that rings true with prospective workers and draws in top talent (Kapoor &amp; Gupta, 2016). However, this is difficult in the hotel business because of the tough working conditions and restricted prospects for advancement. After attracting a large pool of qualified applicants, the next step is </w:t>
      </w:r>
      <w:r w:rsidRPr="00BF38C4">
        <w:rPr>
          <w:rFonts w:ascii="Arial" w:hAnsi="Arial" w:cs="Arial"/>
          <w:sz w:val="24"/>
          <w:szCs w:val="24"/>
        </w:rPr>
        <w:lastRenderedPageBreak/>
        <w:t>recruiting. Human resources departments need to develop thorough selection procedures that give equal weight to individuals' credentials, abilities, potential for advancement, and cultural compatibility. This is even more difficult in the hotel business owing to the wide range of expertise and character traits needed for various positions (Kapoor &amp; Gupta, 2016).</w:t>
      </w:r>
    </w:p>
    <w:p w14:paraId="22E24B7A"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In order to increase employee engagement and productivity, talent management must extend through the recruiting phase and into the onboarding, development, and retention phases. New employees who have gone through an intensive and interesting onboarding process are more likely to feel at home in the company's culture and to have a firm grasp on their responsibilities (</w:t>
      </w:r>
      <w:proofErr w:type="spellStart"/>
      <w:r w:rsidRPr="00BF38C4">
        <w:rPr>
          <w:rFonts w:ascii="Arial" w:hAnsi="Arial" w:cs="Arial"/>
          <w:sz w:val="24"/>
          <w:szCs w:val="24"/>
        </w:rPr>
        <w:t>Presbitero</w:t>
      </w:r>
      <w:proofErr w:type="spellEnd"/>
      <w:r w:rsidRPr="00BF38C4">
        <w:rPr>
          <w:rFonts w:ascii="Arial" w:hAnsi="Arial" w:cs="Arial"/>
          <w:sz w:val="24"/>
          <w:szCs w:val="24"/>
        </w:rPr>
        <w:t>, 2020). Facilitating ongoing education and professional development is a key part of the development phase. Human resources play a crucial part in this by creating an atmosphere conducive to learning, stocking employees with tools they can use to improve their skills, and keeping morale and productivity high (Barron et al., 2017).</w:t>
      </w:r>
    </w:p>
    <w:p w14:paraId="5E7640CA"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The hotel business has a huge retention difficulty, making employee retention a critical HR function. Competitive compensation, recognition programmes, an opportunity for advancement, and a positive work environment are all common retention strategies (</w:t>
      </w:r>
      <w:proofErr w:type="spellStart"/>
      <w:r w:rsidRPr="00BF38C4">
        <w:rPr>
          <w:rFonts w:ascii="Arial" w:hAnsi="Arial" w:cs="Arial"/>
          <w:sz w:val="24"/>
          <w:szCs w:val="24"/>
        </w:rPr>
        <w:t>Presbitero</w:t>
      </w:r>
      <w:proofErr w:type="spellEnd"/>
      <w:r w:rsidRPr="00BF38C4">
        <w:rPr>
          <w:rFonts w:ascii="Arial" w:hAnsi="Arial" w:cs="Arial"/>
          <w:sz w:val="24"/>
          <w:szCs w:val="24"/>
        </w:rPr>
        <w:t>, 2020). The HR department's capacity to properly manage the various phases of the ELC has a direct bearing on the efficiency and competitiveness of the business as a whole. The talent pool of a company is heavily dependent on the beginning phases of the Employee Lifecycle (ELC), which include attraction and recruiting. In industries with high turnover rates and a competitive labour market, such as the hotel sector, human resources play a pivotal role throughout these phases in order to attract and recruit qualified individuals (Barron et al., 2017).</w:t>
      </w:r>
    </w:p>
    <w:p w14:paraId="79A06B6F"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 xml:space="preserve">Developing a strong employer brand that fairly and effectively portrays the company's values, culture, and prospects for advancement is an important part of the recruitment process. Attracting candidates whose goals are in line with those of the company is one goal of effective employer branding (Kapoor &amp; Gupta, 2016). The hotel business has a reputation for long hours, high-stress settings, and few possibilities for advancement, making it difficult to create an appealing employer brand. Human resources </w:t>
      </w:r>
      <w:r w:rsidRPr="00BF38C4">
        <w:rPr>
          <w:rFonts w:ascii="Arial" w:hAnsi="Arial" w:cs="Arial"/>
          <w:sz w:val="24"/>
          <w:szCs w:val="24"/>
        </w:rPr>
        <w:lastRenderedPageBreak/>
        <w:t>departments, meanwhile, need to be creative and selective in their recruiting tactics if they are to find and attract the most qualified applicants. It is important for hiring procedures to assess not just a candidate's ability to do the job, but also their potential for advancement and how well they will mesh with the company's culture (Kapoor &amp; Gupta, 2016). Herein lies yet another difficulty for human resources professionals working in the hospitality industry: assessing candidates' aptitudes and personalities for various positions inside a hotel. Because of the worldwide scope of the hospitality sector, HR departments are often faced with the challenges of international recruiting such as communicating across language and cultural boundaries and complying with different immigration policies</w:t>
      </w:r>
      <w:r w:rsidR="009A1A41" w:rsidRPr="00BF38C4">
        <w:rPr>
          <w:rFonts w:ascii="Arial" w:hAnsi="Arial" w:cs="Arial"/>
          <w:sz w:val="24"/>
          <w:szCs w:val="24"/>
        </w:rPr>
        <w:t xml:space="preserve"> </w:t>
      </w:r>
      <w:r w:rsidR="00BF38C4" w:rsidRPr="00BF38C4">
        <w:rPr>
          <w:rFonts w:ascii="Arial" w:hAnsi="Arial" w:cs="Arial"/>
          <w:sz w:val="24"/>
          <w:szCs w:val="24"/>
        </w:rPr>
        <w:t>(Allen, 2013)</w:t>
      </w:r>
      <w:r w:rsidRPr="00BF38C4">
        <w:rPr>
          <w:rFonts w:ascii="Arial" w:hAnsi="Arial" w:cs="Arial"/>
          <w:sz w:val="24"/>
          <w:szCs w:val="24"/>
        </w:rPr>
        <w:t>. Therefore, it is essential to take a comprehensive strategy for hiring that takes into account all of these criteria (McCracken et al., 2016) in order to assure the selection of the best possible applicants.</w:t>
      </w:r>
    </w:p>
    <w:p w14:paraId="1A466A4D"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 xml:space="preserve">When it comes to the Employee Lifecycle (ELC), onboarding is the next most important step. When hiring goes well, the next step is an onboarding process that helps the new employee understand their place in the company and what is expected of them (Saks &amp; </w:t>
      </w:r>
      <w:proofErr w:type="spellStart"/>
      <w:r w:rsidRPr="00BF38C4">
        <w:rPr>
          <w:rFonts w:ascii="Arial" w:hAnsi="Arial" w:cs="Arial"/>
          <w:sz w:val="24"/>
          <w:szCs w:val="24"/>
        </w:rPr>
        <w:t>Gruman</w:t>
      </w:r>
      <w:proofErr w:type="spellEnd"/>
      <w:r w:rsidRPr="00BF38C4">
        <w:rPr>
          <w:rFonts w:ascii="Arial" w:hAnsi="Arial" w:cs="Arial"/>
          <w:sz w:val="24"/>
          <w:szCs w:val="24"/>
        </w:rPr>
        <w:t>, 2018). The HR department plays a critical role in this procedure, and a flexible method of onboarding is especially important in the hotel sector due to the difficulties associated with different job descriptions and significant employee turnover</w:t>
      </w:r>
      <w:r w:rsidR="009A1A41" w:rsidRPr="00BF38C4">
        <w:rPr>
          <w:rFonts w:ascii="Arial" w:hAnsi="Arial" w:cs="Arial"/>
          <w:sz w:val="24"/>
          <w:szCs w:val="24"/>
        </w:rPr>
        <w:t xml:space="preserve"> </w:t>
      </w:r>
      <w:r w:rsidR="00BF38C4" w:rsidRPr="00BF38C4">
        <w:rPr>
          <w:rFonts w:ascii="Arial" w:hAnsi="Arial" w:cs="Arial"/>
          <w:sz w:val="24"/>
          <w:szCs w:val="24"/>
        </w:rPr>
        <w:t>(Davis, 2015)</w:t>
      </w:r>
      <w:r w:rsidRPr="00BF38C4">
        <w:rPr>
          <w:rFonts w:ascii="Arial" w:hAnsi="Arial" w:cs="Arial"/>
          <w:sz w:val="24"/>
          <w:szCs w:val="24"/>
        </w:rPr>
        <w:t xml:space="preserve">. According to studies (Bauer et al., 2012), a company's productivity, employee happiness, and loyalty are all positively affected by a thorough onboarding process for new hires. Therefore, the onboarding process should do more than just introduce and teach new employees; it should also </w:t>
      </w:r>
      <w:proofErr w:type="spellStart"/>
      <w:r w:rsidRPr="00BF38C4">
        <w:rPr>
          <w:rFonts w:ascii="Arial" w:hAnsi="Arial" w:cs="Arial"/>
          <w:sz w:val="24"/>
          <w:szCs w:val="24"/>
        </w:rPr>
        <w:t>familiarise</w:t>
      </w:r>
      <w:proofErr w:type="spellEnd"/>
      <w:r w:rsidRPr="00BF38C4">
        <w:rPr>
          <w:rFonts w:ascii="Arial" w:hAnsi="Arial" w:cs="Arial"/>
          <w:sz w:val="24"/>
          <w:szCs w:val="24"/>
        </w:rPr>
        <w:t xml:space="preserve"> them with the company's culture, outline what is expected of them in terms of performance, and help them bond with their peers (</w:t>
      </w:r>
      <w:proofErr w:type="spellStart"/>
      <w:r w:rsidRPr="00BF38C4">
        <w:rPr>
          <w:rFonts w:ascii="Arial" w:hAnsi="Arial" w:cs="Arial"/>
          <w:sz w:val="24"/>
          <w:szCs w:val="24"/>
        </w:rPr>
        <w:t>Nifadkar</w:t>
      </w:r>
      <w:proofErr w:type="spellEnd"/>
      <w:r w:rsidRPr="00BF38C4">
        <w:rPr>
          <w:rFonts w:ascii="Arial" w:hAnsi="Arial" w:cs="Arial"/>
          <w:sz w:val="24"/>
          <w:szCs w:val="24"/>
        </w:rPr>
        <w:t xml:space="preserve"> &amp; Bauer, 2016).</w:t>
      </w:r>
    </w:p>
    <w:p w14:paraId="1A68D1E2"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 xml:space="preserve">The hotel sector has a significant problem in maintaining a consistent and high-quality onboarding experience for a wide variety of professions, from front-of-house workers to upper management. As a result, in order to accommodate the wide variety of demands and expectations of new workers, onboarding techniques need to be adaptable and role-specific (Chand, 2016). Furthermore, it might be difficult to give a systematic and complete onboarding experience in the hotel business due to the ephemeral and 24/7 </w:t>
      </w:r>
      <w:r w:rsidRPr="00BF38C4">
        <w:rPr>
          <w:rFonts w:ascii="Arial" w:hAnsi="Arial" w:cs="Arial"/>
          <w:sz w:val="24"/>
          <w:szCs w:val="24"/>
        </w:rPr>
        <w:lastRenderedPageBreak/>
        <w:t>nature of the profession. Many businesses, like Marriott Hotels, have turned to technology in an effort to improve their onboarding procedures in response to this trend</w:t>
      </w:r>
      <w:r w:rsidR="009A1A41" w:rsidRPr="00BF38C4">
        <w:rPr>
          <w:rFonts w:ascii="Arial" w:hAnsi="Arial" w:cs="Arial"/>
          <w:sz w:val="24"/>
          <w:szCs w:val="24"/>
        </w:rPr>
        <w:t xml:space="preserve"> </w:t>
      </w:r>
      <w:r w:rsidR="00BF38C4" w:rsidRPr="00BF38C4">
        <w:rPr>
          <w:rFonts w:ascii="Arial" w:hAnsi="Arial" w:cs="Arial"/>
          <w:sz w:val="24"/>
          <w:szCs w:val="24"/>
        </w:rPr>
        <w:t>(Gupta, 2019)</w:t>
      </w:r>
      <w:r w:rsidRPr="00BF38C4">
        <w:rPr>
          <w:rFonts w:ascii="Arial" w:hAnsi="Arial" w:cs="Arial"/>
          <w:sz w:val="24"/>
          <w:szCs w:val="24"/>
        </w:rPr>
        <w:t xml:space="preserve">. For example, Marriott's "Passport to Success" </w:t>
      </w:r>
      <w:proofErr w:type="spellStart"/>
      <w:r w:rsidRPr="00BF38C4">
        <w:rPr>
          <w:rFonts w:ascii="Arial" w:hAnsi="Arial" w:cs="Arial"/>
          <w:sz w:val="24"/>
          <w:szCs w:val="24"/>
        </w:rPr>
        <w:t>programme</w:t>
      </w:r>
      <w:proofErr w:type="spellEnd"/>
      <w:r w:rsidRPr="00BF38C4">
        <w:rPr>
          <w:rFonts w:ascii="Arial" w:hAnsi="Arial" w:cs="Arial"/>
          <w:sz w:val="24"/>
          <w:szCs w:val="24"/>
        </w:rPr>
        <w:t xml:space="preserve"> leverages digital platforms to quickly introduce new recruits to the company's resources and culture (</w:t>
      </w:r>
      <w:proofErr w:type="spellStart"/>
      <w:r w:rsidRPr="00BF38C4">
        <w:rPr>
          <w:rFonts w:ascii="Arial" w:hAnsi="Arial" w:cs="Arial"/>
          <w:sz w:val="24"/>
          <w:szCs w:val="24"/>
        </w:rPr>
        <w:t>Presbitero</w:t>
      </w:r>
      <w:proofErr w:type="spellEnd"/>
      <w:r w:rsidRPr="00BF38C4">
        <w:rPr>
          <w:rFonts w:ascii="Arial" w:hAnsi="Arial" w:cs="Arial"/>
          <w:sz w:val="24"/>
          <w:szCs w:val="24"/>
        </w:rPr>
        <w:t xml:space="preserve">, 2020). Technology may help with the onboarding process, but it's important to strike a balance between that and human engagement and assistance. New employees' comprehension of their work and their relationship to the organization's culture are greatly aided by open lines of communication with management and colleagues during the onboarding process (Saks &amp; </w:t>
      </w:r>
      <w:proofErr w:type="spellStart"/>
      <w:r w:rsidRPr="00BF38C4">
        <w:rPr>
          <w:rFonts w:ascii="Arial" w:hAnsi="Arial" w:cs="Arial"/>
          <w:sz w:val="24"/>
          <w:szCs w:val="24"/>
        </w:rPr>
        <w:t>Gruman</w:t>
      </w:r>
      <w:proofErr w:type="spellEnd"/>
      <w:r w:rsidRPr="00BF38C4">
        <w:rPr>
          <w:rFonts w:ascii="Arial" w:hAnsi="Arial" w:cs="Arial"/>
          <w:sz w:val="24"/>
          <w:szCs w:val="24"/>
        </w:rPr>
        <w:t>, 2018).</w:t>
      </w:r>
    </w:p>
    <w:p w14:paraId="424890A3"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When it comes to cultivating and improving workers' skills, knowledge, and talents, the development stage of the Employee Lifecycle (ELC) is essential. Particularly so in the fast-paced and cutthroat hotel business, HR departments are essential in developing and enforcing successful growth plans. Employee performance and organisational success are both influenced by workers' commitment to and interest in ongoing training and development (Barron et al., 2017). Human resources professionals in the hotel business need to use a variety of approaches to encourage professional advancement among their staff.</w:t>
      </w:r>
    </w:p>
    <w:p w14:paraId="74E18644"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Talent development programmes increasingly use digital learning environments. Employees today have more opportunities than ever to expand their skill sets and advance in their careers because of online learning modules, virtual classrooms, and mobile learning apps (Evans &amp; Nation, 2016). Training in customer service, problem resolution, and leadership may all be adapted for use on these platforms (</w:t>
      </w:r>
      <w:proofErr w:type="spellStart"/>
      <w:r w:rsidRPr="00BF38C4">
        <w:rPr>
          <w:rFonts w:ascii="Arial" w:hAnsi="Arial" w:cs="Arial"/>
          <w:sz w:val="24"/>
          <w:szCs w:val="24"/>
        </w:rPr>
        <w:t>Ladkin</w:t>
      </w:r>
      <w:proofErr w:type="spellEnd"/>
      <w:r w:rsidRPr="00BF38C4">
        <w:rPr>
          <w:rFonts w:ascii="Arial" w:hAnsi="Arial" w:cs="Arial"/>
          <w:sz w:val="24"/>
          <w:szCs w:val="24"/>
        </w:rPr>
        <w:t xml:space="preserve"> &amp; </w:t>
      </w:r>
      <w:proofErr w:type="spellStart"/>
      <w:r w:rsidRPr="00BF38C4">
        <w:rPr>
          <w:rFonts w:ascii="Arial" w:hAnsi="Arial" w:cs="Arial"/>
          <w:sz w:val="24"/>
          <w:szCs w:val="24"/>
        </w:rPr>
        <w:t>Juwaheer</w:t>
      </w:r>
      <w:proofErr w:type="spellEnd"/>
      <w:r w:rsidRPr="00BF38C4">
        <w:rPr>
          <w:rFonts w:ascii="Arial" w:hAnsi="Arial" w:cs="Arial"/>
          <w:sz w:val="24"/>
          <w:szCs w:val="24"/>
        </w:rPr>
        <w:t xml:space="preserve">, 2016) to better meet the demands of the hotel business. Employee growth may also be facilitated via the use of coaching and mentoring programmes. Human resources departments may </w:t>
      </w:r>
      <w:proofErr w:type="spellStart"/>
      <w:r w:rsidRPr="00BF38C4">
        <w:rPr>
          <w:rFonts w:ascii="Arial" w:hAnsi="Arial" w:cs="Arial"/>
          <w:sz w:val="24"/>
          <w:szCs w:val="24"/>
        </w:rPr>
        <w:t>formalise</w:t>
      </w:r>
      <w:proofErr w:type="spellEnd"/>
      <w:r w:rsidRPr="00BF38C4">
        <w:rPr>
          <w:rFonts w:ascii="Arial" w:hAnsi="Arial" w:cs="Arial"/>
          <w:sz w:val="24"/>
          <w:szCs w:val="24"/>
        </w:rPr>
        <w:t xml:space="preserve"> mentoring </w:t>
      </w:r>
      <w:proofErr w:type="spellStart"/>
      <w:r w:rsidRPr="00BF38C4">
        <w:rPr>
          <w:rFonts w:ascii="Arial" w:hAnsi="Arial" w:cs="Arial"/>
          <w:sz w:val="24"/>
          <w:szCs w:val="24"/>
        </w:rPr>
        <w:t>programmes</w:t>
      </w:r>
      <w:proofErr w:type="spellEnd"/>
      <w:r w:rsidRPr="00BF38C4">
        <w:rPr>
          <w:rFonts w:ascii="Arial" w:hAnsi="Arial" w:cs="Arial"/>
          <w:sz w:val="24"/>
          <w:szCs w:val="24"/>
        </w:rPr>
        <w:t xml:space="preserve"> by matching seasoned workers with those just entering the workforce to promote skill sharing and career development (Evans &amp; Nation, 2016). This not only helps people learn faster but also helps them thrive by providing a positive work atmosphere.</w:t>
      </w:r>
    </w:p>
    <w:p w14:paraId="0AE8E2BB"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 xml:space="preserve">The hospitality business, which places a premium on hands-on experience, may benefit greatly from the training provided on the job. Incorporating learning and development </w:t>
      </w:r>
      <w:r w:rsidRPr="00BF38C4">
        <w:rPr>
          <w:rFonts w:ascii="Arial" w:hAnsi="Arial" w:cs="Arial"/>
          <w:sz w:val="24"/>
          <w:szCs w:val="24"/>
        </w:rPr>
        <w:lastRenderedPageBreak/>
        <w:t xml:space="preserve">opportunities into regular work activities has been shown to improve workers' productivity and flexibility (Barron et al., 2017). The "Ladies and Gentlemen" </w:t>
      </w:r>
      <w:proofErr w:type="spellStart"/>
      <w:r w:rsidRPr="00BF38C4">
        <w:rPr>
          <w:rFonts w:ascii="Arial" w:hAnsi="Arial" w:cs="Arial"/>
          <w:sz w:val="24"/>
          <w:szCs w:val="24"/>
        </w:rPr>
        <w:t>programme</w:t>
      </w:r>
      <w:proofErr w:type="spellEnd"/>
      <w:r w:rsidRPr="00BF38C4">
        <w:rPr>
          <w:rFonts w:ascii="Arial" w:hAnsi="Arial" w:cs="Arial"/>
          <w:sz w:val="24"/>
          <w:szCs w:val="24"/>
        </w:rPr>
        <w:t xml:space="preserve"> at the Ritz-Carlton is a great example of a forward-thinking way to train new employees. The </w:t>
      </w:r>
      <w:proofErr w:type="spellStart"/>
      <w:r w:rsidRPr="00BF38C4">
        <w:rPr>
          <w:rFonts w:ascii="Arial" w:hAnsi="Arial" w:cs="Arial"/>
          <w:sz w:val="24"/>
          <w:szCs w:val="24"/>
        </w:rPr>
        <w:t>programme</w:t>
      </w:r>
      <w:proofErr w:type="spellEnd"/>
      <w:r w:rsidRPr="00BF38C4">
        <w:rPr>
          <w:rFonts w:ascii="Arial" w:hAnsi="Arial" w:cs="Arial"/>
          <w:sz w:val="24"/>
          <w:szCs w:val="24"/>
        </w:rPr>
        <w:t xml:space="preserve"> fosters an environment where individuals are encouraged to learn and grow on the job (McCracken et al., 2016). The Ritz-Carlton has built a highly competent workforce and increased employee engagement and loyalty by investing in its employees' professional growth. While it's important for businesses to put resources into their employees' professional growth, HR departments should check to make sure such programmes are in line with workers' objectives. To be most effective, development programmes should be both individually </w:t>
      </w:r>
      <w:proofErr w:type="spellStart"/>
      <w:r w:rsidRPr="00BF38C4">
        <w:rPr>
          <w:rFonts w:ascii="Arial" w:hAnsi="Arial" w:cs="Arial"/>
          <w:sz w:val="24"/>
          <w:szCs w:val="24"/>
        </w:rPr>
        <w:t>individualised</w:t>
      </w:r>
      <w:proofErr w:type="spellEnd"/>
      <w:r w:rsidRPr="00BF38C4">
        <w:rPr>
          <w:rFonts w:ascii="Arial" w:hAnsi="Arial" w:cs="Arial"/>
          <w:sz w:val="24"/>
          <w:szCs w:val="24"/>
        </w:rPr>
        <w:t xml:space="preserve"> and in line with the organization's strategic goals (Evans &amp; Nation, 2016).</w:t>
      </w:r>
    </w:p>
    <w:p w14:paraId="234ED582"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Talent retention is difficult in the hotel business because of the high turnover rate. Human resources departments may improve retention by offering competitive pay, recognition programmes, a positive work environment, and defined career advancement opportunities (</w:t>
      </w:r>
      <w:proofErr w:type="spellStart"/>
      <w:r w:rsidRPr="00BF38C4">
        <w:rPr>
          <w:rFonts w:ascii="Arial" w:hAnsi="Arial" w:cs="Arial"/>
          <w:sz w:val="24"/>
          <w:szCs w:val="24"/>
        </w:rPr>
        <w:t>Presbitero</w:t>
      </w:r>
      <w:proofErr w:type="spellEnd"/>
      <w:r w:rsidRPr="00BF38C4">
        <w:rPr>
          <w:rFonts w:ascii="Arial" w:hAnsi="Arial" w:cs="Arial"/>
          <w:sz w:val="24"/>
          <w:szCs w:val="24"/>
        </w:rPr>
        <w:t>, 2020). For instance, Hilton's "</w:t>
      </w:r>
      <w:proofErr w:type="spellStart"/>
      <w:r w:rsidRPr="00BF38C4">
        <w:rPr>
          <w:rFonts w:ascii="Arial" w:hAnsi="Arial" w:cs="Arial"/>
          <w:sz w:val="24"/>
          <w:szCs w:val="24"/>
        </w:rPr>
        <w:t>Thrive@Hilton</w:t>
      </w:r>
      <w:proofErr w:type="spellEnd"/>
      <w:r w:rsidRPr="00BF38C4">
        <w:rPr>
          <w:rFonts w:ascii="Arial" w:hAnsi="Arial" w:cs="Arial"/>
          <w:sz w:val="24"/>
          <w:szCs w:val="24"/>
        </w:rPr>
        <w:t xml:space="preserve">" </w:t>
      </w:r>
      <w:proofErr w:type="spellStart"/>
      <w:r w:rsidRPr="00BF38C4">
        <w:rPr>
          <w:rFonts w:ascii="Arial" w:hAnsi="Arial" w:cs="Arial"/>
          <w:sz w:val="24"/>
          <w:szCs w:val="24"/>
        </w:rPr>
        <w:t>programme</w:t>
      </w:r>
      <w:proofErr w:type="spellEnd"/>
      <w:r w:rsidRPr="00BF38C4">
        <w:rPr>
          <w:rFonts w:ascii="Arial" w:hAnsi="Arial" w:cs="Arial"/>
          <w:sz w:val="24"/>
          <w:szCs w:val="24"/>
        </w:rPr>
        <w:t xml:space="preserve"> creates a positive and interesting workplace that </w:t>
      </w:r>
      <w:proofErr w:type="spellStart"/>
      <w:r w:rsidRPr="00BF38C4">
        <w:rPr>
          <w:rFonts w:ascii="Arial" w:hAnsi="Arial" w:cs="Arial"/>
          <w:sz w:val="24"/>
          <w:szCs w:val="24"/>
        </w:rPr>
        <w:t>prioritises</w:t>
      </w:r>
      <w:proofErr w:type="spellEnd"/>
      <w:r w:rsidRPr="00BF38C4">
        <w:rPr>
          <w:rFonts w:ascii="Arial" w:hAnsi="Arial" w:cs="Arial"/>
          <w:sz w:val="24"/>
          <w:szCs w:val="24"/>
        </w:rPr>
        <w:t xml:space="preserve"> the health and development of its workers. The </w:t>
      </w:r>
      <w:proofErr w:type="spellStart"/>
      <w:r w:rsidRPr="00BF38C4">
        <w:rPr>
          <w:rFonts w:ascii="Arial" w:hAnsi="Arial" w:cs="Arial"/>
          <w:sz w:val="24"/>
          <w:szCs w:val="24"/>
        </w:rPr>
        <w:t>programme</w:t>
      </w:r>
      <w:proofErr w:type="spellEnd"/>
      <w:r w:rsidRPr="00BF38C4">
        <w:rPr>
          <w:rFonts w:ascii="Arial" w:hAnsi="Arial" w:cs="Arial"/>
          <w:sz w:val="24"/>
          <w:szCs w:val="24"/>
        </w:rPr>
        <w:t xml:space="preserve"> has helped Hilton retain and motivate its employees, which has improved the company's productivity (</w:t>
      </w:r>
      <w:proofErr w:type="spellStart"/>
      <w:r w:rsidRPr="00BF38C4">
        <w:rPr>
          <w:rFonts w:ascii="Arial" w:hAnsi="Arial" w:cs="Arial"/>
          <w:sz w:val="24"/>
          <w:szCs w:val="24"/>
        </w:rPr>
        <w:t>Presbitero</w:t>
      </w:r>
      <w:proofErr w:type="spellEnd"/>
      <w:r w:rsidRPr="00BF38C4">
        <w:rPr>
          <w:rFonts w:ascii="Arial" w:hAnsi="Arial" w:cs="Arial"/>
          <w:sz w:val="24"/>
          <w:szCs w:val="24"/>
        </w:rPr>
        <w:t>, 2020).</w:t>
      </w:r>
    </w:p>
    <w:p w14:paraId="2261B133"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When a worker departs an organisation for whatever reason—retirement, termination, or resignation—they enter the separation phase of the Employee Lifecycle (ELC). To ensure a seamless transition and continue strong ties with the leaving employee, HR departments play a critical role in handling this process properly. In order to get valuable information and feedback from leaving workers, exit interviews are often performed. The answers to these questions, as well as the reasons for an employee's departure and any ideas they may have, may be very informative (McCracken et al., 2016). Human resources may study the data gathered from departure interviews critically to spot trends or recurrent problems, allowing them to make educated adjustments to better the employee experience and address any possible areas of concern.</w:t>
      </w:r>
    </w:p>
    <w:p w14:paraId="18D7A442" w14:textId="77777777" w:rsidR="00631E39"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 xml:space="preserve">Human resources have the chance to facilitate knowledge transfer sessions during the separation phase. As a result, the company will be able to continue operating with as </w:t>
      </w:r>
      <w:r w:rsidRPr="00BF38C4">
        <w:rPr>
          <w:rFonts w:ascii="Arial" w:hAnsi="Arial" w:cs="Arial"/>
          <w:sz w:val="24"/>
          <w:szCs w:val="24"/>
        </w:rPr>
        <w:lastRenderedPageBreak/>
        <w:t>little disruption as possible (Evans &amp; Davila, 2016) due to the transfer of the leaving employee's important knowledge and experience to other team members. Additionally, HR may use the separation process to keep in touch with departing workers in a cordial manner, increasing the likelihood of future cooperation and rehiring. Human resources may increase the likelihood of successful boomerang recruits by holding departure interviews with former employees in a kind and professional manner, expressing due for their contributions, and offering any required transitional assistance (Maurer, 2018).</w:t>
      </w:r>
    </w:p>
    <w:p w14:paraId="23C52A55" w14:textId="77777777" w:rsidR="00F83CF3" w:rsidRPr="00BF38C4" w:rsidRDefault="00F83CF3" w:rsidP="005D26D2">
      <w:pPr>
        <w:spacing w:line="360" w:lineRule="auto"/>
        <w:jc w:val="both"/>
        <w:rPr>
          <w:rFonts w:ascii="Arial" w:hAnsi="Arial" w:cs="Arial"/>
          <w:b/>
          <w:sz w:val="24"/>
          <w:szCs w:val="24"/>
        </w:rPr>
      </w:pPr>
      <w:r w:rsidRPr="00BF38C4">
        <w:rPr>
          <w:rFonts w:ascii="Arial" w:hAnsi="Arial" w:cs="Arial"/>
          <w:b/>
          <w:bCs/>
          <w:sz w:val="24"/>
          <w:szCs w:val="24"/>
        </w:rPr>
        <w:t>Conclusion</w:t>
      </w:r>
    </w:p>
    <w:p w14:paraId="5DF5B4C0"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In conclusion, the performance of human resources departments at major hotels relies heavily on excellent talent management across the Employee Lifecycle (ELC). Engaging and developing people is a continuous process that spans from attraction and recruiting through onboarding, development, retention, and separation. Human resources must develop a strong employer brand that communicates the organization's values and development possibilities in order to entice top-tier applicants. Candidates with the right set of talents and a good cultural fit will be chosen after extensive screening. After being hired, new staff members benefit from an in-depth onboarding procedure that helps them adjust to the company's culture and understand their specific duties and responsibilities.</w:t>
      </w:r>
    </w:p>
    <w:p w14:paraId="36241A98" w14:textId="77777777" w:rsidR="00486163"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Learning platforms facilitated by technology, coaching, mentoring, and on-the-job training all play a role in the ongoing process of employee development. These programmes encourage lifelong education, expert development, and professional advancement. Competitive pay, employee appreciation initiatives, and a positive work environment are all examples of retention methods designed to keep employees from leaving. Human resources have a chance to conduct departure interviews, provide information, and keep in touch with former employees after they leave the company.</w:t>
      </w:r>
    </w:p>
    <w:p w14:paraId="221D01D4" w14:textId="77777777" w:rsidR="00631E39" w:rsidRPr="00BF38C4" w:rsidRDefault="00486163" w:rsidP="005D26D2">
      <w:pPr>
        <w:spacing w:line="360" w:lineRule="auto"/>
        <w:jc w:val="both"/>
        <w:rPr>
          <w:rFonts w:ascii="Arial" w:hAnsi="Arial" w:cs="Arial"/>
          <w:sz w:val="24"/>
          <w:szCs w:val="24"/>
        </w:rPr>
      </w:pPr>
      <w:r w:rsidRPr="00BF38C4">
        <w:rPr>
          <w:rFonts w:ascii="Arial" w:hAnsi="Arial" w:cs="Arial"/>
          <w:sz w:val="24"/>
          <w:szCs w:val="24"/>
        </w:rPr>
        <w:t xml:space="preserve">Human resources departments in the hotel sector may improve organisational performance and competitiveness by adopting and implementing these techniques. Proactive talent management has been shown to have good effects in the hospitality sector, as seen by examples of best practices such as Marriott's onboarding </w:t>
      </w:r>
      <w:proofErr w:type="spellStart"/>
      <w:r w:rsidRPr="00BF38C4">
        <w:rPr>
          <w:rFonts w:ascii="Arial" w:hAnsi="Arial" w:cs="Arial"/>
          <w:sz w:val="24"/>
          <w:szCs w:val="24"/>
        </w:rPr>
        <w:t>programme</w:t>
      </w:r>
      <w:proofErr w:type="spellEnd"/>
      <w:r w:rsidRPr="00BF38C4">
        <w:rPr>
          <w:rFonts w:ascii="Arial" w:hAnsi="Arial" w:cs="Arial"/>
          <w:sz w:val="24"/>
          <w:szCs w:val="24"/>
        </w:rPr>
        <w:t xml:space="preserve">, Ritz-Carlton's development efforts, and Hilton's employee engagement </w:t>
      </w:r>
      <w:r w:rsidRPr="00BF38C4">
        <w:rPr>
          <w:rFonts w:ascii="Arial" w:hAnsi="Arial" w:cs="Arial"/>
          <w:sz w:val="24"/>
          <w:szCs w:val="24"/>
        </w:rPr>
        <w:lastRenderedPageBreak/>
        <w:t>programmes. Large hotels may set themselves apart from the competition in today's tight labour market by focusing on talent acquisition, development, and retention. The success of an organisation in the dynamic and ever-evolving hospitality sector relies heavily on its employees, and human resources play a crucial part in navigating the difficulties of the ELC.</w:t>
      </w:r>
    </w:p>
    <w:p w14:paraId="4DDBD5DE" w14:textId="77777777" w:rsidR="00486163" w:rsidRPr="00BF38C4" w:rsidRDefault="00486163" w:rsidP="005D26D2">
      <w:pPr>
        <w:spacing w:line="360" w:lineRule="auto"/>
        <w:jc w:val="both"/>
        <w:rPr>
          <w:rFonts w:ascii="Arial" w:hAnsi="Arial" w:cs="Arial"/>
          <w:b/>
          <w:sz w:val="24"/>
          <w:szCs w:val="24"/>
        </w:rPr>
      </w:pPr>
      <w:r w:rsidRPr="00BF38C4">
        <w:rPr>
          <w:rFonts w:ascii="Arial" w:hAnsi="Arial" w:cs="Arial"/>
          <w:b/>
          <w:sz w:val="24"/>
          <w:szCs w:val="24"/>
        </w:rPr>
        <w:br w:type="page"/>
      </w:r>
    </w:p>
    <w:p w14:paraId="05A873CD" w14:textId="77777777" w:rsidR="00F83CF3" w:rsidRPr="00BF38C4" w:rsidRDefault="00631E39" w:rsidP="005D26D2">
      <w:pPr>
        <w:spacing w:line="360" w:lineRule="auto"/>
        <w:jc w:val="both"/>
        <w:rPr>
          <w:rFonts w:ascii="Arial" w:hAnsi="Arial" w:cs="Arial"/>
          <w:b/>
          <w:sz w:val="24"/>
          <w:szCs w:val="24"/>
        </w:rPr>
      </w:pPr>
      <w:r w:rsidRPr="00BF38C4">
        <w:rPr>
          <w:rFonts w:ascii="Arial" w:hAnsi="Arial" w:cs="Arial"/>
          <w:b/>
          <w:sz w:val="24"/>
          <w:szCs w:val="24"/>
        </w:rPr>
        <w:lastRenderedPageBreak/>
        <w:t>References</w:t>
      </w:r>
    </w:p>
    <w:p w14:paraId="2A6F4442" w14:textId="77777777" w:rsidR="00BF38C4" w:rsidRPr="00BF38C4" w:rsidRDefault="00BF38C4" w:rsidP="005D26D2">
      <w:pPr>
        <w:spacing w:line="360" w:lineRule="auto"/>
        <w:ind w:left="720" w:hanging="720"/>
        <w:jc w:val="both"/>
        <w:rPr>
          <w:rFonts w:ascii="Arial" w:hAnsi="Arial" w:cs="Arial"/>
          <w:sz w:val="24"/>
          <w:szCs w:val="24"/>
        </w:rPr>
      </w:pPr>
      <w:r w:rsidRPr="00BF38C4">
        <w:rPr>
          <w:rFonts w:ascii="Arial" w:hAnsi="Arial" w:cs="Arial"/>
          <w:sz w:val="24"/>
          <w:szCs w:val="24"/>
        </w:rPr>
        <w:t xml:space="preserve">Allen, D.G. (2013) ‘Employee turnover in unique contexts: How to retain an organization’s best employees’, </w:t>
      </w:r>
      <w:r w:rsidRPr="00BF38C4">
        <w:rPr>
          <w:rFonts w:ascii="Arial" w:hAnsi="Arial" w:cs="Arial"/>
          <w:i/>
          <w:iCs/>
          <w:sz w:val="24"/>
          <w:szCs w:val="24"/>
        </w:rPr>
        <w:t>Academy of Management Proceedings</w:t>
      </w:r>
      <w:r w:rsidRPr="00BF38C4">
        <w:rPr>
          <w:rFonts w:ascii="Arial" w:hAnsi="Arial" w:cs="Arial"/>
          <w:sz w:val="24"/>
          <w:szCs w:val="24"/>
        </w:rPr>
        <w:t xml:space="preserve">, 2013(1), p. 16115. doi:10.5465/ambpp.2013.16115symposium. </w:t>
      </w:r>
    </w:p>
    <w:p w14:paraId="099A6814" w14:textId="77777777" w:rsidR="00486163" w:rsidRPr="00BF38C4" w:rsidRDefault="00486163" w:rsidP="005D26D2">
      <w:pPr>
        <w:spacing w:line="360" w:lineRule="auto"/>
        <w:ind w:left="720" w:hanging="720"/>
        <w:jc w:val="both"/>
        <w:rPr>
          <w:rFonts w:ascii="Arial" w:hAnsi="Arial" w:cs="Arial"/>
          <w:sz w:val="24"/>
          <w:szCs w:val="24"/>
        </w:rPr>
      </w:pPr>
      <w:r w:rsidRPr="00BF38C4">
        <w:rPr>
          <w:rFonts w:ascii="Arial" w:hAnsi="Arial" w:cs="Arial"/>
          <w:sz w:val="24"/>
          <w:szCs w:val="24"/>
        </w:rPr>
        <w:t>Barron, P., Broadbridge, A., Maxwell, G., and Ogden, S</w:t>
      </w:r>
      <w:r w:rsidR="00BF38C4" w:rsidRPr="00BF38C4">
        <w:rPr>
          <w:rFonts w:ascii="Arial" w:hAnsi="Arial" w:cs="Arial"/>
          <w:sz w:val="24"/>
          <w:szCs w:val="24"/>
        </w:rPr>
        <w:t xml:space="preserve">’. </w:t>
      </w:r>
      <w:r w:rsidRPr="00BF38C4">
        <w:rPr>
          <w:rFonts w:ascii="Arial" w:hAnsi="Arial" w:cs="Arial"/>
          <w:sz w:val="24"/>
          <w:szCs w:val="24"/>
        </w:rPr>
        <w:t>(2017</w:t>
      </w:r>
      <w:r w:rsidR="00BF38C4" w:rsidRPr="00BF38C4">
        <w:rPr>
          <w:rFonts w:ascii="Arial" w:hAnsi="Arial" w:cs="Arial"/>
          <w:sz w:val="24"/>
          <w:szCs w:val="24"/>
        </w:rPr>
        <w:t>) ‘</w:t>
      </w:r>
      <w:r w:rsidRPr="00BF38C4">
        <w:rPr>
          <w:rFonts w:ascii="Arial" w:hAnsi="Arial" w:cs="Arial"/>
          <w:sz w:val="24"/>
          <w:szCs w:val="24"/>
        </w:rPr>
        <w:t>Careers in hospitality, leisure, and tourism - managing your future</w:t>
      </w:r>
      <w:r w:rsidR="00BF38C4" w:rsidRPr="00BF38C4">
        <w:rPr>
          <w:rFonts w:ascii="Arial" w:hAnsi="Arial" w:cs="Arial"/>
          <w:sz w:val="24"/>
          <w:szCs w:val="24"/>
        </w:rPr>
        <w:t xml:space="preserve">’. </w:t>
      </w:r>
      <w:r w:rsidRPr="00BF38C4">
        <w:rPr>
          <w:rFonts w:ascii="Arial" w:hAnsi="Arial" w:cs="Arial"/>
          <w:sz w:val="24"/>
          <w:szCs w:val="24"/>
        </w:rPr>
        <w:t>Palgrave Macmillan.</w:t>
      </w:r>
    </w:p>
    <w:p w14:paraId="0397816A" w14:textId="77777777" w:rsidR="00486163" w:rsidRPr="00BF38C4" w:rsidRDefault="00486163" w:rsidP="005D26D2">
      <w:pPr>
        <w:spacing w:line="360" w:lineRule="auto"/>
        <w:ind w:left="720" w:hanging="720"/>
        <w:jc w:val="both"/>
        <w:rPr>
          <w:rFonts w:ascii="Arial" w:hAnsi="Arial" w:cs="Arial"/>
          <w:sz w:val="24"/>
          <w:szCs w:val="24"/>
        </w:rPr>
      </w:pPr>
      <w:r w:rsidRPr="00BF38C4">
        <w:rPr>
          <w:rFonts w:ascii="Arial" w:hAnsi="Arial" w:cs="Arial"/>
          <w:sz w:val="24"/>
          <w:szCs w:val="24"/>
        </w:rPr>
        <w:t>Bauer, T.N., Bodner, T., Erdogan, B., Truxillo, D.M., and Tucker, J.S</w:t>
      </w:r>
      <w:r w:rsidR="00BF38C4" w:rsidRPr="00BF38C4">
        <w:rPr>
          <w:rFonts w:ascii="Arial" w:hAnsi="Arial" w:cs="Arial"/>
          <w:sz w:val="24"/>
          <w:szCs w:val="24"/>
        </w:rPr>
        <w:t xml:space="preserve">’. </w:t>
      </w:r>
      <w:r w:rsidRPr="00BF38C4">
        <w:rPr>
          <w:rFonts w:ascii="Arial" w:hAnsi="Arial" w:cs="Arial"/>
          <w:sz w:val="24"/>
          <w:szCs w:val="24"/>
        </w:rPr>
        <w:t>(2012</w:t>
      </w:r>
      <w:r w:rsidR="00BF38C4" w:rsidRPr="00BF38C4">
        <w:rPr>
          <w:rFonts w:ascii="Arial" w:hAnsi="Arial" w:cs="Arial"/>
          <w:sz w:val="24"/>
          <w:szCs w:val="24"/>
        </w:rPr>
        <w:t>) ‘</w:t>
      </w:r>
      <w:r w:rsidRPr="00BF38C4">
        <w:rPr>
          <w:rFonts w:ascii="Arial" w:hAnsi="Arial" w:cs="Arial"/>
          <w:sz w:val="24"/>
          <w:szCs w:val="24"/>
        </w:rPr>
        <w:t xml:space="preserve">Newcomer adjustment during </w:t>
      </w:r>
      <w:proofErr w:type="spellStart"/>
      <w:r w:rsidRPr="00BF38C4">
        <w:rPr>
          <w:rFonts w:ascii="Arial" w:hAnsi="Arial" w:cs="Arial"/>
          <w:sz w:val="24"/>
          <w:szCs w:val="24"/>
        </w:rPr>
        <w:t>organisational</w:t>
      </w:r>
      <w:proofErr w:type="spellEnd"/>
      <w:r w:rsidRPr="00BF38C4">
        <w:rPr>
          <w:rFonts w:ascii="Arial" w:hAnsi="Arial" w:cs="Arial"/>
          <w:sz w:val="24"/>
          <w:szCs w:val="24"/>
        </w:rPr>
        <w:t xml:space="preserve"> </w:t>
      </w:r>
      <w:proofErr w:type="spellStart"/>
      <w:r w:rsidRPr="00BF38C4">
        <w:rPr>
          <w:rFonts w:ascii="Arial" w:hAnsi="Arial" w:cs="Arial"/>
          <w:sz w:val="24"/>
          <w:szCs w:val="24"/>
        </w:rPr>
        <w:t>socialisation</w:t>
      </w:r>
      <w:proofErr w:type="spellEnd"/>
      <w:r w:rsidRPr="00BF38C4">
        <w:rPr>
          <w:rFonts w:ascii="Arial" w:hAnsi="Arial" w:cs="Arial"/>
          <w:sz w:val="24"/>
          <w:szCs w:val="24"/>
        </w:rPr>
        <w:t>: a meta-analytic review of antecedents, outcomes, and methods</w:t>
      </w:r>
      <w:r w:rsidR="00BF38C4" w:rsidRPr="00BF38C4">
        <w:rPr>
          <w:rFonts w:ascii="Arial" w:hAnsi="Arial" w:cs="Arial"/>
          <w:sz w:val="24"/>
          <w:szCs w:val="24"/>
        </w:rPr>
        <w:t xml:space="preserve">’. </w:t>
      </w:r>
      <w:r w:rsidRPr="00BF38C4">
        <w:rPr>
          <w:rFonts w:ascii="Arial" w:hAnsi="Arial" w:cs="Arial"/>
          <w:sz w:val="24"/>
          <w:szCs w:val="24"/>
        </w:rPr>
        <w:t>Journal of Applied Psychology, 92(3), 707-721.</w:t>
      </w:r>
    </w:p>
    <w:p w14:paraId="664C712F" w14:textId="77777777" w:rsidR="00486163" w:rsidRPr="00BF38C4" w:rsidRDefault="00486163" w:rsidP="005D26D2">
      <w:pPr>
        <w:spacing w:line="360" w:lineRule="auto"/>
        <w:ind w:left="720" w:hanging="720"/>
        <w:jc w:val="both"/>
        <w:rPr>
          <w:rFonts w:ascii="Arial" w:hAnsi="Arial" w:cs="Arial"/>
          <w:sz w:val="24"/>
          <w:szCs w:val="24"/>
        </w:rPr>
      </w:pPr>
      <w:r w:rsidRPr="00BF38C4">
        <w:rPr>
          <w:rFonts w:ascii="Arial" w:hAnsi="Arial" w:cs="Arial"/>
          <w:sz w:val="24"/>
          <w:szCs w:val="24"/>
        </w:rPr>
        <w:t>Chand, M</w:t>
      </w:r>
      <w:r w:rsidR="00BF38C4" w:rsidRPr="00BF38C4">
        <w:rPr>
          <w:rFonts w:ascii="Arial" w:hAnsi="Arial" w:cs="Arial"/>
          <w:sz w:val="24"/>
          <w:szCs w:val="24"/>
        </w:rPr>
        <w:t xml:space="preserve">’. </w:t>
      </w:r>
      <w:r w:rsidRPr="00BF38C4">
        <w:rPr>
          <w:rFonts w:ascii="Arial" w:hAnsi="Arial" w:cs="Arial"/>
          <w:sz w:val="24"/>
          <w:szCs w:val="24"/>
        </w:rPr>
        <w:t>(2016</w:t>
      </w:r>
      <w:r w:rsidR="00BF38C4" w:rsidRPr="00BF38C4">
        <w:rPr>
          <w:rFonts w:ascii="Arial" w:hAnsi="Arial" w:cs="Arial"/>
          <w:sz w:val="24"/>
          <w:szCs w:val="24"/>
        </w:rPr>
        <w:t>) ‘</w:t>
      </w:r>
      <w:r w:rsidRPr="00BF38C4">
        <w:rPr>
          <w:rFonts w:ascii="Arial" w:hAnsi="Arial" w:cs="Arial"/>
          <w:sz w:val="24"/>
          <w:szCs w:val="24"/>
        </w:rPr>
        <w:t>Role of HRM practices in performance management in hospitality industry: a literature review</w:t>
      </w:r>
      <w:r w:rsidR="00BF38C4" w:rsidRPr="00BF38C4">
        <w:rPr>
          <w:rFonts w:ascii="Arial" w:hAnsi="Arial" w:cs="Arial"/>
          <w:sz w:val="24"/>
          <w:szCs w:val="24"/>
        </w:rPr>
        <w:t xml:space="preserve">’. </w:t>
      </w:r>
      <w:r w:rsidRPr="00BF38C4">
        <w:rPr>
          <w:rFonts w:ascii="Arial" w:hAnsi="Arial" w:cs="Arial"/>
          <w:sz w:val="24"/>
          <w:szCs w:val="24"/>
        </w:rPr>
        <w:t>Indian Journal of Science and Technology, 9(28</w:t>
      </w:r>
      <w:r w:rsidR="00BF38C4" w:rsidRPr="00BF38C4">
        <w:rPr>
          <w:rFonts w:ascii="Arial" w:hAnsi="Arial" w:cs="Arial"/>
          <w:sz w:val="24"/>
          <w:szCs w:val="24"/>
        </w:rPr>
        <w:t>) ‘</w:t>
      </w:r>
    </w:p>
    <w:p w14:paraId="1D9F0253" w14:textId="77777777" w:rsidR="00BF38C4" w:rsidRPr="00BF38C4" w:rsidRDefault="00BF38C4" w:rsidP="005D26D2">
      <w:pPr>
        <w:spacing w:line="360" w:lineRule="auto"/>
        <w:ind w:left="720" w:hanging="720"/>
        <w:jc w:val="both"/>
        <w:rPr>
          <w:rFonts w:ascii="Arial" w:hAnsi="Arial" w:cs="Arial"/>
          <w:sz w:val="24"/>
          <w:szCs w:val="24"/>
        </w:rPr>
      </w:pPr>
      <w:r w:rsidRPr="00BF38C4">
        <w:rPr>
          <w:rFonts w:ascii="Arial" w:hAnsi="Arial" w:cs="Arial"/>
          <w:sz w:val="24"/>
          <w:szCs w:val="24"/>
        </w:rPr>
        <w:t xml:space="preserve">Davis, P.J. (2015) ‘Implementing an employee career-development strategy’, </w:t>
      </w:r>
      <w:r w:rsidRPr="00BF38C4">
        <w:rPr>
          <w:rFonts w:ascii="Arial" w:hAnsi="Arial" w:cs="Arial"/>
          <w:i/>
          <w:iCs/>
          <w:sz w:val="24"/>
          <w:szCs w:val="24"/>
        </w:rPr>
        <w:t>Human Resource Management International Digest</w:t>
      </w:r>
      <w:r w:rsidRPr="00BF38C4">
        <w:rPr>
          <w:rFonts w:ascii="Arial" w:hAnsi="Arial" w:cs="Arial"/>
          <w:sz w:val="24"/>
          <w:szCs w:val="24"/>
        </w:rPr>
        <w:t>, 23(4), pp. 28–32. doi:10.1108/hrmid-05-2015-0066.</w:t>
      </w:r>
    </w:p>
    <w:p w14:paraId="7828F35B" w14:textId="77777777" w:rsidR="00486163" w:rsidRPr="00BF38C4" w:rsidRDefault="00486163" w:rsidP="005D26D2">
      <w:pPr>
        <w:spacing w:line="360" w:lineRule="auto"/>
        <w:ind w:left="720" w:hanging="720"/>
        <w:jc w:val="both"/>
        <w:rPr>
          <w:rFonts w:ascii="Arial" w:hAnsi="Arial" w:cs="Arial"/>
          <w:sz w:val="24"/>
          <w:szCs w:val="24"/>
        </w:rPr>
      </w:pPr>
      <w:r w:rsidRPr="00BF38C4">
        <w:rPr>
          <w:rFonts w:ascii="Arial" w:hAnsi="Arial" w:cs="Arial"/>
          <w:sz w:val="24"/>
          <w:szCs w:val="24"/>
        </w:rPr>
        <w:t>Evans, N., and Nation, D</w:t>
      </w:r>
      <w:r w:rsidR="00BF38C4" w:rsidRPr="00BF38C4">
        <w:rPr>
          <w:rFonts w:ascii="Arial" w:hAnsi="Arial" w:cs="Arial"/>
          <w:sz w:val="24"/>
          <w:szCs w:val="24"/>
        </w:rPr>
        <w:t xml:space="preserve">’. </w:t>
      </w:r>
      <w:r w:rsidRPr="00BF38C4">
        <w:rPr>
          <w:rFonts w:ascii="Arial" w:hAnsi="Arial" w:cs="Arial"/>
          <w:sz w:val="24"/>
          <w:szCs w:val="24"/>
        </w:rPr>
        <w:t>(2016</w:t>
      </w:r>
      <w:r w:rsidR="00BF38C4" w:rsidRPr="00BF38C4">
        <w:rPr>
          <w:rFonts w:ascii="Arial" w:hAnsi="Arial" w:cs="Arial"/>
          <w:sz w:val="24"/>
          <w:szCs w:val="24"/>
        </w:rPr>
        <w:t>) ‘</w:t>
      </w:r>
      <w:r w:rsidRPr="00BF38C4">
        <w:rPr>
          <w:rFonts w:ascii="Arial" w:hAnsi="Arial" w:cs="Arial"/>
          <w:sz w:val="24"/>
          <w:szCs w:val="24"/>
        </w:rPr>
        <w:t>The value of social networks for employee learning and development</w:t>
      </w:r>
      <w:r w:rsidR="00BF38C4" w:rsidRPr="00BF38C4">
        <w:rPr>
          <w:rFonts w:ascii="Arial" w:hAnsi="Arial" w:cs="Arial"/>
          <w:sz w:val="24"/>
          <w:szCs w:val="24"/>
        </w:rPr>
        <w:t xml:space="preserve">’. </w:t>
      </w:r>
      <w:r w:rsidRPr="00BF38C4">
        <w:rPr>
          <w:rFonts w:ascii="Arial" w:hAnsi="Arial" w:cs="Arial"/>
          <w:sz w:val="24"/>
          <w:szCs w:val="24"/>
        </w:rPr>
        <w:t>Journal of European Industrial Training, 40(1), 45-62.</w:t>
      </w:r>
    </w:p>
    <w:p w14:paraId="560CD5A8" w14:textId="77777777" w:rsidR="00486163" w:rsidRPr="00BF38C4" w:rsidRDefault="00486163" w:rsidP="005D26D2">
      <w:pPr>
        <w:spacing w:line="360" w:lineRule="auto"/>
        <w:ind w:left="720" w:hanging="720"/>
        <w:jc w:val="both"/>
        <w:rPr>
          <w:rFonts w:ascii="Arial" w:hAnsi="Arial" w:cs="Arial"/>
          <w:sz w:val="24"/>
          <w:szCs w:val="24"/>
        </w:rPr>
      </w:pPr>
      <w:r w:rsidRPr="00BF38C4">
        <w:rPr>
          <w:rFonts w:ascii="Arial" w:hAnsi="Arial" w:cs="Arial"/>
          <w:sz w:val="24"/>
          <w:szCs w:val="24"/>
        </w:rPr>
        <w:t>Evans, W.R., and Davila, A</w:t>
      </w:r>
      <w:r w:rsidR="00BF38C4" w:rsidRPr="00BF38C4">
        <w:rPr>
          <w:rFonts w:ascii="Arial" w:hAnsi="Arial" w:cs="Arial"/>
          <w:sz w:val="24"/>
          <w:szCs w:val="24"/>
        </w:rPr>
        <w:t xml:space="preserve">’. </w:t>
      </w:r>
      <w:r w:rsidRPr="00BF38C4">
        <w:rPr>
          <w:rFonts w:ascii="Arial" w:hAnsi="Arial" w:cs="Arial"/>
          <w:sz w:val="24"/>
          <w:szCs w:val="24"/>
        </w:rPr>
        <w:t>(2016</w:t>
      </w:r>
      <w:r w:rsidR="00BF38C4" w:rsidRPr="00BF38C4">
        <w:rPr>
          <w:rFonts w:ascii="Arial" w:hAnsi="Arial" w:cs="Arial"/>
          <w:sz w:val="24"/>
          <w:szCs w:val="24"/>
        </w:rPr>
        <w:t>) ‘</w:t>
      </w:r>
      <w:r w:rsidRPr="00BF38C4">
        <w:rPr>
          <w:rFonts w:ascii="Arial" w:hAnsi="Arial" w:cs="Arial"/>
          <w:sz w:val="24"/>
          <w:szCs w:val="24"/>
        </w:rPr>
        <w:t xml:space="preserve">The retention of knowledge workers with stock </w:t>
      </w:r>
      <w:proofErr w:type="gramStart"/>
      <w:r w:rsidRPr="00BF38C4">
        <w:rPr>
          <w:rFonts w:ascii="Arial" w:hAnsi="Arial" w:cs="Arial"/>
          <w:sz w:val="24"/>
          <w:szCs w:val="24"/>
        </w:rPr>
        <w:t>options</w:t>
      </w:r>
      <w:r w:rsidR="00BF38C4" w:rsidRPr="00BF38C4">
        <w:rPr>
          <w:rFonts w:ascii="Arial" w:hAnsi="Arial" w:cs="Arial"/>
          <w:sz w:val="24"/>
          <w:szCs w:val="24"/>
        </w:rPr>
        <w:t>’</w:t>
      </w:r>
      <w:proofErr w:type="gramEnd"/>
      <w:r w:rsidR="00BF38C4" w:rsidRPr="00BF38C4">
        <w:rPr>
          <w:rFonts w:ascii="Arial" w:hAnsi="Arial" w:cs="Arial"/>
          <w:sz w:val="24"/>
          <w:szCs w:val="24"/>
        </w:rPr>
        <w:t xml:space="preserve">. </w:t>
      </w:r>
      <w:r w:rsidRPr="00BF38C4">
        <w:rPr>
          <w:rFonts w:ascii="Arial" w:hAnsi="Arial" w:cs="Arial"/>
          <w:sz w:val="24"/>
          <w:szCs w:val="24"/>
        </w:rPr>
        <w:t>Journal of Accounting and Economics, 61(1), 77-95.</w:t>
      </w:r>
    </w:p>
    <w:p w14:paraId="456D6194" w14:textId="77777777" w:rsidR="00BF38C4" w:rsidRPr="00BF38C4" w:rsidRDefault="00BF38C4" w:rsidP="005D26D2">
      <w:pPr>
        <w:spacing w:line="360" w:lineRule="auto"/>
        <w:ind w:left="720" w:hanging="720"/>
        <w:jc w:val="both"/>
        <w:rPr>
          <w:rFonts w:ascii="Arial" w:hAnsi="Arial" w:cs="Arial"/>
          <w:sz w:val="24"/>
          <w:szCs w:val="24"/>
        </w:rPr>
      </w:pPr>
      <w:r w:rsidRPr="00BF38C4">
        <w:rPr>
          <w:rFonts w:ascii="Arial" w:hAnsi="Arial" w:cs="Arial"/>
          <w:sz w:val="24"/>
          <w:szCs w:val="24"/>
        </w:rPr>
        <w:t xml:space="preserve">Gupta, S. (2019) ‘Challenges faced by Adecco Employees in handling employee lifecycle’, </w:t>
      </w:r>
      <w:r w:rsidRPr="00BF38C4">
        <w:rPr>
          <w:rFonts w:ascii="Arial" w:hAnsi="Arial" w:cs="Arial"/>
          <w:i/>
          <w:iCs/>
          <w:sz w:val="24"/>
          <w:szCs w:val="24"/>
        </w:rPr>
        <w:t>SSRN Electronic Journal</w:t>
      </w:r>
      <w:r w:rsidRPr="00BF38C4">
        <w:rPr>
          <w:rFonts w:ascii="Arial" w:hAnsi="Arial" w:cs="Arial"/>
          <w:sz w:val="24"/>
          <w:szCs w:val="24"/>
        </w:rPr>
        <w:t xml:space="preserve"> [Preprint]. doi:10.2139/ssrn.3307019.</w:t>
      </w:r>
    </w:p>
    <w:p w14:paraId="1045328D" w14:textId="77777777" w:rsidR="00486163" w:rsidRPr="00BF38C4" w:rsidRDefault="00486163" w:rsidP="005D26D2">
      <w:pPr>
        <w:spacing w:line="360" w:lineRule="auto"/>
        <w:ind w:left="720" w:hanging="720"/>
        <w:jc w:val="both"/>
        <w:rPr>
          <w:rFonts w:ascii="Arial" w:hAnsi="Arial" w:cs="Arial"/>
          <w:sz w:val="24"/>
          <w:szCs w:val="24"/>
        </w:rPr>
      </w:pPr>
      <w:r w:rsidRPr="00BF38C4">
        <w:rPr>
          <w:rFonts w:ascii="Arial" w:hAnsi="Arial" w:cs="Arial"/>
          <w:sz w:val="24"/>
          <w:szCs w:val="24"/>
        </w:rPr>
        <w:t>Kapoor, C., and Gupta, V</w:t>
      </w:r>
      <w:r w:rsidR="00BF38C4" w:rsidRPr="00BF38C4">
        <w:rPr>
          <w:rFonts w:ascii="Arial" w:hAnsi="Arial" w:cs="Arial"/>
          <w:sz w:val="24"/>
          <w:szCs w:val="24"/>
        </w:rPr>
        <w:t xml:space="preserve">’. </w:t>
      </w:r>
      <w:r w:rsidRPr="00BF38C4">
        <w:rPr>
          <w:rFonts w:ascii="Arial" w:hAnsi="Arial" w:cs="Arial"/>
          <w:sz w:val="24"/>
          <w:szCs w:val="24"/>
        </w:rPr>
        <w:t>(2016</w:t>
      </w:r>
      <w:r w:rsidR="00BF38C4" w:rsidRPr="00BF38C4">
        <w:rPr>
          <w:rFonts w:ascii="Arial" w:hAnsi="Arial" w:cs="Arial"/>
          <w:sz w:val="24"/>
          <w:szCs w:val="24"/>
        </w:rPr>
        <w:t>) ‘</w:t>
      </w:r>
      <w:r w:rsidRPr="00BF38C4">
        <w:rPr>
          <w:rFonts w:ascii="Arial" w:hAnsi="Arial" w:cs="Arial"/>
          <w:sz w:val="24"/>
          <w:szCs w:val="24"/>
        </w:rPr>
        <w:t>Talent management and employee engagement - a meta-analysis of their impact on talent performance</w:t>
      </w:r>
      <w:r w:rsidR="00BF38C4" w:rsidRPr="00BF38C4">
        <w:rPr>
          <w:rFonts w:ascii="Arial" w:hAnsi="Arial" w:cs="Arial"/>
          <w:sz w:val="24"/>
          <w:szCs w:val="24"/>
        </w:rPr>
        <w:t xml:space="preserve">’. </w:t>
      </w:r>
      <w:r w:rsidRPr="00BF38C4">
        <w:rPr>
          <w:rFonts w:ascii="Arial" w:hAnsi="Arial" w:cs="Arial"/>
          <w:sz w:val="24"/>
          <w:szCs w:val="24"/>
        </w:rPr>
        <w:t>Journal of Business Ethics, 138(4), 695-709.</w:t>
      </w:r>
    </w:p>
    <w:p w14:paraId="49B0FF26" w14:textId="77777777" w:rsidR="00486163" w:rsidRPr="00BF38C4" w:rsidRDefault="00486163" w:rsidP="005D26D2">
      <w:pPr>
        <w:spacing w:line="360" w:lineRule="auto"/>
        <w:ind w:left="720" w:hanging="720"/>
        <w:jc w:val="both"/>
        <w:rPr>
          <w:rFonts w:ascii="Arial" w:hAnsi="Arial" w:cs="Arial"/>
          <w:sz w:val="24"/>
          <w:szCs w:val="24"/>
        </w:rPr>
      </w:pPr>
      <w:proofErr w:type="spellStart"/>
      <w:r w:rsidRPr="00BF38C4">
        <w:rPr>
          <w:rFonts w:ascii="Arial" w:hAnsi="Arial" w:cs="Arial"/>
          <w:sz w:val="24"/>
          <w:szCs w:val="24"/>
        </w:rPr>
        <w:t>Ladkin</w:t>
      </w:r>
      <w:proofErr w:type="spellEnd"/>
      <w:r w:rsidRPr="00BF38C4">
        <w:rPr>
          <w:rFonts w:ascii="Arial" w:hAnsi="Arial" w:cs="Arial"/>
          <w:sz w:val="24"/>
          <w:szCs w:val="24"/>
        </w:rPr>
        <w:t xml:space="preserve">, A., and </w:t>
      </w:r>
      <w:proofErr w:type="spellStart"/>
      <w:r w:rsidRPr="00BF38C4">
        <w:rPr>
          <w:rFonts w:ascii="Arial" w:hAnsi="Arial" w:cs="Arial"/>
          <w:sz w:val="24"/>
          <w:szCs w:val="24"/>
        </w:rPr>
        <w:t>Juwaheer</w:t>
      </w:r>
      <w:proofErr w:type="spellEnd"/>
      <w:r w:rsidRPr="00BF38C4">
        <w:rPr>
          <w:rFonts w:ascii="Arial" w:hAnsi="Arial" w:cs="Arial"/>
          <w:sz w:val="24"/>
          <w:szCs w:val="24"/>
        </w:rPr>
        <w:t>, T.D</w:t>
      </w:r>
      <w:r w:rsidR="00BF38C4" w:rsidRPr="00BF38C4">
        <w:rPr>
          <w:rFonts w:ascii="Arial" w:hAnsi="Arial" w:cs="Arial"/>
          <w:sz w:val="24"/>
          <w:szCs w:val="24"/>
        </w:rPr>
        <w:t xml:space="preserve">’. </w:t>
      </w:r>
      <w:r w:rsidRPr="00BF38C4">
        <w:rPr>
          <w:rFonts w:ascii="Arial" w:hAnsi="Arial" w:cs="Arial"/>
          <w:sz w:val="24"/>
          <w:szCs w:val="24"/>
        </w:rPr>
        <w:t>(2016</w:t>
      </w:r>
      <w:r w:rsidR="00BF38C4" w:rsidRPr="00BF38C4">
        <w:rPr>
          <w:rFonts w:ascii="Arial" w:hAnsi="Arial" w:cs="Arial"/>
          <w:sz w:val="24"/>
          <w:szCs w:val="24"/>
        </w:rPr>
        <w:t>) ‘</w:t>
      </w:r>
      <w:r w:rsidRPr="00BF38C4">
        <w:rPr>
          <w:rFonts w:ascii="Arial" w:hAnsi="Arial" w:cs="Arial"/>
          <w:sz w:val="24"/>
          <w:szCs w:val="24"/>
        </w:rPr>
        <w:t>Evaluating leadership in the hotel sector: Towards an assessment framework</w:t>
      </w:r>
      <w:r w:rsidR="00BF38C4" w:rsidRPr="00BF38C4">
        <w:rPr>
          <w:rFonts w:ascii="Arial" w:hAnsi="Arial" w:cs="Arial"/>
          <w:sz w:val="24"/>
          <w:szCs w:val="24"/>
        </w:rPr>
        <w:t xml:space="preserve">’. </w:t>
      </w:r>
      <w:r w:rsidRPr="00BF38C4">
        <w:rPr>
          <w:rFonts w:ascii="Arial" w:hAnsi="Arial" w:cs="Arial"/>
          <w:sz w:val="24"/>
          <w:szCs w:val="24"/>
        </w:rPr>
        <w:t>International Journal of Contemporary Hospitality Management, 28(4), 665-688.</w:t>
      </w:r>
    </w:p>
    <w:p w14:paraId="263929ED" w14:textId="77777777" w:rsidR="00486163" w:rsidRPr="00BF38C4" w:rsidRDefault="00486163" w:rsidP="005D26D2">
      <w:pPr>
        <w:spacing w:line="360" w:lineRule="auto"/>
        <w:ind w:left="720" w:hanging="720"/>
        <w:jc w:val="both"/>
        <w:rPr>
          <w:rFonts w:ascii="Arial" w:hAnsi="Arial" w:cs="Arial"/>
          <w:sz w:val="24"/>
          <w:szCs w:val="24"/>
        </w:rPr>
      </w:pPr>
      <w:r w:rsidRPr="00BF38C4">
        <w:rPr>
          <w:rFonts w:ascii="Arial" w:hAnsi="Arial" w:cs="Arial"/>
          <w:sz w:val="24"/>
          <w:szCs w:val="24"/>
        </w:rPr>
        <w:lastRenderedPageBreak/>
        <w:t>Maurer, R</w:t>
      </w:r>
      <w:r w:rsidR="00BF38C4" w:rsidRPr="00BF38C4">
        <w:rPr>
          <w:rFonts w:ascii="Arial" w:hAnsi="Arial" w:cs="Arial"/>
          <w:sz w:val="24"/>
          <w:szCs w:val="24"/>
        </w:rPr>
        <w:t xml:space="preserve">’. </w:t>
      </w:r>
      <w:r w:rsidRPr="00BF38C4">
        <w:rPr>
          <w:rFonts w:ascii="Arial" w:hAnsi="Arial" w:cs="Arial"/>
          <w:sz w:val="24"/>
          <w:szCs w:val="24"/>
        </w:rPr>
        <w:t>(2018</w:t>
      </w:r>
      <w:r w:rsidR="00BF38C4" w:rsidRPr="00BF38C4">
        <w:rPr>
          <w:rFonts w:ascii="Arial" w:hAnsi="Arial" w:cs="Arial"/>
          <w:sz w:val="24"/>
          <w:szCs w:val="24"/>
        </w:rPr>
        <w:t>) ‘</w:t>
      </w:r>
      <w:r w:rsidRPr="00BF38C4">
        <w:rPr>
          <w:rFonts w:ascii="Arial" w:hAnsi="Arial" w:cs="Arial"/>
          <w:sz w:val="24"/>
          <w:szCs w:val="24"/>
        </w:rPr>
        <w:t>Boomerang employees: How to bring them back</w:t>
      </w:r>
      <w:r w:rsidR="00BF38C4" w:rsidRPr="00BF38C4">
        <w:rPr>
          <w:rFonts w:ascii="Arial" w:hAnsi="Arial" w:cs="Arial"/>
          <w:sz w:val="24"/>
          <w:szCs w:val="24"/>
        </w:rPr>
        <w:t xml:space="preserve">’. </w:t>
      </w:r>
      <w:r w:rsidRPr="00BF38C4">
        <w:rPr>
          <w:rFonts w:ascii="Arial" w:hAnsi="Arial" w:cs="Arial"/>
          <w:sz w:val="24"/>
          <w:szCs w:val="24"/>
        </w:rPr>
        <w:t>Journal of Business Strategy, 39(1), 46-54.</w:t>
      </w:r>
    </w:p>
    <w:p w14:paraId="7A0A29C2" w14:textId="77777777" w:rsidR="00486163" w:rsidRPr="00BF38C4" w:rsidRDefault="00486163" w:rsidP="005D26D2">
      <w:pPr>
        <w:spacing w:line="360" w:lineRule="auto"/>
        <w:ind w:left="720" w:hanging="720"/>
        <w:jc w:val="both"/>
        <w:rPr>
          <w:rFonts w:ascii="Arial" w:hAnsi="Arial" w:cs="Arial"/>
          <w:sz w:val="24"/>
          <w:szCs w:val="24"/>
        </w:rPr>
      </w:pPr>
      <w:r w:rsidRPr="00BF38C4">
        <w:rPr>
          <w:rFonts w:ascii="Arial" w:hAnsi="Arial" w:cs="Arial"/>
          <w:sz w:val="24"/>
          <w:szCs w:val="24"/>
        </w:rPr>
        <w:t>McCracken, M., Currie, D., and Harrison, J</w:t>
      </w:r>
      <w:r w:rsidR="00BF38C4" w:rsidRPr="00BF38C4">
        <w:rPr>
          <w:rFonts w:ascii="Arial" w:hAnsi="Arial" w:cs="Arial"/>
          <w:sz w:val="24"/>
          <w:szCs w:val="24"/>
        </w:rPr>
        <w:t xml:space="preserve">’. </w:t>
      </w:r>
      <w:r w:rsidRPr="00BF38C4">
        <w:rPr>
          <w:rFonts w:ascii="Arial" w:hAnsi="Arial" w:cs="Arial"/>
          <w:sz w:val="24"/>
          <w:szCs w:val="24"/>
        </w:rPr>
        <w:t>(2016</w:t>
      </w:r>
      <w:r w:rsidR="00BF38C4" w:rsidRPr="00BF38C4">
        <w:rPr>
          <w:rFonts w:ascii="Arial" w:hAnsi="Arial" w:cs="Arial"/>
          <w:sz w:val="24"/>
          <w:szCs w:val="24"/>
        </w:rPr>
        <w:t>) ‘</w:t>
      </w:r>
      <w:r w:rsidRPr="00BF38C4">
        <w:rPr>
          <w:rFonts w:ascii="Arial" w:hAnsi="Arial" w:cs="Arial"/>
          <w:sz w:val="24"/>
          <w:szCs w:val="24"/>
        </w:rPr>
        <w:t>Understanding graduate recruitment, development and retention for the enhancement of talent management: sharpening 'the edge' of graduate talent</w:t>
      </w:r>
      <w:r w:rsidR="00BF38C4" w:rsidRPr="00BF38C4">
        <w:rPr>
          <w:rFonts w:ascii="Arial" w:hAnsi="Arial" w:cs="Arial"/>
          <w:sz w:val="24"/>
          <w:szCs w:val="24"/>
        </w:rPr>
        <w:t xml:space="preserve">’. </w:t>
      </w:r>
      <w:r w:rsidRPr="00BF38C4">
        <w:rPr>
          <w:rFonts w:ascii="Arial" w:hAnsi="Arial" w:cs="Arial"/>
          <w:sz w:val="24"/>
          <w:szCs w:val="24"/>
        </w:rPr>
        <w:t>The International Journal of Human Resource Management, 27(22), 2727-2752.</w:t>
      </w:r>
    </w:p>
    <w:p w14:paraId="72F0EE4F" w14:textId="77777777" w:rsidR="00486163" w:rsidRPr="00BF38C4" w:rsidRDefault="00486163" w:rsidP="005D26D2">
      <w:pPr>
        <w:spacing w:line="360" w:lineRule="auto"/>
        <w:ind w:left="720" w:hanging="720"/>
        <w:jc w:val="both"/>
        <w:rPr>
          <w:rFonts w:ascii="Arial" w:hAnsi="Arial" w:cs="Arial"/>
          <w:sz w:val="24"/>
          <w:szCs w:val="24"/>
        </w:rPr>
      </w:pPr>
      <w:proofErr w:type="spellStart"/>
      <w:r w:rsidRPr="00BF38C4">
        <w:rPr>
          <w:rFonts w:ascii="Arial" w:hAnsi="Arial" w:cs="Arial"/>
          <w:sz w:val="24"/>
          <w:szCs w:val="24"/>
        </w:rPr>
        <w:t>Nifadkar</w:t>
      </w:r>
      <w:proofErr w:type="spellEnd"/>
      <w:r w:rsidRPr="00BF38C4">
        <w:rPr>
          <w:rFonts w:ascii="Arial" w:hAnsi="Arial" w:cs="Arial"/>
          <w:sz w:val="24"/>
          <w:szCs w:val="24"/>
        </w:rPr>
        <w:t>, S.S., and Bauer, T.N</w:t>
      </w:r>
      <w:r w:rsidR="00BF38C4" w:rsidRPr="00BF38C4">
        <w:rPr>
          <w:rFonts w:ascii="Arial" w:hAnsi="Arial" w:cs="Arial"/>
          <w:sz w:val="24"/>
          <w:szCs w:val="24"/>
        </w:rPr>
        <w:t xml:space="preserve">’. </w:t>
      </w:r>
      <w:r w:rsidRPr="00BF38C4">
        <w:rPr>
          <w:rFonts w:ascii="Arial" w:hAnsi="Arial" w:cs="Arial"/>
          <w:sz w:val="24"/>
          <w:szCs w:val="24"/>
        </w:rPr>
        <w:t>(2016</w:t>
      </w:r>
      <w:r w:rsidR="00BF38C4" w:rsidRPr="00BF38C4">
        <w:rPr>
          <w:rFonts w:ascii="Arial" w:hAnsi="Arial" w:cs="Arial"/>
          <w:sz w:val="24"/>
          <w:szCs w:val="24"/>
        </w:rPr>
        <w:t>) ‘</w:t>
      </w:r>
      <w:r w:rsidRPr="00BF38C4">
        <w:rPr>
          <w:rFonts w:ascii="Arial" w:hAnsi="Arial" w:cs="Arial"/>
          <w:sz w:val="24"/>
          <w:szCs w:val="24"/>
        </w:rPr>
        <w:t xml:space="preserve">Breach of belongingness: Newcomer relationship conflict, information, and task-related outcomes during </w:t>
      </w:r>
      <w:proofErr w:type="spellStart"/>
      <w:r w:rsidRPr="00BF38C4">
        <w:rPr>
          <w:rFonts w:ascii="Arial" w:hAnsi="Arial" w:cs="Arial"/>
          <w:sz w:val="24"/>
          <w:szCs w:val="24"/>
        </w:rPr>
        <w:t>organisational</w:t>
      </w:r>
      <w:proofErr w:type="spellEnd"/>
      <w:r w:rsidRPr="00BF38C4">
        <w:rPr>
          <w:rFonts w:ascii="Arial" w:hAnsi="Arial" w:cs="Arial"/>
          <w:sz w:val="24"/>
          <w:szCs w:val="24"/>
        </w:rPr>
        <w:t xml:space="preserve"> </w:t>
      </w:r>
      <w:proofErr w:type="spellStart"/>
      <w:r w:rsidRPr="00BF38C4">
        <w:rPr>
          <w:rFonts w:ascii="Arial" w:hAnsi="Arial" w:cs="Arial"/>
          <w:sz w:val="24"/>
          <w:szCs w:val="24"/>
        </w:rPr>
        <w:t>socialisation</w:t>
      </w:r>
      <w:proofErr w:type="spellEnd"/>
      <w:r w:rsidR="00BF38C4" w:rsidRPr="00BF38C4">
        <w:rPr>
          <w:rFonts w:ascii="Arial" w:hAnsi="Arial" w:cs="Arial"/>
          <w:sz w:val="24"/>
          <w:szCs w:val="24"/>
        </w:rPr>
        <w:t xml:space="preserve">’. </w:t>
      </w:r>
      <w:r w:rsidRPr="00BF38C4">
        <w:rPr>
          <w:rFonts w:ascii="Arial" w:hAnsi="Arial" w:cs="Arial"/>
          <w:sz w:val="24"/>
          <w:szCs w:val="24"/>
        </w:rPr>
        <w:t>Journal of Applied Psychology, 101(1), 1-13.</w:t>
      </w:r>
    </w:p>
    <w:p w14:paraId="1FF35033" w14:textId="77777777" w:rsidR="00486163" w:rsidRPr="00BF38C4" w:rsidRDefault="00486163" w:rsidP="005D26D2">
      <w:pPr>
        <w:spacing w:line="360" w:lineRule="auto"/>
        <w:ind w:left="720" w:hanging="720"/>
        <w:jc w:val="both"/>
        <w:rPr>
          <w:rFonts w:ascii="Arial" w:hAnsi="Arial" w:cs="Arial"/>
          <w:sz w:val="24"/>
          <w:szCs w:val="24"/>
        </w:rPr>
      </w:pPr>
      <w:proofErr w:type="spellStart"/>
      <w:r w:rsidRPr="00BF38C4">
        <w:rPr>
          <w:rFonts w:ascii="Arial" w:hAnsi="Arial" w:cs="Arial"/>
          <w:sz w:val="24"/>
          <w:szCs w:val="24"/>
        </w:rPr>
        <w:t>Presbitero</w:t>
      </w:r>
      <w:proofErr w:type="spellEnd"/>
      <w:r w:rsidRPr="00BF38C4">
        <w:rPr>
          <w:rFonts w:ascii="Arial" w:hAnsi="Arial" w:cs="Arial"/>
          <w:sz w:val="24"/>
          <w:szCs w:val="24"/>
        </w:rPr>
        <w:t>, A</w:t>
      </w:r>
      <w:r w:rsidR="00BF38C4" w:rsidRPr="00BF38C4">
        <w:rPr>
          <w:rFonts w:ascii="Arial" w:hAnsi="Arial" w:cs="Arial"/>
          <w:sz w:val="24"/>
          <w:szCs w:val="24"/>
        </w:rPr>
        <w:t xml:space="preserve">’. </w:t>
      </w:r>
      <w:r w:rsidRPr="00BF38C4">
        <w:rPr>
          <w:rFonts w:ascii="Arial" w:hAnsi="Arial" w:cs="Arial"/>
          <w:sz w:val="24"/>
          <w:szCs w:val="24"/>
        </w:rPr>
        <w:t>(2020</w:t>
      </w:r>
      <w:r w:rsidR="00BF38C4" w:rsidRPr="00BF38C4">
        <w:rPr>
          <w:rFonts w:ascii="Arial" w:hAnsi="Arial" w:cs="Arial"/>
          <w:sz w:val="24"/>
          <w:szCs w:val="24"/>
        </w:rPr>
        <w:t>) ‘</w:t>
      </w:r>
      <w:r w:rsidRPr="00BF38C4">
        <w:rPr>
          <w:rFonts w:ascii="Arial" w:hAnsi="Arial" w:cs="Arial"/>
          <w:sz w:val="24"/>
          <w:szCs w:val="24"/>
        </w:rPr>
        <w:t>High-performance HR practices, work stress and job satisfaction in the hotel industry</w:t>
      </w:r>
      <w:r w:rsidR="00BF38C4" w:rsidRPr="00BF38C4">
        <w:rPr>
          <w:rFonts w:ascii="Arial" w:hAnsi="Arial" w:cs="Arial"/>
          <w:sz w:val="24"/>
          <w:szCs w:val="24"/>
        </w:rPr>
        <w:t xml:space="preserve">’. </w:t>
      </w:r>
      <w:r w:rsidRPr="00BF38C4">
        <w:rPr>
          <w:rFonts w:ascii="Arial" w:hAnsi="Arial" w:cs="Arial"/>
          <w:sz w:val="24"/>
          <w:szCs w:val="24"/>
        </w:rPr>
        <w:t>International Journal of Hospitality Management, 85, 102371.</w:t>
      </w:r>
    </w:p>
    <w:p w14:paraId="545885F9" w14:textId="77777777" w:rsidR="00486163" w:rsidRPr="00BF38C4" w:rsidRDefault="00486163" w:rsidP="005D26D2">
      <w:pPr>
        <w:spacing w:line="360" w:lineRule="auto"/>
        <w:ind w:left="720" w:hanging="720"/>
        <w:jc w:val="both"/>
        <w:rPr>
          <w:rFonts w:ascii="Arial" w:hAnsi="Arial" w:cs="Arial"/>
          <w:sz w:val="24"/>
          <w:szCs w:val="24"/>
        </w:rPr>
      </w:pPr>
      <w:r w:rsidRPr="00BF38C4">
        <w:rPr>
          <w:rFonts w:ascii="Arial" w:hAnsi="Arial" w:cs="Arial"/>
          <w:sz w:val="24"/>
          <w:szCs w:val="24"/>
        </w:rPr>
        <w:t xml:space="preserve">Saks, A.M., and </w:t>
      </w:r>
      <w:proofErr w:type="spellStart"/>
      <w:r w:rsidRPr="00BF38C4">
        <w:rPr>
          <w:rFonts w:ascii="Arial" w:hAnsi="Arial" w:cs="Arial"/>
          <w:sz w:val="24"/>
          <w:szCs w:val="24"/>
        </w:rPr>
        <w:t>Gruman</w:t>
      </w:r>
      <w:proofErr w:type="spellEnd"/>
      <w:r w:rsidRPr="00BF38C4">
        <w:rPr>
          <w:rFonts w:ascii="Arial" w:hAnsi="Arial" w:cs="Arial"/>
          <w:sz w:val="24"/>
          <w:szCs w:val="24"/>
        </w:rPr>
        <w:t>, J.A</w:t>
      </w:r>
      <w:r w:rsidR="00BF38C4" w:rsidRPr="00BF38C4">
        <w:rPr>
          <w:rFonts w:ascii="Arial" w:hAnsi="Arial" w:cs="Arial"/>
          <w:sz w:val="24"/>
          <w:szCs w:val="24"/>
        </w:rPr>
        <w:t xml:space="preserve">’. </w:t>
      </w:r>
      <w:r w:rsidRPr="00BF38C4">
        <w:rPr>
          <w:rFonts w:ascii="Arial" w:hAnsi="Arial" w:cs="Arial"/>
          <w:sz w:val="24"/>
          <w:szCs w:val="24"/>
        </w:rPr>
        <w:t>(2018</w:t>
      </w:r>
      <w:r w:rsidR="00BF38C4" w:rsidRPr="00BF38C4">
        <w:rPr>
          <w:rFonts w:ascii="Arial" w:hAnsi="Arial" w:cs="Arial"/>
          <w:sz w:val="24"/>
          <w:szCs w:val="24"/>
        </w:rPr>
        <w:t>) ‘</w:t>
      </w:r>
      <w:proofErr w:type="spellStart"/>
      <w:r w:rsidRPr="00BF38C4">
        <w:rPr>
          <w:rFonts w:ascii="Arial" w:hAnsi="Arial" w:cs="Arial"/>
          <w:sz w:val="24"/>
          <w:szCs w:val="24"/>
        </w:rPr>
        <w:t>Socialisation</w:t>
      </w:r>
      <w:proofErr w:type="spellEnd"/>
      <w:r w:rsidRPr="00BF38C4">
        <w:rPr>
          <w:rFonts w:ascii="Arial" w:hAnsi="Arial" w:cs="Arial"/>
          <w:sz w:val="24"/>
          <w:szCs w:val="24"/>
        </w:rPr>
        <w:t xml:space="preserve"> resources theory and newcomers' work engagement: A new pathway to newcomer </w:t>
      </w:r>
      <w:proofErr w:type="spellStart"/>
      <w:r w:rsidRPr="00BF38C4">
        <w:rPr>
          <w:rFonts w:ascii="Arial" w:hAnsi="Arial" w:cs="Arial"/>
          <w:sz w:val="24"/>
          <w:szCs w:val="24"/>
        </w:rPr>
        <w:t>socialisation</w:t>
      </w:r>
      <w:proofErr w:type="spellEnd"/>
      <w:r w:rsidR="00BF38C4" w:rsidRPr="00BF38C4">
        <w:rPr>
          <w:rFonts w:ascii="Arial" w:hAnsi="Arial" w:cs="Arial"/>
          <w:sz w:val="24"/>
          <w:szCs w:val="24"/>
        </w:rPr>
        <w:t xml:space="preserve">’. </w:t>
      </w:r>
      <w:r w:rsidRPr="00BF38C4">
        <w:rPr>
          <w:rFonts w:ascii="Arial" w:hAnsi="Arial" w:cs="Arial"/>
          <w:sz w:val="24"/>
          <w:szCs w:val="24"/>
        </w:rPr>
        <w:t>Career Development International, 23(1), 12-32.</w:t>
      </w:r>
    </w:p>
    <w:p w14:paraId="63188C4E" w14:textId="77777777" w:rsidR="00F83CF3" w:rsidRPr="00BF38C4" w:rsidRDefault="00F83CF3" w:rsidP="005D26D2">
      <w:pPr>
        <w:spacing w:line="360" w:lineRule="auto"/>
        <w:jc w:val="both"/>
        <w:rPr>
          <w:rFonts w:ascii="Arial" w:hAnsi="Arial" w:cs="Arial"/>
          <w:sz w:val="24"/>
          <w:szCs w:val="24"/>
        </w:rPr>
      </w:pPr>
    </w:p>
    <w:sectPr w:rsidR="00F83CF3" w:rsidRPr="00BF38C4" w:rsidSect="00631E39">
      <w:foot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0BF88" w14:textId="77777777" w:rsidR="00D11FC6" w:rsidRDefault="00D11FC6" w:rsidP="00631E39">
      <w:pPr>
        <w:spacing w:after="0" w:line="240" w:lineRule="auto"/>
      </w:pPr>
      <w:r>
        <w:separator/>
      </w:r>
    </w:p>
  </w:endnote>
  <w:endnote w:type="continuationSeparator" w:id="0">
    <w:p w14:paraId="26F48C83" w14:textId="77777777" w:rsidR="00D11FC6" w:rsidRDefault="00D11FC6" w:rsidP="00631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921496"/>
      <w:docPartObj>
        <w:docPartGallery w:val="Page Numbers (Bottom of Page)"/>
        <w:docPartUnique/>
      </w:docPartObj>
    </w:sdtPr>
    <w:sdtEndPr>
      <w:rPr>
        <w:color w:val="7F7F7F" w:themeColor="background1" w:themeShade="7F"/>
        <w:spacing w:val="60"/>
      </w:rPr>
    </w:sdtEndPr>
    <w:sdtContent>
      <w:p w14:paraId="57A8BA23" w14:textId="77777777" w:rsidR="00631E39" w:rsidRDefault="00631E3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53191" w:rsidRPr="00E53191">
          <w:rPr>
            <w:b/>
            <w:bCs/>
            <w:noProof/>
          </w:rPr>
          <w:t>10</w:t>
        </w:r>
        <w:r>
          <w:rPr>
            <w:b/>
            <w:bCs/>
            <w:noProof/>
          </w:rPr>
          <w:fldChar w:fldCharType="end"/>
        </w:r>
        <w:r>
          <w:rPr>
            <w:b/>
            <w:bCs/>
          </w:rPr>
          <w:t xml:space="preserve"> | </w:t>
        </w:r>
        <w:r>
          <w:rPr>
            <w:color w:val="7F7F7F" w:themeColor="background1" w:themeShade="7F"/>
            <w:spacing w:val="60"/>
          </w:rPr>
          <w:t>Page Essay</w:t>
        </w:r>
      </w:p>
    </w:sdtContent>
  </w:sdt>
  <w:p w14:paraId="7EF9AB13" w14:textId="77777777" w:rsidR="00631E39" w:rsidRDefault="00631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4E386" w14:textId="77777777" w:rsidR="00D11FC6" w:rsidRDefault="00D11FC6" w:rsidP="00631E39">
      <w:pPr>
        <w:spacing w:after="0" w:line="240" w:lineRule="auto"/>
      </w:pPr>
      <w:r>
        <w:separator/>
      </w:r>
    </w:p>
  </w:footnote>
  <w:footnote w:type="continuationSeparator" w:id="0">
    <w:p w14:paraId="3461D999" w14:textId="77777777" w:rsidR="00D11FC6" w:rsidRDefault="00D11FC6" w:rsidP="00631E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7900"/>
    <w:rsid w:val="000329D2"/>
    <w:rsid w:val="00207482"/>
    <w:rsid w:val="003A55FA"/>
    <w:rsid w:val="00486163"/>
    <w:rsid w:val="005D26D2"/>
    <w:rsid w:val="00631E39"/>
    <w:rsid w:val="00650101"/>
    <w:rsid w:val="006E1491"/>
    <w:rsid w:val="008F1381"/>
    <w:rsid w:val="009A1A41"/>
    <w:rsid w:val="00A37C28"/>
    <w:rsid w:val="00BA7900"/>
    <w:rsid w:val="00BF38C4"/>
    <w:rsid w:val="00D11FC6"/>
    <w:rsid w:val="00E50157"/>
    <w:rsid w:val="00E53191"/>
    <w:rsid w:val="00E85D9E"/>
    <w:rsid w:val="00F83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3FC1A"/>
  <w15:docId w15:val="{136F28A6-257D-4B2F-92CC-B194F4FD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E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E39"/>
  </w:style>
  <w:style w:type="paragraph" w:styleId="Footer">
    <w:name w:val="footer"/>
    <w:basedOn w:val="Normal"/>
    <w:link w:val="FooterChar"/>
    <w:uiPriority w:val="99"/>
    <w:unhideWhenUsed/>
    <w:rsid w:val="00631E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9321">
      <w:bodyDiv w:val="1"/>
      <w:marLeft w:val="0"/>
      <w:marRight w:val="0"/>
      <w:marTop w:val="0"/>
      <w:marBottom w:val="0"/>
      <w:divBdr>
        <w:top w:val="none" w:sz="0" w:space="0" w:color="auto"/>
        <w:left w:val="none" w:sz="0" w:space="0" w:color="auto"/>
        <w:bottom w:val="none" w:sz="0" w:space="0" w:color="auto"/>
        <w:right w:val="none" w:sz="0" w:space="0" w:color="auto"/>
      </w:divBdr>
    </w:div>
    <w:div w:id="14503146">
      <w:bodyDiv w:val="1"/>
      <w:marLeft w:val="0"/>
      <w:marRight w:val="0"/>
      <w:marTop w:val="0"/>
      <w:marBottom w:val="0"/>
      <w:divBdr>
        <w:top w:val="none" w:sz="0" w:space="0" w:color="auto"/>
        <w:left w:val="none" w:sz="0" w:space="0" w:color="auto"/>
        <w:bottom w:val="none" w:sz="0" w:space="0" w:color="auto"/>
        <w:right w:val="none" w:sz="0" w:space="0" w:color="auto"/>
      </w:divBdr>
    </w:div>
    <w:div w:id="101844768">
      <w:bodyDiv w:val="1"/>
      <w:marLeft w:val="0"/>
      <w:marRight w:val="0"/>
      <w:marTop w:val="0"/>
      <w:marBottom w:val="0"/>
      <w:divBdr>
        <w:top w:val="none" w:sz="0" w:space="0" w:color="auto"/>
        <w:left w:val="none" w:sz="0" w:space="0" w:color="auto"/>
        <w:bottom w:val="none" w:sz="0" w:space="0" w:color="auto"/>
        <w:right w:val="none" w:sz="0" w:space="0" w:color="auto"/>
      </w:divBdr>
    </w:div>
    <w:div w:id="216748795">
      <w:bodyDiv w:val="1"/>
      <w:marLeft w:val="0"/>
      <w:marRight w:val="0"/>
      <w:marTop w:val="0"/>
      <w:marBottom w:val="0"/>
      <w:divBdr>
        <w:top w:val="none" w:sz="0" w:space="0" w:color="auto"/>
        <w:left w:val="none" w:sz="0" w:space="0" w:color="auto"/>
        <w:bottom w:val="none" w:sz="0" w:space="0" w:color="auto"/>
        <w:right w:val="none" w:sz="0" w:space="0" w:color="auto"/>
      </w:divBdr>
    </w:div>
    <w:div w:id="249587462">
      <w:bodyDiv w:val="1"/>
      <w:marLeft w:val="0"/>
      <w:marRight w:val="0"/>
      <w:marTop w:val="0"/>
      <w:marBottom w:val="0"/>
      <w:divBdr>
        <w:top w:val="none" w:sz="0" w:space="0" w:color="auto"/>
        <w:left w:val="none" w:sz="0" w:space="0" w:color="auto"/>
        <w:bottom w:val="none" w:sz="0" w:space="0" w:color="auto"/>
        <w:right w:val="none" w:sz="0" w:space="0" w:color="auto"/>
      </w:divBdr>
    </w:div>
    <w:div w:id="292489799">
      <w:bodyDiv w:val="1"/>
      <w:marLeft w:val="0"/>
      <w:marRight w:val="0"/>
      <w:marTop w:val="0"/>
      <w:marBottom w:val="0"/>
      <w:divBdr>
        <w:top w:val="none" w:sz="0" w:space="0" w:color="auto"/>
        <w:left w:val="none" w:sz="0" w:space="0" w:color="auto"/>
        <w:bottom w:val="none" w:sz="0" w:space="0" w:color="auto"/>
        <w:right w:val="none" w:sz="0" w:space="0" w:color="auto"/>
      </w:divBdr>
    </w:div>
    <w:div w:id="392968359">
      <w:bodyDiv w:val="1"/>
      <w:marLeft w:val="0"/>
      <w:marRight w:val="0"/>
      <w:marTop w:val="0"/>
      <w:marBottom w:val="0"/>
      <w:divBdr>
        <w:top w:val="none" w:sz="0" w:space="0" w:color="auto"/>
        <w:left w:val="none" w:sz="0" w:space="0" w:color="auto"/>
        <w:bottom w:val="none" w:sz="0" w:space="0" w:color="auto"/>
        <w:right w:val="none" w:sz="0" w:space="0" w:color="auto"/>
      </w:divBdr>
    </w:div>
    <w:div w:id="459151516">
      <w:bodyDiv w:val="1"/>
      <w:marLeft w:val="0"/>
      <w:marRight w:val="0"/>
      <w:marTop w:val="0"/>
      <w:marBottom w:val="0"/>
      <w:divBdr>
        <w:top w:val="none" w:sz="0" w:space="0" w:color="auto"/>
        <w:left w:val="none" w:sz="0" w:space="0" w:color="auto"/>
        <w:bottom w:val="none" w:sz="0" w:space="0" w:color="auto"/>
        <w:right w:val="none" w:sz="0" w:space="0" w:color="auto"/>
      </w:divBdr>
    </w:div>
    <w:div w:id="462046390">
      <w:bodyDiv w:val="1"/>
      <w:marLeft w:val="0"/>
      <w:marRight w:val="0"/>
      <w:marTop w:val="0"/>
      <w:marBottom w:val="0"/>
      <w:divBdr>
        <w:top w:val="none" w:sz="0" w:space="0" w:color="auto"/>
        <w:left w:val="none" w:sz="0" w:space="0" w:color="auto"/>
        <w:bottom w:val="none" w:sz="0" w:space="0" w:color="auto"/>
        <w:right w:val="none" w:sz="0" w:space="0" w:color="auto"/>
      </w:divBdr>
    </w:div>
    <w:div w:id="483014420">
      <w:bodyDiv w:val="1"/>
      <w:marLeft w:val="0"/>
      <w:marRight w:val="0"/>
      <w:marTop w:val="0"/>
      <w:marBottom w:val="0"/>
      <w:divBdr>
        <w:top w:val="none" w:sz="0" w:space="0" w:color="auto"/>
        <w:left w:val="none" w:sz="0" w:space="0" w:color="auto"/>
        <w:bottom w:val="none" w:sz="0" w:space="0" w:color="auto"/>
        <w:right w:val="none" w:sz="0" w:space="0" w:color="auto"/>
      </w:divBdr>
    </w:div>
    <w:div w:id="508761164">
      <w:bodyDiv w:val="1"/>
      <w:marLeft w:val="0"/>
      <w:marRight w:val="0"/>
      <w:marTop w:val="0"/>
      <w:marBottom w:val="0"/>
      <w:divBdr>
        <w:top w:val="none" w:sz="0" w:space="0" w:color="auto"/>
        <w:left w:val="none" w:sz="0" w:space="0" w:color="auto"/>
        <w:bottom w:val="none" w:sz="0" w:space="0" w:color="auto"/>
        <w:right w:val="none" w:sz="0" w:space="0" w:color="auto"/>
      </w:divBdr>
    </w:div>
    <w:div w:id="625621554">
      <w:bodyDiv w:val="1"/>
      <w:marLeft w:val="0"/>
      <w:marRight w:val="0"/>
      <w:marTop w:val="0"/>
      <w:marBottom w:val="0"/>
      <w:divBdr>
        <w:top w:val="none" w:sz="0" w:space="0" w:color="auto"/>
        <w:left w:val="none" w:sz="0" w:space="0" w:color="auto"/>
        <w:bottom w:val="none" w:sz="0" w:space="0" w:color="auto"/>
        <w:right w:val="none" w:sz="0" w:space="0" w:color="auto"/>
      </w:divBdr>
    </w:div>
    <w:div w:id="756246516">
      <w:bodyDiv w:val="1"/>
      <w:marLeft w:val="0"/>
      <w:marRight w:val="0"/>
      <w:marTop w:val="0"/>
      <w:marBottom w:val="0"/>
      <w:divBdr>
        <w:top w:val="none" w:sz="0" w:space="0" w:color="auto"/>
        <w:left w:val="none" w:sz="0" w:space="0" w:color="auto"/>
        <w:bottom w:val="none" w:sz="0" w:space="0" w:color="auto"/>
        <w:right w:val="none" w:sz="0" w:space="0" w:color="auto"/>
      </w:divBdr>
    </w:div>
    <w:div w:id="865169294">
      <w:bodyDiv w:val="1"/>
      <w:marLeft w:val="0"/>
      <w:marRight w:val="0"/>
      <w:marTop w:val="0"/>
      <w:marBottom w:val="0"/>
      <w:divBdr>
        <w:top w:val="none" w:sz="0" w:space="0" w:color="auto"/>
        <w:left w:val="none" w:sz="0" w:space="0" w:color="auto"/>
        <w:bottom w:val="none" w:sz="0" w:space="0" w:color="auto"/>
        <w:right w:val="none" w:sz="0" w:space="0" w:color="auto"/>
      </w:divBdr>
    </w:div>
    <w:div w:id="921262210">
      <w:bodyDiv w:val="1"/>
      <w:marLeft w:val="0"/>
      <w:marRight w:val="0"/>
      <w:marTop w:val="0"/>
      <w:marBottom w:val="0"/>
      <w:divBdr>
        <w:top w:val="none" w:sz="0" w:space="0" w:color="auto"/>
        <w:left w:val="none" w:sz="0" w:space="0" w:color="auto"/>
        <w:bottom w:val="none" w:sz="0" w:space="0" w:color="auto"/>
        <w:right w:val="none" w:sz="0" w:space="0" w:color="auto"/>
      </w:divBdr>
    </w:div>
    <w:div w:id="997803218">
      <w:bodyDiv w:val="1"/>
      <w:marLeft w:val="0"/>
      <w:marRight w:val="0"/>
      <w:marTop w:val="0"/>
      <w:marBottom w:val="0"/>
      <w:divBdr>
        <w:top w:val="none" w:sz="0" w:space="0" w:color="auto"/>
        <w:left w:val="none" w:sz="0" w:space="0" w:color="auto"/>
        <w:bottom w:val="none" w:sz="0" w:space="0" w:color="auto"/>
        <w:right w:val="none" w:sz="0" w:space="0" w:color="auto"/>
      </w:divBdr>
    </w:div>
    <w:div w:id="1020396457">
      <w:bodyDiv w:val="1"/>
      <w:marLeft w:val="0"/>
      <w:marRight w:val="0"/>
      <w:marTop w:val="0"/>
      <w:marBottom w:val="0"/>
      <w:divBdr>
        <w:top w:val="none" w:sz="0" w:space="0" w:color="auto"/>
        <w:left w:val="none" w:sz="0" w:space="0" w:color="auto"/>
        <w:bottom w:val="none" w:sz="0" w:space="0" w:color="auto"/>
        <w:right w:val="none" w:sz="0" w:space="0" w:color="auto"/>
      </w:divBdr>
    </w:div>
    <w:div w:id="1021512558">
      <w:bodyDiv w:val="1"/>
      <w:marLeft w:val="0"/>
      <w:marRight w:val="0"/>
      <w:marTop w:val="0"/>
      <w:marBottom w:val="0"/>
      <w:divBdr>
        <w:top w:val="none" w:sz="0" w:space="0" w:color="auto"/>
        <w:left w:val="none" w:sz="0" w:space="0" w:color="auto"/>
        <w:bottom w:val="none" w:sz="0" w:space="0" w:color="auto"/>
        <w:right w:val="none" w:sz="0" w:space="0" w:color="auto"/>
      </w:divBdr>
    </w:div>
    <w:div w:id="1368677782">
      <w:bodyDiv w:val="1"/>
      <w:marLeft w:val="0"/>
      <w:marRight w:val="0"/>
      <w:marTop w:val="0"/>
      <w:marBottom w:val="0"/>
      <w:divBdr>
        <w:top w:val="none" w:sz="0" w:space="0" w:color="auto"/>
        <w:left w:val="none" w:sz="0" w:space="0" w:color="auto"/>
        <w:bottom w:val="none" w:sz="0" w:space="0" w:color="auto"/>
        <w:right w:val="none" w:sz="0" w:space="0" w:color="auto"/>
      </w:divBdr>
    </w:div>
    <w:div w:id="1581792000">
      <w:bodyDiv w:val="1"/>
      <w:marLeft w:val="0"/>
      <w:marRight w:val="0"/>
      <w:marTop w:val="0"/>
      <w:marBottom w:val="0"/>
      <w:divBdr>
        <w:top w:val="none" w:sz="0" w:space="0" w:color="auto"/>
        <w:left w:val="none" w:sz="0" w:space="0" w:color="auto"/>
        <w:bottom w:val="none" w:sz="0" w:space="0" w:color="auto"/>
        <w:right w:val="none" w:sz="0" w:space="0" w:color="auto"/>
      </w:divBdr>
    </w:div>
    <w:div w:id="1662806569">
      <w:bodyDiv w:val="1"/>
      <w:marLeft w:val="0"/>
      <w:marRight w:val="0"/>
      <w:marTop w:val="0"/>
      <w:marBottom w:val="0"/>
      <w:divBdr>
        <w:top w:val="none" w:sz="0" w:space="0" w:color="auto"/>
        <w:left w:val="none" w:sz="0" w:space="0" w:color="auto"/>
        <w:bottom w:val="none" w:sz="0" w:space="0" w:color="auto"/>
        <w:right w:val="none" w:sz="0" w:space="0" w:color="auto"/>
      </w:divBdr>
    </w:div>
    <w:div w:id="1721049689">
      <w:bodyDiv w:val="1"/>
      <w:marLeft w:val="0"/>
      <w:marRight w:val="0"/>
      <w:marTop w:val="0"/>
      <w:marBottom w:val="0"/>
      <w:divBdr>
        <w:top w:val="none" w:sz="0" w:space="0" w:color="auto"/>
        <w:left w:val="none" w:sz="0" w:space="0" w:color="auto"/>
        <w:bottom w:val="none" w:sz="0" w:space="0" w:color="auto"/>
        <w:right w:val="none" w:sz="0" w:space="0" w:color="auto"/>
      </w:divBdr>
    </w:div>
    <w:div w:id="1893492687">
      <w:bodyDiv w:val="1"/>
      <w:marLeft w:val="0"/>
      <w:marRight w:val="0"/>
      <w:marTop w:val="0"/>
      <w:marBottom w:val="0"/>
      <w:divBdr>
        <w:top w:val="none" w:sz="0" w:space="0" w:color="auto"/>
        <w:left w:val="none" w:sz="0" w:space="0" w:color="auto"/>
        <w:bottom w:val="none" w:sz="0" w:space="0" w:color="auto"/>
        <w:right w:val="none" w:sz="0" w:space="0" w:color="auto"/>
      </w:divBdr>
    </w:div>
    <w:div w:id="1948385451">
      <w:bodyDiv w:val="1"/>
      <w:marLeft w:val="0"/>
      <w:marRight w:val="0"/>
      <w:marTop w:val="0"/>
      <w:marBottom w:val="0"/>
      <w:divBdr>
        <w:top w:val="none" w:sz="0" w:space="0" w:color="auto"/>
        <w:left w:val="none" w:sz="0" w:space="0" w:color="auto"/>
        <w:bottom w:val="none" w:sz="0" w:space="0" w:color="auto"/>
        <w:right w:val="none" w:sz="0" w:space="0" w:color="auto"/>
      </w:divBdr>
    </w:div>
    <w:div w:id="1962421992">
      <w:bodyDiv w:val="1"/>
      <w:marLeft w:val="0"/>
      <w:marRight w:val="0"/>
      <w:marTop w:val="0"/>
      <w:marBottom w:val="0"/>
      <w:divBdr>
        <w:top w:val="none" w:sz="0" w:space="0" w:color="auto"/>
        <w:left w:val="none" w:sz="0" w:space="0" w:color="auto"/>
        <w:bottom w:val="none" w:sz="0" w:space="0" w:color="auto"/>
        <w:right w:val="none" w:sz="0" w:space="0" w:color="auto"/>
      </w:divBdr>
    </w:div>
    <w:div w:id="1975525218">
      <w:bodyDiv w:val="1"/>
      <w:marLeft w:val="0"/>
      <w:marRight w:val="0"/>
      <w:marTop w:val="0"/>
      <w:marBottom w:val="0"/>
      <w:divBdr>
        <w:top w:val="none" w:sz="0" w:space="0" w:color="auto"/>
        <w:left w:val="none" w:sz="0" w:space="0" w:color="auto"/>
        <w:bottom w:val="none" w:sz="0" w:space="0" w:color="auto"/>
        <w:right w:val="none" w:sz="0" w:space="0" w:color="auto"/>
      </w:divBdr>
    </w:div>
    <w:div w:id="214600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2655</Words>
  <Characters>15138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Martin Georgiev Yankov</cp:lastModifiedBy>
  <cp:revision>3</cp:revision>
  <dcterms:created xsi:type="dcterms:W3CDTF">2023-06-09T20:13:00Z</dcterms:created>
  <dcterms:modified xsi:type="dcterms:W3CDTF">2023-06-11T17:42:00Z</dcterms:modified>
</cp:coreProperties>
</file>