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83038" w14:textId="0E89A147" w:rsidR="00AE4A81" w:rsidRDefault="00AE4A81">
      <w:pPr>
        <w:rPr>
          <w:rFonts w:ascii="Arial" w:hAnsi="Arial" w:cs="Arial"/>
          <w:lang w:val="en-US"/>
        </w:rPr>
      </w:pPr>
      <w:r>
        <w:rPr>
          <w:rFonts w:ascii="Arial" w:hAnsi="Arial" w:cs="Arial"/>
          <w:lang w:val="en-US"/>
        </w:rPr>
        <w:t>Yordanka Ivanova -2022864</w:t>
      </w:r>
    </w:p>
    <w:p w14:paraId="01B2BD6A" w14:textId="51DE852F" w:rsidR="003233DC" w:rsidRPr="00AE4A81" w:rsidRDefault="00263312">
      <w:pPr>
        <w:rPr>
          <w:rFonts w:ascii="Arial" w:hAnsi="Arial" w:cs="Arial"/>
          <w:lang w:val="en-US"/>
        </w:rPr>
      </w:pPr>
      <w:r w:rsidRPr="00AE4A81">
        <w:rPr>
          <w:rFonts w:ascii="Arial" w:hAnsi="Arial" w:cs="Arial"/>
          <w:lang w:val="en-US"/>
        </w:rPr>
        <w:t xml:space="preserve">Task 1 </w:t>
      </w:r>
    </w:p>
    <w:p w14:paraId="488D5AEC" w14:textId="05A26B95" w:rsidR="00263312" w:rsidRPr="00AE4A81" w:rsidRDefault="00263312">
      <w:pPr>
        <w:rPr>
          <w:rFonts w:ascii="Arial" w:hAnsi="Arial" w:cs="Arial"/>
          <w:lang w:val="en-US"/>
        </w:rPr>
      </w:pPr>
      <w:r w:rsidRPr="00AE4A81">
        <w:rPr>
          <w:rFonts w:ascii="Arial" w:hAnsi="Arial" w:cs="Arial"/>
          <w:lang w:val="en-US"/>
        </w:rPr>
        <w:t xml:space="preserve">Question </w:t>
      </w:r>
      <w:proofErr w:type="gramStart"/>
      <w:r w:rsidRPr="00AE4A81">
        <w:rPr>
          <w:rFonts w:ascii="Arial" w:hAnsi="Arial" w:cs="Arial"/>
          <w:lang w:val="en-US"/>
        </w:rPr>
        <w:t>1 :</w:t>
      </w:r>
      <w:proofErr w:type="gramEnd"/>
    </w:p>
    <w:p w14:paraId="06744197" w14:textId="0DC3C880" w:rsidR="00B470B7" w:rsidRPr="00AE4A81" w:rsidRDefault="00B470B7" w:rsidP="00B470B7">
      <w:pPr>
        <w:pStyle w:val="ListParagraph"/>
        <w:numPr>
          <w:ilvl w:val="0"/>
          <w:numId w:val="1"/>
        </w:numPr>
        <w:rPr>
          <w:rFonts w:ascii="Arial" w:hAnsi="Arial" w:cs="Arial"/>
          <w:lang w:val="en-US"/>
        </w:rPr>
      </w:pPr>
      <w:r w:rsidRPr="00AE4A81">
        <w:rPr>
          <w:rFonts w:ascii="Arial" w:hAnsi="Arial" w:cs="Arial"/>
          <w:lang w:val="en-US"/>
        </w:rPr>
        <w:t>U</w:t>
      </w:r>
      <w:r w:rsidRPr="00AE4A81">
        <w:rPr>
          <w:rFonts w:ascii="Arial" w:hAnsi="Arial" w:cs="Arial"/>
          <w:lang w:val="en-US"/>
        </w:rPr>
        <w:t>nder some instances, one partner may be liable for the partnership's losses and may be required to compensate the other partners.</w:t>
      </w:r>
    </w:p>
    <w:p w14:paraId="4305DE4A" w14:textId="66F6003E" w:rsidR="00263312" w:rsidRPr="00AE4A81" w:rsidRDefault="00B470B7" w:rsidP="00B470B7">
      <w:pPr>
        <w:pStyle w:val="ListParagraph"/>
        <w:rPr>
          <w:rFonts w:ascii="Arial" w:hAnsi="Arial" w:cs="Arial"/>
          <w:lang w:val="en-US"/>
        </w:rPr>
      </w:pPr>
      <w:r w:rsidRPr="00AE4A81">
        <w:rPr>
          <w:rFonts w:ascii="Arial" w:hAnsi="Arial" w:cs="Arial"/>
          <w:lang w:val="en-US"/>
        </w:rPr>
        <w:t>Cosmetic Transformation is accountable for the unpaid debt under Apparent Authority. Under section 5 of the PA, apparent authority is accountable. Apparent authority is critical when it comes to liability to an outsider. All three of the Apparent Authority's elements are met here: 1 The contract's purpose is the x-ray machine, which has benefited both Cosmetic Transformation and the firm, 2 regardless of whether an express or implied contract exists between the partners, the firm will be liable for the debt under s5 of the PA if the contract is related to the business and is made in the customary manner. 3) Document 1 states unequivocally that on May 16th, it was decided by a majority of 2:1 that the business does not require an x-ray machine and that the matter will be reviewed next year; the order for the x-ray machine was placed on July 8th of the same year, indicating that the other partners were not in agreement.</w:t>
      </w:r>
      <w:r w:rsidRPr="00AE4A81">
        <w:rPr>
          <w:rFonts w:ascii="Arial" w:hAnsi="Arial" w:cs="Arial"/>
          <w:lang w:val="en-US"/>
        </w:rPr>
        <w:t xml:space="preserve"> </w:t>
      </w:r>
    </w:p>
    <w:p w14:paraId="748AAEB3" w14:textId="1FA2C35F" w:rsidR="00B470B7" w:rsidRPr="00AE4A81" w:rsidRDefault="008D2B0A" w:rsidP="008D2B0A">
      <w:pPr>
        <w:pStyle w:val="ListParagraph"/>
        <w:numPr>
          <w:ilvl w:val="0"/>
          <w:numId w:val="1"/>
        </w:numPr>
        <w:rPr>
          <w:rFonts w:ascii="Arial" w:hAnsi="Arial" w:cs="Arial"/>
          <w:lang w:val="en-US"/>
        </w:rPr>
      </w:pPr>
      <w:r w:rsidRPr="00AE4A81">
        <w:rPr>
          <w:rFonts w:ascii="Arial" w:hAnsi="Arial" w:cs="Arial"/>
          <w:lang w:val="en-US"/>
        </w:rPr>
        <w:t xml:space="preserve">Partners shall always be legally liable for the actions of all partners working in concert. Additionally, they will be legally liable for the actions of one of the partners that were authorised by the other partners. If a partner acts without actual power but with apparent authority, the partnership is bound by the transaction with the outsider that the partner engaged into on their behalf. The other partners may seek reimbursement from that partner for any losses sustained as a result. According to the law, all partners in the partnership are equally and severally accountable for debts or liabilities committed on behalf of the partnership </w:t>
      </w:r>
      <w:proofErr w:type="gramStart"/>
      <w:r w:rsidRPr="00AE4A81">
        <w:rPr>
          <w:rFonts w:ascii="Arial" w:hAnsi="Arial" w:cs="Arial"/>
          <w:lang w:val="en-US"/>
        </w:rPr>
        <w:t>at the moment</w:t>
      </w:r>
      <w:proofErr w:type="gramEnd"/>
      <w:r w:rsidRPr="00AE4A81">
        <w:rPr>
          <w:rFonts w:ascii="Arial" w:hAnsi="Arial" w:cs="Arial"/>
          <w:lang w:val="en-US"/>
        </w:rPr>
        <w:t xml:space="preserve"> those debts or liabilities are incurred. This means that each partner can be compelled to pay the partnership's debts. If a firm is liable under a contract, s9 provides that all persons who were partners at the time of the contract are jointly and severally liable for debts and obligations without limitation.</w:t>
      </w:r>
    </w:p>
    <w:p w14:paraId="422DE662" w14:textId="5388ED9F" w:rsidR="008D2B0A" w:rsidRPr="00AE4A81" w:rsidRDefault="008D2B0A" w:rsidP="008D2B0A">
      <w:pPr>
        <w:pStyle w:val="ListParagraph"/>
        <w:rPr>
          <w:rFonts w:ascii="Arial" w:hAnsi="Arial" w:cs="Arial"/>
          <w:lang w:val="en-US"/>
        </w:rPr>
      </w:pPr>
      <w:r w:rsidRPr="00AE4A81">
        <w:rPr>
          <w:rFonts w:ascii="Arial" w:hAnsi="Arial" w:cs="Arial"/>
          <w:lang w:val="en-US"/>
        </w:rPr>
        <w:t>Dylan Jones will not be held liable for Cosmetic Transformation's debt under s17 (1) in that circumstance because he joined the partnership on 15th August 2020 and the contract was issued on 8th July 2020. Dylan Jones was not a partner and is therefore accountable for all actions taken prior to becoming a partner.</w:t>
      </w:r>
      <w:r w:rsidR="009E69E2" w:rsidRPr="00AE4A81">
        <w:rPr>
          <w:rFonts w:ascii="Arial" w:hAnsi="Arial" w:cs="Arial"/>
        </w:rPr>
        <w:t xml:space="preserve"> </w:t>
      </w:r>
      <w:r w:rsidR="009E69E2" w:rsidRPr="00AE4A81">
        <w:rPr>
          <w:rFonts w:ascii="Arial" w:hAnsi="Arial" w:cs="Arial"/>
          <w:lang w:val="en-US"/>
        </w:rPr>
        <w:t>However, Dylan Jones may be liable for debt in the case of a novation contract since he is an incoming partner under s17(2), but only if the debt is included in the partnership and he is aware of the debt prior to entering into a contract.</w:t>
      </w:r>
      <w:r w:rsidRPr="00AE4A81">
        <w:rPr>
          <w:rFonts w:ascii="Arial" w:hAnsi="Arial" w:cs="Arial"/>
          <w:lang w:val="en-US"/>
        </w:rPr>
        <w:t xml:space="preserve"> </w:t>
      </w:r>
      <w:r w:rsidR="00CD03D4" w:rsidRPr="00AE4A81">
        <w:rPr>
          <w:rFonts w:ascii="Arial" w:hAnsi="Arial" w:cs="Arial"/>
          <w:lang w:val="en-US"/>
        </w:rPr>
        <w:t>Sion died on 5th August 2020, and because the contract was signed on the 8th of July, prior to her death, and obligations were incurred prior to her death, Sion's estate will be jointly and severally liable for the debt under s9.</w:t>
      </w:r>
      <w:r w:rsidR="00CD03D4" w:rsidRPr="00AE4A81">
        <w:rPr>
          <w:rFonts w:ascii="Arial" w:hAnsi="Arial" w:cs="Arial"/>
          <w:lang w:val="en-US"/>
        </w:rPr>
        <w:t xml:space="preserve"> </w:t>
      </w:r>
      <w:r w:rsidR="000C1E0C" w:rsidRPr="00AE4A81">
        <w:rPr>
          <w:rFonts w:ascii="Arial" w:hAnsi="Arial" w:cs="Arial"/>
          <w:lang w:val="en-US"/>
        </w:rPr>
        <w:t>However, Sion resigned the partnership on 31st July 2020. Under section 17(2) of the novation agreement, the retiring person is relieved from all debts and the creditor releases the original partner from duty, and the firm assumes the liability in its place.</w:t>
      </w:r>
      <w:r w:rsidR="009E69E2" w:rsidRPr="00AE4A81">
        <w:rPr>
          <w:rFonts w:ascii="Arial" w:hAnsi="Arial" w:cs="Arial"/>
          <w:lang w:val="en-US"/>
        </w:rPr>
        <w:t xml:space="preserve"> </w:t>
      </w:r>
      <w:r w:rsidR="009E69E2" w:rsidRPr="00AE4A81">
        <w:rPr>
          <w:rFonts w:ascii="Arial" w:hAnsi="Arial" w:cs="Arial"/>
          <w:lang w:val="en-US"/>
        </w:rPr>
        <w:t>John and Rhian will both be accountable for the debt under s9, since all current partners at the time of the contract will be equally and severally liable for all debts and obligations.</w:t>
      </w:r>
    </w:p>
    <w:p w14:paraId="4710C819" w14:textId="69D95107" w:rsidR="009E69E2" w:rsidRPr="00AE4A81" w:rsidRDefault="009E69E2" w:rsidP="008D2B0A">
      <w:pPr>
        <w:pStyle w:val="ListParagraph"/>
        <w:rPr>
          <w:rFonts w:ascii="Arial" w:hAnsi="Arial" w:cs="Arial"/>
          <w:lang w:val="en-US"/>
        </w:rPr>
      </w:pPr>
    </w:p>
    <w:p w14:paraId="5106739A" w14:textId="4F82FC66" w:rsidR="009E69E2" w:rsidRPr="00AE4A81" w:rsidRDefault="009E69E2" w:rsidP="008D2B0A">
      <w:pPr>
        <w:pStyle w:val="ListParagraph"/>
        <w:rPr>
          <w:rFonts w:ascii="Arial" w:hAnsi="Arial" w:cs="Arial"/>
          <w:lang w:val="en-US"/>
        </w:rPr>
      </w:pPr>
      <w:r w:rsidRPr="00AE4A81">
        <w:rPr>
          <w:rFonts w:ascii="Arial" w:hAnsi="Arial" w:cs="Arial"/>
          <w:lang w:val="en-US"/>
        </w:rPr>
        <w:t xml:space="preserve">Task 2 </w:t>
      </w:r>
    </w:p>
    <w:p w14:paraId="6F19B316" w14:textId="1355193E" w:rsidR="009E69E2" w:rsidRPr="00AE4A81" w:rsidRDefault="009E69E2" w:rsidP="008D2B0A">
      <w:pPr>
        <w:pStyle w:val="ListParagraph"/>
        <w:rPr>
          <w:rFonts w:ascii="Arial" w:hAnsi="Arial" w:cs="Arial"/>
          <w:lang w:val="en-US"/>
        </w:rPr>
      </w:pPr>
      <w:r w:rsidRPr="00AE4A81">
        <w:rPr>
          <w:rFonts w:ascii="Arial" w:hAnsi="Arial" w:cs="Arial"/>
          <w:lang w:val="en-US"/>
        </w:rPr>
        <w:t xml:space="preserve">Question 2 </w:t>
      </w:r>
    </w:p>
    <w:p w14:paraId="42B618B2" w14:textId="2DAF791D" w:rsidR="009E69E2" w:rsidRPr="00AE4A81" w:rsidRDefault="00AA1DC0" w:rsidP="009E69E2">
      <w:pPr>
        <w:pStyle w:val="ListParagraph"/>
        <w:numPr>
          <w:ilvl w:val="0"/>
          <w:numId w:val="2"/>
        </w:numPr>
        <w:rPr>
          <w:rFonts w:ascii="Arial" w:hAnsi="Arial" w:cs="Arial"/>
          <w:lang w:val="en-US"/>
        </w:rPr>
      </w:pPr>
      <w:r w:rsidRPr="00AE4A81">
        <w:rPr>
          <w:rFonts w:ascii="Arial" w:hAnsi="Arial" w:cs="Arial"/>
          <w:lang w:val="en-US"/>
        </w:rPr>
        <w:t xml:space="preserve">Collaboration is not possible in a partnership. There are two types of legal entities: incorporated and unincorporated. If your co-op is formed, it is treated as </w:t>
      </w:r>
      <w:r w:rsidRPr="00AE4A81">
        <w:rPr>
          <w:rFonts w:ascii="Arial" w:hAnsi="Arial" w:cs="Arial"/>
          <w:lang w:val="en-US"/>
        </w:rPr>
        <w:lastRenderedPageBreak/>
        <w:t xml:space="preserve">a separate legal entity, capable of </w:t>
      </w:r>
      <w:proofErr w:type="gramStart"/>
      <w:r w:rsidRPr="00AE4A81">
        <w:rPr>
          <w:rFonts w:ascii="Arial" w:hAnsi="Arial" w:cs="Arial"/>
          <w:lang w:val="en-US"/>
        </w:rPr>
        <w:t>entering into</w:t>
      </w:r>
      <w:proofErr w:type="gramEnd"/>
      <w:r w:rsidRPr="00AE4A81">
        <w:rPr>
          <w:rFonts w:ascii="Arial" w:hAnsi="Arial" w:cs="Arial"/>
          <w:lang w:val="en-US"/>
        </w:rPr>
        <w:t xml:space="preserve"> contracts in its own right. For instance, an incorporated co-op may employ members and acquire or rent property in its name. Unincorporated groups, such as associations and partnerships, are unable to </w:t>
      </w:r>
      <w:proofErr w:type="gramStart"/>
      <w:r w:rsidRPr="00AE4A81">
        <w:rPr>
          <w:rFonts w:ascii="Arial" w:hAnsi="Arial" w:cs="Arial"/>
          <w:lang w:val="en-US"/>
        </w:rPr>
        <w:t>enter into</w:t>
      </w:r>
      <w:proofErr w:type="gramEnd"/>
      <w:r w:rsidRPr="00AE4A81">
        <w:rPr>
          <w:rFonts w:ascii="Arial" w:hAnsi="Arial" w:cs="Arial"/>
          <w:lang w:val="en-US"/>
        </w:rPr>
        <w:t xml:space="preserve"> contracts under their organization's name. Rather than that, one or more members must perform this function on behalf of the co-op, and they will be personally accountable for any breach of the contract.</w:t>
      </w:r>
    </w:p>
    <w:p w14:paraId="3FC62594" w14:textId="67DDE337" w:rsidR="00AA1DC0" w:rsidRPr="00AE4A81" w:rsidRDefault="00AA1DC0" w:rsidP="009E69E2">
      <w:pPr>
        <w:pStyle w:val="ListParagraph"/>
        <w:numPr>
          <w:ilvl w:val="0"/>
          <w:numId w:val="2"/>
        </w:numPr>
        <w:rPr>
          <w:rFonts w:ascii="Arial" w:hAnsi="Arial" w:cs="Arial"/>
          <w:lang w:val="en-US"/>
        </w:rPr>
      </w:pPr>
      <w:r w:rsidRPr="00AE4A81">
        <w:rPr>
          <w:rFonts w:ascii="Arial" w:hAnsi="Arial" w:cs="Arial"/>
          <w:lang w:val="en-US"/>
        </w:rPr>
        <w:t xml:space="preserve">certain punctuation certain special characters, such as the 'plus' sign a word or character that is visually or linguistically </w:t>
      </w:r>
      <w:proofErr w:type="gramStart"/>
      <w:r w:rsidRPr="00AE4A81">
        <w:rPr>
          <w:rFonts w:ascii="Arial" w:hAnsi="Arial" w:cs="Arial"/>
          <w:lang w:val="en-US"/>
        </w:rPr>
        <w:t>similar to</w:t>
      </w:r>
      <w:proofErr w:type="gramEnd"/>
      <w:r w:rsidRPr="00AE4A81">
        <w:rPr>
          <w:rFonts w:ascii="Arial" w:hAnsi="Arial" w:cs="Arial"/>
          <w:lang w:val="en-US"/>
        </w:rPr>
        <w:t xml:space="preserve"> another in the current name a word or character that is frequently used in UK company names</w:t>
      </w:r>
    </w:p>
    <w:p w14:paraId="4662A320" w14:textId="5118DCEA" w:rsidR="00AA1DC0" w:rsidRPr="00AE4A81" w:rsidRDefault="00AA1DC0" w:rsidP="00AA1DC0">
      <w:pPr>
        <w:pStyle w:val="ListParagraph"/>
        <w:ind w:left="1080"/>
        <w:rPr>
          <w:rFonts w:ascii="Arial" w:hAnsi="Arial" w:cs="Arial"/>
          <w:lang w:val="en-US"/>
        </w:rPr>
      </w:pPr>
    </w:p>
    <w:p w14:paraId="41DFD220" w14:textId="46928038" w:rsidR="00AA1DC0" w:rsidRPr="00AE4A81" w:rsidRDefault="00AA1DC0" w:rsidP="00AA1DC0">
      <w:pPr>
        <w:pStyle w:val="ListParagraph"/>
        <w:ind w:left="1080"/>
        <w:rPr>
          <w:rFonts w:ascii="Arial" w:hAnsi="Arial" w:cs="Arial"/>
          <w:lang w:val="en-US"/>
        </w:rPr>
      </w:pPr>
      <w:r w:rsidRPr="00AE4A81">
        <w:rPr>
          <w:rFonts w:ascii="Arial" w:hAnsi="Arial" w:cs="Arial"/>
          <w:lang w:val="en-US"/>
        </w:rPr>
        <w:t xml:space="preserve">Question </w:t>
      </w:r>
      <w:proofErr w:type="gramStart"/>
      <w:r w:rsidRPr="00AE4A81">
        <w:rPr>
          <w:rFonts w:ascii="Arial" w:hAnsi="Arial" w:cs="Arial"/>
          <w:lang w:val="en-US"/>
        </w:rPr>
        <w:t>3 :</w:t>
      </w:r>
      <w:proofErr w:type="gramEnd"/>
    </w:p>
    <w:p w14:paraId="064F4E0B" w14:textId="77777777" w:rsidR="00731CF7" w:rsidRPr="00AE4A81" w:rsidRDefault="00B21E5E" w:rsidP="00AA1DC0">
      <w:pPr>
        <w:pStyle w:val="ListParagraph"/>
        <w:ind w:left="1080"/>
        <w:rPr>
          <w:rFonts w:ascii="Arial" w:hAnsi="Arial" w:cs="Arial"/>
          <w:lang w:val="en-US"/>
        </w:rPr>
      </w:pPr>
      <w:r w:rsidRPr="00AE4A81">
        <w:rPr>
          <w:rFonts w:ascii="Arial" w:hAnsi="Arial" w:cs="Arial"/>
          <w:lang w:val="en-US"/>
        </w:rPr>
        <w:t xml:space="preserve">Possessing a majority stake in a corporation of 75% or more of the shares clearly puts the shareholder in a stronger position to approve special resolutions. This is a critical threshold to cross in the viewpoint of corporate law. They can make regular resolutions such as I </w:t>
      </w:r>
      <w:proofErr w:type="gramStart"/>
      <w:r w:rsidRPr="00AE4A81">
        <w:rPr>
          <w:rFonts w:ascii="Arial" w:hAnsi="Arial" w:cs="Arial"/>
          <w:lang w:val="en-US"/>
        </w:rPr>
        <w:t>authorising</w:t>
      </w:r>
      <w:proofErr w:type="gramEnd"/>
      <w:r w:rsidRPr="00AE4A81">
        <w:rPr>
          <w:rFonts w:ascii="Arial" w:hAnsi="Arial" w:cs="Arial"/>
          <w:lang w:val="en-US"/>
        </w:rPr>
        <w:t xml:space="preserve"> the directors to allot shares (other than if there is only one class of share, as permitted by company law), and (ii) appointing and/or removing directors.</w:t>
      </w:r>
    </w:p>
    <w:p w14:paraId="0F9707B2" w14:textId="7AF4E108" w:rsidR="00731CF7" w:rsidRPr="00AE4A81" w:rsidRDefault="00B21E5E" w:rsidP="00731CF7">
      <w:pPr>
        <w:pStyle w:val="ListParagraph"/>
        <w:ind w:left="1080"/>
        <w:rPr>
          <w:rFonts w:ascii="Arial" w:hAnsi="Arial" w:cs="Arial"/>
          <w:lang w:val="en-US"/>
        </w:rPr>
      </w:pPr>
      <w:r w:rsidRPr="00AE4A81">
        <w:rPr>
          <w:rFonts w:ascii="Arial" w:hAnsi="Arial" w:cs="Arial"/>
          <w:lang w:val="en-US"/>
        </w:rPr>
        <w:t xml:space="preserve"> In this case Joseph </w:t>
      </w:r>
      <w:proofErr w:type="gramStart"/>
      <w:r w:rsidRPr="00AE4A81">
        <w:rPr>
          <w:rFonts w:ascii="Arial" w:hAnsi="Arial" w:cs="Arial"/>
          <w:lang w:val="en-US"/>
        </w:rPr>
        <w:t xml:space="preserve">can </w:t>
      </w:r>
      <w:r w:rsidR="00731CF7" w:rsidRPr="00AE4A81">
        <w:rPr>
          <w:rFonts w:ascii="Arial" w:hAnsi="Arial" w:cs="Arial"/>
          <w:lang w:val="en-US"/>
        </w:rPr>
        <w:t>:</w:t>
      </w:r>
      <w:proofErr w:type="gramEnd"/>
    </w:p>
    <w:p w14:paraId="517D64F6" w14:textId="3E243F23" w:rsidR="00B21E5E" w:rsidRPr="00AE4A81" w:rsidRDefault="00B21E5E" w:rsidP="00731CF7">
      <w:pPr>
        <w:pStyle w:val="ListParagraph"/>
        <w:numPr>
          <w:ilvl w:val="0"/>
          <w:numId w:val="3"/>
        </w:numPr>
        <w:rPr>
          <w:rFonts w:ascii="Arial" w:hAnsi="Arial" w:cs="Arial"/>
          <w:lang w:val="en-US"/>
        </w:rPr>
      </w:pPr>
      <w:r w:rsidRPr="00AE4A81">
        <w:rPr>
          <w:rFonts w:ascii="Arial" w:hAnsi="Arial" w:cs="Arial"/>
          <w:lang w:val="en-US"/>
        </w:rPr>
        <w:t xml:space="preserve">petition to the court to prohibit a public company from being converted to a private </w:t>
      </w:r>
      <w:proofErr w:type="gramStart"/>
      <w:r w:rsidRPr="00AE4A81">
        <w:rPr>
          <w:rFonts w:ascii="Arial" w:hAnsi="Arial" w:cs="Arial"/>
          <w:lang w:val="en-US"/>
        </w:rPr>
        <w:t>business;</w:t>
      </w:r>
      <w:proofErr w:type="gramEnd"/>
      <w:r w:rsidRPr="00AE4A81">
        <w:rPr>
          <w:rFonts w:ascii="Arial" w:hAnsi="Arial" w:cs="Arial"/>
          <w:lang w:val="en-US"/>
        </w:rPr>
        <w:t xml:space="preserve"> </w:t>
      </w:r>
    </w:p>
    <w:p w14:paraId="74F4876E" w14:textId="77777777" w:rsidR="00B21E5E" w:rsidRPr="00AE4A81" w:rsidRDefault="00B21E5E" w:rsidP="00B21E5E">
      <w:pPr>
        <w:pStyle w:val="ListParagraph"/>
        <w:numPr>
          <w:ilvl w:val="0"/>
          <w:numId w:val="3"/>
        </w:numPr>
        <w:rPr>
          <w:rFonts w:ascii="Arial" w:hAnsi="Arial" w:cs="Arial"/>
          <w:lang w:val="en-US"/>
        </w:rPr>
      </w:pPr>
      <w:r w:rsidRPr="00AE4A81">
        <w:rPr>
          <w:rFonts w:ascii="Arial" w:hAnsi="Arial" w:cs="Arial"/>
          <w:lang w:val="en-US"/>
        </w:rPr>
        <w:t>summon a general meeting; force the distribution of a written resolution to shareholders (in private companies</w:t>
      </w:r>
      <w:proofErr w:type="gramStart"/>
      <w:r w:rsidRPr="00AE4A81">
        <w:rPr>
          <w:rFonts w:ascii="Arial" w:hAnsi="Arial" w:cs="Arial"/>
          <w:lang w:val="en-US"/>
        </w:rPr>
        <w:t>);</w:t>
      </w:r>
      <w:proofErr w:type="gramEnd"/>
    </w:p>
    <w:p w14:paraId="06211503" w14:textId="22A6D2DF" w:rsidR="00B21E5E" w:rsidRPr="00AE4A81" w:rsidRDefault="00B21E5E" w:rsidP="00B21E5E">
      <w:pPr>
        <w:pStyle w:val="ListParagraph"/>
        <w:numPr>
          <w:ilvl w:val="0"/>
          <w:numId w:val="3"/>
        </w:numPr>
        <w:rPr>
          <w:rFonts w:ascii="Arial" w:hAnsi="Arial" w:cs="Arial"/>
          <w:lang w:val="en-US"/>
        </w:rPr>
      </w:pPr>
      <w:r w:rsidRPr="00AE4A81">
        <w:rPr>
          <w:rFonts w:ascii="Arial" w:hAnsi="Arial" w:cs="Arial"/>
          <w:lang w:val="en-US"/>
        </w:rPr>
        <w:t xml:space="preserve"> and require the passage of a resolution at a public company's annual general meeting (AGM). the authority to convene a poll vote on a resolution.</w:t>
      </w:r>
    </w:p>
    <w:p w14:paraId="3E2FC851" w14:textId="77777777" w:rsidR="00B21E5E" w:rsidRPr="00AE4A81" w:rsidRDefault="00B21E5E" w:rsidP="00B21E5E">
      <w:pPr>
        <w:pStyle w:val="ListParagraph"/>
        <w:numPr>
          <w:ilvl w:val="0"/>
          <w:numId w:val="3"/>
        </w:numPr>
        <w:rPr>
          <w:rFonts w:ascii="Arial" w:hAnsi="Arial" w:cs="Arial"/>
          <w:lang w:val="en-US"/>
        </w:rPr>
      </w:pPr>
      <w:r w:rsidRPr="00AE4A81">
        <w:rPr>
          <w:rFonts w:ascii="Arial" w:hAnsi="Arial" w:cs="Arial"/>
          <w:lang w:val="en-US"/>
        </w:rPr>
        <w:t>right to obstruct the convening of a meeting on short notice (in private companies).</w:t>
      </w:r>
    </w:p>
    <w:p w14:paraId="2B7E1768" w14:textId="63FC7FAB" w:rsidR="00B21E5E" w:rsidRPr="00AE4A81" w:rsidRDefault="00B21E5E" w:rsidP="00B21E5E">
      <w:pPr>
        <w:pStyle w:val="ListParagraph"/>
        <w:numPr>
          <w:ilvl w:val="0"/>
          <w:numId w:val="3"/>
        </w:numPr>
        <w:rPr>
          <w:rFonts w:ascii="Arial" w:hAnsi="Arial" w:cs="Arial"/>
          <w:lang w:val="en-US"/>
        </w:rPr>
      </w:pPr>
      <w:r w:rsidRPr="00AE4A81">
        <w:rPr>
          <w:rFonts w:ascii="Arial" w:hAnsi="Arial" w:cs="Arial"/>
          <w:lang w:val="en-US"/>
        </w:rPr>
        <w:t>right to petition the court to have a modification of class rights cancelled if such shareholders did not consent to or vote for the variation.</w:t>
      </w:r>
    </w:p>
    <w:p w14:paraId="3FDA29F2" w14:textId="77777777" w:rsidR="00B21E5E" w:rsidRPr="00B21E5E" w:rsidRDefault="00B21E5E" w:rsidP="00B21E5E">
      <w:pPr>
        <w:numPr>
          <w:ilvl w:val="0"/>
          <w:numId w:val="3"/>
        </w:numPr>
        <w:shd w:val="clear" w:color="auto" w:fill="FFFFFF"/>
        <w:spacing w:before="100" w:beforeAutospacing="1" w:after="100" w:afterAutospacing="1" w:line="240" w:lineRule="auto"/>
        <w:rPr>
          <w:rFonts w:ascii="Arial" w:eastAsia="Times New Roman" w:hAnsi="Arial" w:cs="Arial"/>
          <w:color w:val="5B5560"/>
          <w:lang w:eastAsia="en-GB"/>
        </w:rPr>
      </w:pPr>
      <w:r w:rsidRPr="00B21E5E">
        <w:rPr>
          <w:rFonts w:ascii="Arial" w:eastAsia="Times New Roman" w:hAnsi="Arial" w:cs="Arial"/>
          <w:color w:val="5B5560"/>
          <w:lang w:eastAsia="en-GB"/>
        </w:rPr>
        <w:t xml:space="preserve">amending the company’s articles of </w:t>
      </w:r>
      <w:proofErr w:type="gramStart"/>
      <w:r w:rsidRPr="00B21E5E">
        <w:rPr>
          <w:rFonts w:ascii="Arial" w:eastAsia="Times New Roman" w:hAnsi="Arial" w:cs="Arial"/>
          <w:color w:val="5B5560"/>
          <w:lang w:eastAsia="en-GB"/>
        </w:rPr>
        <w:t>association;</w:t>
      </w:r>
      <w:proofErr w:type="gramEnd"/>
    </w:p>
    <w:p w14:paraId="2F88071A" w14:textId="77777777" w:rsidR="00B21E5E" w:rsidRPr="00B21E5E" w:rsidRDefault="00B21E5E" w:rsidP="00B21E5E">
      <w:pPr>
        <w:numPr>
          <w:ilvl w:val="0"/>
          <w:numId w:val="3"/>
        </w:numPr>
        <w:shd w:val="clear" w:color="auto" w:fill="FFFFFF"/>
        <w:spacing w:before="100" w:beforeAutospacing="1" w:after="100" w:afterAutospacing="1" w:line="240" w:lineRule="auto"/>
        <w:rPr>
          <w:rFonts w:ascii="Arial" w:eastAsia="Times New Roman" w:hAnsi="Arial" w:cs="Arial"/>
          <w:color w:val="5B5560"/>
          <w:lang w:eastAsia="en-GB"/>
        </w:rPr>
      </w:pPr>
      <w:r w:rsidRPr="00B21E5E">
        <w:rPr>
          <w:rFonts w:ascii="Arial" w:eastAsia="Times New Roman" w:hAnsi="Arial" w:cs="Arial"/>
          <w:color w:val="5B5560"/>
          <w:lang w:eastAsia="en-GB"/>
        </w:rPr>
        <w:t>disapplying statutory pre-emption rights on a new share issue; and</w:t>
      </w:r>
    </w:p>
    <w:p w14:paraId="1085304A" w14:textId="77777777" w:rsidR="00B21E5E" w:rsidRPr="00B21E5E" w:rsidRDefault="00B21E5E" w:rsidP="00B21E5E">
      <w:pPr>
        <w:numPr>
          <w:ilvl w:val="0"/>
          <w:numId w:val="3"/>
        </w:numPr>
        <w:shd w:val="clear" w:color="auto" w:fill="FFFFFF"/>
        <w:spacing w:before="100" w:beforeAutospacing="1" w:after="100" w:afterAutospacing="1" w:line="240" w:lineRule="auto"/>
        <w:rPr>
          <w:rFonts w:ascii="Arial" w:eastAsia="Times New Roman" w:hAnsi="Arial" w:cs="Arial"/>
          <w:color w:val="5B5560"/>
          <w:lang w:eastAsia="en-GB"/>
        </w:rPr>
      </w:pPr>
      <w:r w:rsidRPr="00B21E5E">
        <w:rPr>
          <w:rFonts w:ascii="Arial" w:eastAsia="Times New Roman" w:hAnsi="Arial" w:cs="Arial"/>
          <w:color w:val="5B5560"/>
          <w:lang w:eastAsia="en-GB"/>
        </w:rPr>
        <w:t>approving the purchase of a company’s own shares out of capital</w:t>
      </w:r>
    </w:p>
    <w:p w14:paraId="6E6956C9" w14:textId="3F3546B2" w:rsidR="00731CF7" w:rsidRPr="00AE4A81" w:rsidRDefault="00731CF7" w:rsidP="00731CF7">
      <w:pPr>
        <w:rPr>
          <w:rFonts w:ascii="Arial" w:hAnsi="Arial" w:cs="Arial"/>
          <w:lang w:val="en-US"/>
        </w:rPr>
      </w:pPr>
      <w:r w:rsidRPr="00AE4A81">
        <w:rPr>
          <w:rFonts w:ascii="Arial" w:hAnsi="Arial" w:cs="Arial"/>
          <w:lang w:val="en-US"/>
        </w:rPr>
        <w:t xml:space="preserve">Question </w:t>
      </w:r>
      <w:proofErr w:type="gramStart"/>
      <w:r w:rsidRPr="00AE4A81">
        <w:rPr>
          <w:rFonts w:ascii="Arial" w:hAnsi="Arial" w:cs="Arial"/>
          <w:lang w:val="en-US"/>
        </w:rPr>
        <w:t>4 :</w:t>
      </w:r>
      <w:proofErr w:type="gramEnd"/>
    </w:p>
    <w:p w14:paraId="25437124" w14:textId="77777777" w:rsidR="00731CF7" w:rsidRPr="00AE4A81" w:rsidRDefault="00731CF7" w:rsidP="00731CF7">
      <w:pPr>
        <w:rPr>
          <w:rFonts w:ascii="Arial" w:hAnsi="Arial" w:cs="Arial"/>
          <w:lang w:val="en-US"/>
        </w:rPr>
      </w:pPr>
      <w:r w:rsidRPr="00AE4A81">
        <w:rPr>
          <w:rFonts w:ascii="Arial" w:hAnsi="Arial" w:cs="Arial"/>
          <w:lang w:val="en-US"/>
        </w:rPr>
        <w:t xml:space="preserve">Fixed and floating charges are used to protect a business's borrowing. This type of borrowing is frequently made pursuant to the provisions of a company-issued debenture. A fixed charge is a charge or mortgage secured against specific property, such as land and buildings, a ship, machinery, or stock, as well as intellectual property such as copyrights, patents, and </w:t>
      </w:r>
      <w:proofErr w:type="gramStart"/>
      <w:r w:rsidRPr="00AE4A81">
        <w:rPr>
          <w:rFonts w:ascii="Arial" w:hAnsi="Arial" w:cs="Arial"/>
          <w:lang w:val="en-US"/>
        </w:rPr>
        <w:t>trade marks</w:t>
      </w:r>
      <w:proofErr w:type="gramEnd"/>
      <w:r w:rsidRPr="00AE4A81">
        <w:rPr>
          <w:rFonts w:ascii="Arial" w:hAnsi="Arial" w:cs="Arial"/>
          <w:lang w:val="en-US"/>
        </w:rPr>
        <w:t>.</w:t>
      </w:r>
    </w:p>
    <w:p w14:paraId="27583AFC" w14:textId="77777777" w:rsidR="00731CF7" w:rsidRPr="00AE4A81" w:rsidRDefault="00731CF7" w:rsidP="00731CF7">
      <w:pPr>
        <w:rPr>
          <w:rFonts w:ascii="Arial" w:hAnsi="Arial" w:cs="Arial"/>
          <w:lang w:val="en-US"/>
        </w:rPr>
      </w:pPr>
    </w:p>
    <w:p w14:paraId="79E5EC8F" w14:textId="3E293F86" w:rsidR="00731CF7" w:rsidRPr="00AE4A81" w:rsidRDefault="00731CF7" w:rsidP="00731CF7">
      <w:pPr>
        <w:rPr>
          <w:rFonts w:ascii="Arial" w:hAnsi="Arial" w:cs="Arial"/>
          <w:lang w:val="en-US"/>
        </w:rPr>
      </w:pPr>
      <w:r w:rsidRPr="00AE4A81">
        <w:rPr>
          <w:rFonts w:ascii="Arial" w:hAnsi="Arial" w:cs="Arial"/>
          <w:lang w:val="en-US"/>
        </w:rPr>
        <w:t xml:space="preserve">A floating charge is a sort of security that is accessible solely to businesses. It is an equitable charge on (typically) </w:t>
      </w:r>
      <w:proofErr w:type="gramStart"/>
      <w:r w:rsidRPr="00AE4A81">
        <w:rPr>
          <w:rFonts w:ascii="Arial" w:hAnsi="Arial" w:cs="Arial"/>
          <w:lang w:val="en-US"/>
        </w:rPr>
        <w:t>all of</w:t>
      </w:r>
      <w:proofErr w:type="gramEnd"/>
      <w:r w:rsidRPr="00AE4A81">
        <w:rPr>
          <w:rFonts w:ascii="Arial" w:hAnsi="Arial" w:cs="Arial"/>
          <w:lang w:val="en-US"/>
        </w:rPr>
        <w:t xml:space="preserve"> the firm's current and future assets, on terms that permit the corporation to deal with the assets in the ordinary course of business. Occasionally, a charge is brought against only a subset of the company's assets, such as its shares. The floating charge is advantageous for many businesses because it enables them to borrow money even if they lack specified assets, such as freehold premises, to pledge as security. A floating charge enables the charging of </w:t>
      </w:r>
      <w:proofErr w:type="gramStart"/>
      <w:r w:rsidRPr="00AE4A81">
        <w:rPr>
          <w:rFonts w:ascii="Arial" w:hAnsi="Arial" w:cs="Arial"/>
          <w:lang w:val="en-US"/>
        </w:rPr>
        <w:t>all of</w:t>
      </w:r>
      <w:proofErr w:type="gramEnd"/>
      <w:r w:rsidRPr="00AE4A81">
        <w:rPr>
          <w:rFonts w:ascii="Arial" w:hAnsi="Arial" w:cs="Arial"/>
          <w:lang w:val="en-US"/>
        </w:rPr>
        <w:t xml:space="preserve"> the company's assets, including stock in trade, equipment and machinery, and vehicles.</w:t>
      </w:r>
      <w:r w:rsidR="00D96A93" w:rsidRPr="00AE4A81">
        <w:rPr>
          <w:rFonts w:ascii="Arial" w:hAnsi="Arial" w:cs="Arial"/>
          <w:lang w:val="en-US"/>
        </w:rPr>
        <w:t xml:space="preserve"> </w:t>
      </w:r>
      <w:r w:rsidR="00D96A93" w:rsidRPr="00AE4A81">
        <w:rPr>
          <w:rFonts w:ascii="Arial" w:hAnsi="Arial" w:cs="Arial"/>
          <w:lang w:val="en-US"/>
        </w:rPr>
        <w:t xml:space="preserve">The floating charge is unique in that the business </w:t>
      </w:r>
      <w:r w:rsidR="00D96A93" w:rsidRPr="00AE4A81">
        <w:rPr>
          <w:rFonts w:ascii="Arial" w:hAnsi="Arial" w:cs="Arial"/>
          <w:lang w:val="en-US"/>
        </w:rPr>
        <w:lastRenderedPageBreak/>
        <w:t>can continue to use the assets and purchase and sell them in the normal course of business. Thus, it can trade with its stock, sell and replace plant and machinery, and so on, without obtaining additional approval from the mortgagee. The charge is said to float over the charged assets rather than being fixed on any one one of them. This procedure is repeated until the charge'crystallizes,' as specified in the debenture. This includes any breach of loan terms (non-payment, for example), as well as if the business enters liquidation or ceases to trade.</w:t>
      </w:r>
    </w:p>
    <w:p w14:paraId="4F76BEF0" w14:textId="1CB1A5E8" w:rsidR="00077ED3" w:rsidRPr="00AE4A81" w:rsidRDefault="00077ED3" w:rsidP="00077ED3">
      <w:pPr>
        <w:pStyle w:val="ListParagraph"/>
        <w:numPr>
          <w:ilvl w:val="0"/>
          <w:numId w:val="5"/>
        </w:numPr>
        <w:rPr>
          <w:rFonts w:ascii="Arial" w:hAnsi="Arial" w:cs="Arial"/>
          <w:lang w:val="en-US"/>
        </w:rPr>
      </w:pPr>
      <w:r w:rsidRPr="00AE4A81">
        <w:rPr>
          <w:rFonts w:ascii="Arial" w:hAnsi="Arial" w:cs="Arial"/>
          <w:lang w:val="en-US"/>
        </w:rPr>
        <w:t>Transaction at undervalue s238 – within 2 years</w:t>
      </w:r>
    </w:p>
    <w:p w14:paraId="66366742" w14:textId="6632E2A4" w:rsidR="00077ED3" w:rsidRPr="00AE4A81" w:rsidRDefault="00077ED3" w:rsidP="00077ED3">
      <w:pPr>
        <w:pStyle w:val="ListParagraph"/>
        <w:numPr>
          <w:ilvl w:val="0"/>
          <w:numId w:val="5"/>
        </w:numPr>
        <w:rPr>
          <w:rFonts w:ascii="Arial" w:hAnsi="Arial" w:cs="Arial"/>
          <w:lang w:val="en-US"/>
        </w:rPr>
      </w:pPr>
      <w:r w:rsidRPr="00AE4A81">
        <w:rPr>
          <w:rFonts w:ascii="Arial" w:hAnsi="Arial" w:cs="Arial"/>
          <w:lang w:val="en-US"/>
        </w:rPr>
        <w:t>Undervalue</w:t>
      </w:r>
    </w:p>
    <w:p w14:paraId="492DA3BD" w14:textId="37A58620" w:rsidR="00077ED3" w:rsidRPr="00AE4A81" w:rsidRDefault="00077ED3" w:rsidP="00077ED3">
      <w:pPr>
        <w:pStyle w:val="ListParagraph"/>
        <w:numPr>
          <w:ilvl w:val="0"/>
          <w:numId w:val="5"/>
        </w:numPr>
        <w:rPr>
          <w:rFonts w:ascii="Arial" w:hAnsi="Arial" w:cs="Arial"/>
          <w:lang w:val="en-US"/>
        </w:rPr>
      </w:pPr>
      <w:r w:rsidRPr="00AE4A81">
        <w:rPr>
          <w:rFonts w:ascii="Arial" w:hAnsi="Arial" w:cs="Arial"/>
          <w:lang w:val="en-US"/>
        </w:rPr>
        <w:t>Transaction defrauding creditors s423 IA – not time limit</w:t>
      </w:r>
    </w:p>
    <w:p w14:paraId="452648DD" w14:textId="5E3B6148" w:rsidR="00077ED3" w:rsidRPr="00AE4A81" w:rsidRDefault="00077ED3" w:rsidP="00077ED3">
      <w:pPr>
        <w:pStyle w:val="ListParagraph"/>
        <w:numPr>
          <w:ilvl w:val="0"/>
          <w:numId w:val="5"/>
        </w:numPr>
        <w:rPr>
          <w:rFonts w:ascii="Arial" w:hAnsi="Arial" w:cs="Arial"/>
          <w:lang w:val="en-US"/>
        </w:rPr>
      </w:pPr>
      <w:r w:rsidRPr="00AE4A81">
        <w:rPr>
          <w:rFonts w:ascii="Arial" w:hAnsi="Arial" w:cs="Arial"/>
          <w:lang w:val="en-US"/>
        </w:rPr>
        <w:t>Voidable preference s239</w:t>
      </w:r>
    </w:p>
    <w:p w14:paraId="270FFEF8" w14:textId="0AC2FB02" w:rsidR="00077ED3" w:rsidRPr="00AE4A81" w:rsidRDefault="00AE4A81" w:rsidP="00AE4A81">
      <w:pPr>
        <w:pStyle w:val="ListParagraph"/>
        <w:ind w:left="1080"/>
        <w:rPr>
          <w:rFonts w:ascii="Arial" w:hAnsi="Arial" w:cs="Arial"/>
          <w:lang w:val="en-US"/>
        </w:rPr>
      </w:pPr>
      <w:r w:rsidRPr="00AE4A81">
        <w:rPr>
          <w:rFonts w:ascii="Arial" w:hAnsi="Arial" w:cs="Arial"/>
          <w:lang w:val="en-US"/>
        </w:rPr>
        <w:t>Connected person time limit is 24 months</w:t>
      </w:r>
    </w:p>
    <w:p w14:paraId="75243139" w14:textId="7585DF4A" w:rsidR="00AE4A81" w:rsidRPr="00AE4A81" w:rsidRDefault="00AE4A81" w:rsidP="00AE4A81">
      <w:pPr>
        <w:pStyle w:val="ListParagraph"/>
        <w:ind w:left="1080"/>
        <w:rPr>
          <w:rFonts w:ascii="Arial" w:hAnsi="Arial" w:cs="Arial"/>
          <w:lang w:val="en-US"/>
        </w:rPr>
      </w:pPr>
      <w:r w:rsidRPr="00AE4A81">
        <w:rPr>
          <w:rFonts w:ascii="Arial" w:hAnsi="Arial" w:cs="Arial"/>
          <w:lang w:val="en-US"/>
        </w:rPr>
        <w:t>Non connected – 6 months</w:t>
      </w:r>
    </w:p>
    <w:p w14:paraId="48B6D9EA" w14:textId="65339AF1" w:rsidR="00AE4A81" w:rsidRPr="00AE4A81" w:rsidRDefault="00AE4A81" w:rsidP="002E28F9">
      <w:pPr>
        <w:pStyle w:val="ListParagraph"/>
        <w:numPr>
          <w:ilvl w:val="0"/>
          <w:numId w:val="6"/>
        </w:numPr>
        <w:rPr>
          <w:rFonts w:ascii="Arial" w:hAnsi="Arial" w:cs="Arial"/>
          <w:lang w:val="en-US"/>
        </w:rPr>
      </w:pPr>
      <w:r w:rsidRPr="00AE4A81">
        <w:rPr>
          <w:rFonts w:ascii="Arial" w:hAnsi="Arial" w:cs="Arial"/>
          <w:lang w:val="en-US"/>
        </w:rPr>
        <w:t>Floating charges s245 IA 1986</w:t>
      </w:r>
    </w:p>
    <w:p w14:paraId="07CBEF8A" w14:textId="2BF9F3C7" w:rsidR="00AE4A81" w:rsidRPr="00AE4A81" w:rsidRDefault="00AE4A81" w:rsidP="00AE4A81">
      <w:pPr>
        <w:pStyle w:val="ListParagraph"/>
        <w:ind w:left="1080"/>
        <w:rPr>
          <w:rFonts w:ascii="Arial" w:hAnsi="Arial" w:cs="Arial"/>
          <w:lang w:val="en-US"/>
        </w:rPr>
      </w:pPr>
      <w:r w:rsidRPr="00AE4A81">
        <w:rPr>
          <w:rFonts w:ascii="Arial" w:hAnsi="Arial" w:cs="Arial"/>
          <w:lang w:val="en-US"/>
        </w:rPr>
        <w:t xml:space="preserve">Connected person – invalid if made within 2 years </w:t>
      </w:r>
    </w:p>
    <w:p w14:paraId="2F09F5D5" w14:textId="6E06E9E6" w:rsidR="00AE4A81" w:rsidRPr="00AE4A81" w:rsidRDefault="00AE4A81" w:rsidP="00AE4A81">
      <w:pPr>
        <w:pStyle w:val="ListParagraph"/>
        <w:ind w:left="1080"/>
        <w:rPr>
          <w:rFonts w:ascii="Arial" w:hAnsi="Arial" w:cs="Arial"/>
          <w:lang w:val="en-US"/>
        </w:rPr>
      </w:pPr>
      <w:r w:rsidRPr="00AE4A81">
        <w:rPr>
          <w:rFonts w:ascii="Arial" w:hAnsi="Arial" w:cs="Arial"/>
          <w:lang w:val="en-US"/>
        </w:rPr>
        <w:t>Non connected – 12 months</w:t>
      </w:r>
    </w:p>
    <w:p w14:paraId="7CC579F5" w14:textId="73289E4F" w:rsidR="00AE4A81" w:rsidRPr="00AE4A81" w:rsidRDefault="00AE4A81" w:rsidP="00AE4A81">
      <w:pPr>
        <w:pStyle w:val="ListParagraph"/>
        <w:numPr>
          <w:ilvl w:val="0"/>
          <w:numId w:val="6"/>
        </w:numPr>
        <w:rPr>
          <w:rFonts w:ascii="Arial" w:hAnsi="Arial" w:cs="Arial"/>
          <w:lang w:val="en-US"/>
        </w:rPr>
      </w:pPr>
      <w:r w:rsidRPr="00AE4A81">
        <w:rPr>
          <w:rFonts w:ascii="Arial" w:hAnsi="Arial" w:cs="Arial"/>
          <w:lang w:val="en-US"/>
        </w:rPr>
        <w:t>Insolvency proceedings</w:t>
      </w:r>
    </w:p>
    <w:sectPr w:rsidR="00AE4A81" w:rsidRPr="00AE4A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F5560"/>
    <w:multiLevelType w:val="hybridMultilevel"/>
    <w:tmpl w:val="7DC8CD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8E7897"/>
    <w:multiLevelType w:val="hybridMultilevel"/>
    <w:tmpl w:val="ED84931A"/>
    <w:lvl w:ilvl="0" w:tplc="09C87BE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98709D2"/>
    <w:multiLevelType w:val="hybridMultilevel"/>
    <w:tmpl w:val="E3BE9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9828A2"/>
    <w:multiLevelType w:val="multilevel"/>
    <w:tmpl w:val="04D6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D80F85"/>
    <w:multiLevelType w:val="hybridMultilevel"/>
    <w:tmpl w:val="23109FFE"/>
    <w:lvl w:ilvl="0" w:tplc="7674C4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C4A82"/>
    <w:multiLevelType w:val="hybridMultilevel"/>
    <w:tmpl w:val="601C91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2D"/>
    <w:rsid w:val="00077ED3"/>
    <w:rsid w:val="000C1E0C"/>
    <w:rsid w:val="0018012D"/>
    <w:rsid w:val="001D0110"/>
    <w:rsid w:val="00263312"/>
    <w:rsid w:val="003233DC"/>
    <w:rsid w:val="00731CF7"/>
    <w:rsid w:val="008D2B0A"/>
    <w:rsid w:val="009E69E2"/>
    <w:rsid w:val="00AA1DC0"/>
    <w:rsid w:val="00AE4A81"/>
    <w:rsid w:val="00B21E5E"/>
    <w:rsid w:val="00B470B7"/>
    <w:rsid w:val="00CD03D4"/>
    <w:rsid w:val="00D96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2699"/>
  <w15:chartTrackingRefBased/>
  <w15:docId w15:val="{D8470A24-F488-429A-9332-0EE8A02C8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0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2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1114</Words>
  <Characters>6352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Ivanova (2022864)</dc:creator>
  <cp:keywords/>
  <dc:description/>
  <cp:lastModifiedBy>Yordanka Ivanova (2022864)</cp:lastModifiedBy>
  <cp:revision>2</cp:revision>
  <dcterms:created xsi:type="dcterms:W3CDTF">2022-01-10T09:55:00Z</dcterms:created>
  <dcterms:modified xsi:type="dcterms:W3CDTF">2022-01-10T12:01:00Z</dcterms:modified>
</cp:coreProperties>
</file>