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C6031" w14:textId="61C21B3B" w:rsidR="000626EA" w:rsidRPr="000626EA" w:rsidRDefault="000626EA" w:rsidP="00582524">
      <w:pPr>
        <w:jc w:val="both"/>
        <w:rPr>
          <w:b/>
          <w:bCs/>
          <w:u w:val="single"/>
        </w:rPr>
      </w:pPr>
      <w:r w:rsidRPr="000626EA">
        <w:rPr>
          <w:b/>
          <w:bCs/>
          <w:u w:val="single"/>
          <w:lang w:val="en-US"/>
        </w:rPr>
        <w:t xml:space="preserve">5HR01 </w:t>
      </w:r>
      <w:r w:rsidRPr="000626EA">
        <w:rPr>
          <w:rFonts w:eastAsia="Trebuchet MS"/>
          <w:b/>
          <w:bCs/>
          <w:u w:val="single"/>
          <w:lang w:val="en-US"/>
        </w:rPr>
        <w:br/>
      </w:r>
      <w:r w:rsidRPr="000626EA">
        <w:rPr>
          <w:b/>
          <w:bCs/>
          <w:u w:val="single"/>
          <w:lang w:val="en-US"/>
        </w:rPr>
        <w:t>Employment relationship management</w:t>
      </w:r>
    </w:p>
    <w:p w14:paraId="33BFD7AF" w14:textId="77777777" w:rsidR="000626EA" w:rsidRDefault="000626EA" w:rsidP="00582524">
      <w:pPr>
        <w:jc w:val="both"/>
        <w:rPr>
          <w:b/>
          <w:bCs/>
        </w:rPr>
      </w:pPr>
    </w:p>
    <w:p w14:paraId="7E5086FA" w14:textId="77777777" w:rsidR="00230E6E" w:rsidRPr="00230E6E" w:rsidRDefault="00230E6E" w:rsidP="00230E6E">
      <w:pPr>
        <w:jc w:val="both"/>
      </w:pPr>
      <w:r w:rsidRPr="00230E6E">
        <w:t>1. (AC 1.1)</w:t>
      </w:r>
    </w:p>
    <w:p w14:paraId="7257167C" w14:textId="77777777" w:rsidR="00230E6E" w:rsidRPr="00230E6E" w:rsidRDefault="00230E6E" w:rsidP="00230E6E">
      <w:pPr>
        <w:jc w:val="both"/>
      </w:pPr>
      <w:r w:rsidRPr="00230E6E">
        <w:t xml:space="preserve">Employee voice involves making sure employees have opportunities to express their views, raise concerns and offer ideas that affect their work. Two important approaches are employee involvement and employee participation. While both seek to strengthen communication between employers and employees, they differ in the extent of employees' influence over workplace decisions (Marchington </w:t>
      </w:r>
      <w:r w:rsidRPr="00230E6E">
        <w:rPr>
          <w:i/>
          <w:iCs/>
        </w:rPr>
        <w:t>et al</w:t>
      </w:r>
      <w:r w:rsidRPr="00230E6E">
        <w:t>., 2025).</w:t>
      </w:r>
    </w:p>
    <w:p w14:paraId="12068205" w14:textId="77777777" w:rsidR="00230E6E" w:rsidRPr="00230E6E" w:rsidRDefault="00230E6E" w:rsidP="00230E6E">
      <w:pPr>
        <w:jc w:val="both"/>
      </w:pPr>
      <w:r w:rsidRPr="00230E6E">
        <w:t>Employee involvement refers to employees being informed, consulted and encouraged to share feedback, while management retains responsibility for making decisions. In the AnchorBridge case study, examples include the annual voice survey, the suggestion scheme, the whistleblowing hotline and the ‘Quiz Liz’ platform. These channels allow employees to have their say and be listened to, but management ultimately decides what action, if any, will be taken. This shows a relatively direct and informal method of voice.</w:t>
      </w:r>
    </w:p>
    <w:p w14:paraId="1EB6ADBE" w14:textId="77777777" w:rsidR="00230E6E" w:rsidRPr="00230E6E" w:rsidRDefault="00230E6E" w:rsidP="00230E6E">
      <w:pPr>
        <w:jc w:val="both"/>
      </w:pPr>
      <w:r w:rsidRPr="00230E6E">
        <w:t>In comparison, employee participation involves employees having a greater degree of influence through representative structures. Participation is often deeper because employees are involved collectively in discussions before decisions are made. The work’s council, known as ‘The Bridge’, is a good example. Employee representatives, known as ‘Bridgers’, meet with management to discuss organisational strategy, health and safety and people policies. Through this arrangement, employees have a more structured opportunity to influence matters that affect the workforce.</w:t>
      </w:r>
    </w:p>
    <w:p w14:paraId="61342724" w14:textId="77777777" w:rsidR="00230E6E" w:rsidRPr="00230E6E" w:rsidRDefault="00230E6E" w:rsidP="00230E6E">
      <w:pPr>
        <w:jc w:val="both"/>
      </w:pPr>
      <w:r w:rsidRPr="00230E6E">
        <w:t xml:space="preserve">The differences between involvement and participation can also be linked to employment relations theories. Employee involvement is closely associated with the unitarist perspective, which assumes that managers and employees largely share common goals and that good communication benefits everyone. By contrast, employee participation expresses a pluralist view, recognising that different groups within an organisation may have competing interests that require consultation and dialogue (Wilkinson </w:t>
      </w:r>
      <w:r w:rsidRPr="00230E6E">
        <w:rPr>
          <w:i/>
          <w:iCs/>
        </w:rPr>
        <w:t>et al</w:t>
      </w:r>
      <w:r w:rsidRPr="00230E6E">
        <w:t>., 2004). Employees' dissatisfaction with the 3% pay increase demonstrates this. Workers want the issue discussed through ‘The Bridge’, but because pay falls outside its remit, some employees feel their concerns are not being properly represented.</w:t>
      </w:r>
    </w:p>
    <w:p w14:paraId="28CE771B" w14:textId="77777777" w:rsidR="00230E6E" w:rsidRPr="00230E6E" w:rsidRDefault="00230E6E" w:rsidP="00230E6E">
      <w:pPr>
        <w:jc w:val="both"/>
      </w:pPr>
      <w:r w:rsidRPr="00230E6E">
        <w:t>Both approaches can help build positive employment relationships by increasing trust, openness and engagement. If employees feel listened to, they are more likely to feel respected and driven to contribute to organisational success (CIPD, 2024). However, the case study also shows the consequences when voice is perceived as ineffective. Frustration over pay and perceived unfairness has led to resentment, misuse of sickness absence and the unauthorised removal of cleaning products. If people feel their voice is falling on deaf ears, trust can quickly wear thin. Therefore, effective involvement and participation are key for positive employment relationships and workplaces.</w:t>
      </w:r>
    </w:p>
    <w:p w14:paraId="13BC1749" w14:textId="77777777" w:rsidR="00230E6E" w:rsidRPr="00230E6E" w:rsidRDefault="00230E6E" w:rsidP="00230E6E">
      <w:pPr>
        <w:jc w:val="both"/>
      </w:pPr>
      <w:r w:rsidRPr="00230E6E">
        <w:lastRenderedPageBreak/>
        <w:t>2. (AC 1.2)</w:t>
      </w:r>
    </w:p>
    <w:p w14:paraId="31D60225" w14:textId="77777777" w:rsidR="00230E6E" w:rsidRPr="00230E6E" w:rsidRDefault="00230E6E" w:rsidP="00230E6E">
      <w:pPr>
        <w:jc w:val="both"/>
      </w:pPr>
      <w:r w:rsidRPr="00230E6E">
        <w:t xml:space="preserve">Employee representation provides employees with a collective means of expressing their views and influencing workplace decisions. Representation can be either union-based or non-union based, and while both support employee voice, they differ in their independence, purpose and level of influence (Marchington </w:t>
      </w:r>
      <w:r w:rsidRPr="00230E6E">
        <w:rPr>
          <w:i/>
          <w:iCs/>
        </w:rPr>
        <w:t>et al</w:t>
      </w:r>
      <w:r w:rsidRPr="00230E6E">
        <w:t>., 2025).</w:t>
      </w:r>
    </w:p>
    <w:p w14:paraId="7A1D08E0" w14:textId="77777777" w:rsidR="00230E6E" w:rsidRPr="00230E6E" w:rsidRDefault="00230E6E" w:rsidP="00230E6E">
      <w:pPr>
        <w:jc w:val="both"/>
      </w:pPr>
      <w:r w:rsidRPr="00230E6E">
        <w:t>In the AnchorBridge case study, ‘The Bridge’ is an example of a non-union representation mechanism. As a works council, it allows employee representatives (‘Bridgers’) to meet with management and discuss organisational strategy, health and safety issues, and people policies. Other examples of non-union representation include staff councils and employee forums. These arrangements are usually started by the employer to encourage consultation, communication and employee engagement. They can help develop positive relationships by giving employees an opportunity to raise concerns and share ideas before decisions are implemented.</w:t>
      </w:r>
    </w:p>
    <w:p w14:paraId="46EA657F" w14:textId="77777777" w:rsidR="00230E6E" w:rsidRPr="00230E6E" w:rsidRDefault="00230E6E" w:rsidP="00230E6E">
      <w:pPr>
        <w:jc w:val="both"/>
      </w:pPr>
      <w:r w:rsidRPr="00230E6E">
        <w:t>By contrast, trade unions are independent organisations that represent employees collectively and separately from management. Union representatives may negotiate with employers through collective bargaining or joint negotiation committees on matters such as pay, working conditions and contractual changes. This independence often gives unions greater credibility among employees because they are perceived as acting solely in the workforce's interests rather than balancing employee and organisational priorities.</w:t>
      </w:r>
    </w:p>
    <w:p w14:paraId="538EAFE6" w14:textId="7A70F853" w:rsidR="009C60B8" w:rsidRPr="009C60B8" w:rsidRDefault="00230E6E" w:rsidP="009C60B8">
      <w:pPr>
        <w:jc w:val="both"/>
      </w:pPr>
      <w:r w:rsidRPr="00230E6E">
        <w:t>There are some similarities between union and non-union representation. Both provide employees with a collective voice, offer a means for consultation and communication, and can help identify workplace concerns before they develop into more serious disputes. Both methods can also improve trust and employee engagement when workers feel their views are actually considered.</w:t>
      </w:r>
      <w:r w:rsidR="009C60B8" w:rsidRPr="009C60B8">
        <w:rPr>
          <w:rFonts w:ascii="Segoe UI" w:eastAsia="Times New Roman" w:hAnsi="Segoe UI" w:cs="Segoe UI"/>
          <w:kern w:val="0"/>
          <w:sz w:val="21"/>
          <w:szCs w:val="21"/>
          <w:lang w:eastAsia="en-GB"/>
          <w14:ligatures w14:val="none"/>
        </w:rPr>
        <w:t xml:space="preserve"> </w:t>
      </w:r>
      <w:r w:rsidR="009C60B8" w:rsidRPr="009C60B8">
        <w:t>Union and non-union representation mechanisms, alongside strong senior leadership teamwork, can work together to support employee voice and act in the greater good of the company.</w:t>
      </w:r>
    </w:p>
    <w:p w14:paraId="47684B40" w14:textId="77777777" w:rsidR="00230E6E" w:rsidRPr="00230E6E" w:rsidRDefault="00230E6E" w:rsidP="00230E6E">
      <w:pPr>
        <w:jc w:val="both"/>
      </w:pPr>
      <w:r w:rsidRPr="00230E6E">
        <w:t>However, there are important differences in their power and influence. Non-union bodies are often consultative, and their remit may be determined by management. This is clear in the case study where pay is specifically excluded from discussions at ‘The Bridge’. As a result, employees dissatisfied with the 3% pay increase have limited opportunities to challenge or influence that decision. This may explain some of the frustration and resentment emerging among the workforce.</w:t>
      </w:r>
    </w:p>
    <w:p w14:paraId="071BAF0B" w14:textId="77777777" w:rsidR="00230E6E" w:rsidRPr="00230E6E" w:rsidRDefault="00230E6E" w:rsidP="00230E6E">
      <w:pPr>
        <w:jc w:val="both"/>
      </w:pPr>
      <w:r w:rsidRPr="00230E6E">
        <w:t>Trade unions generally possess greater bargaining power because they can negotiate collectively on behalf of employees and, where necessary, organise industrial action in support of their members. Consequently, they may be more effective at addressing issues relating to pay and conditions than non-union forums (CIPD, 2024).</w:t>
      </w:r>
    </w:p>
    <w:p w14:paraId="4C16F5D6" w14:textId="57B79F50" w:rsidR="00230E6E" w:rsidRPr="00230E6E" w:rsidRDefault="00230E6E" w:rsidP="00230E6E">
      <w:pPr>
        <w:jc w:val="both"/>
      </w:pPr>
      <w:r w:rsidRPr="00230E6E">
        <w:t>Overall, both union and non-union representation play an important role in supporting employee voice. However, while non-union bodies such as ‘The Bridge’ focus primarily on consultation and collaboration</w:t>
      </w:r>
      <w:r w:rsidR="004B4816">
        <w:t xml:space="preserve"> and can come to decisions quicker</w:t>
      </w:r>
      <w:r w:rsidRPr="00230E6E">
        <w:t xml:space="preserve">, trade unions offer a more independent and influential form of representation. </w:t>
      </w:r>
    </w:p>
    <w:p w14:paraId="27E1FF77" w14:textId="77777777" w:rsidR="00230E6E" w:rsidRPr="00230E6E" w:rsidRDefault="00230E6E" w:rsidP="00230E6E">
      <w:pPr>
        <w:jc w:val="both"/>
      </w:pPr>
    </w:p>
    <w:p w14:paraId="24124136" w14:textId="77777777" w:rsidR="00230E6E" w:rsidRPr="00230E6E" w:rsidRDefault="00230E6E" w:rsidP="00230E6E">
      <w:pPr>
        <w:jc w:val="both"/>
      </w:pPr>
    </w:p>
    <w:p w14:paraId="6B5C8B4F" w14:textId="77777777" w:rsidR="00230E6E" w:rsidRPr="00230E6E" w:rsidRDefault="00230E6E" w:rsidP="00230E6E">
      <w:pPr>
        <w:jc w:val="both"/>
      </w:pPr>
      <w:r w:rsidRPr="00230E6E">
        <w:t>3. (AC 1.3)</w:t>
      </w:r>
    </w:p>
    <w:p w14:paraId="5859359B" w14:textId="77777777" w:rsidR="00230E6E" w:rsidRPr="00230E6E" w:rsidRDefault="00230E6E" w:rsidP="00230E6E">
      <w:pPr>
        <w:jc w:val="both"/>
      </w:pPr>
      <w:r w:rsidRPr="00230E6E">
        <w:t xml:space="preserve">Employee voice refers to the ways employees express their views, concerns and ideas and influence matters that affect them at work. There is considerable evidence that effective employee voice can positively contribute to organisational performance by strengthening engagement, productivity and employee wellbeing. However, the relationship is complex, and employee voice alone does not guarantee improved organisational outcomes (Wilkinson </w:t>
      </w:r>
      <w:r w:rsidRPr="00230E6E">
        <w:rPr>
          <w:i/>
          <w:iCs/>
        </w:rPr>
        <w:t>et al</w:t>
      </w:r>
      <w:r w:rsidRPr="00230E6E">
        <w:t>., 2021).</w:t>
      </w:r>
    </w:p>
    <w:p w14:paraId="716A6854" w14:textId="77777777" w:rsidR="00230E6E" w:rsidRPr="00230E6E" w:rsidRDefault="00230E6E" w:rsidP="00230E6E">
      <w:pPr>
        <w:jc w:val="both"/>
      </w:pPr>
      <w:r w:rsidRPr="00230E6E">
        <w:t>One argument in favour of employee voice is that it allows organisations to draw on the knowledge and experience of their workforce. Research suggests that when employees play an active role in decisions affecting their work, they are more likely to feel appreciated, engaged and committed to organisational goals (IPA, 2024). Higher levels of engagement can produce improved productivity, reduced absence and better customer service. This is particularly important for a facilities management company such as AnchorBridge, where employee commitment and performance directly affect service delivery.</w:t>
      </w:r>
    </w:p>
    <w:p w14:paraId="1A31435F" w14:textId="77777777" w:rsidR="00230E6E" w:rsidRPr="00230E6E" w:rsidRDefault="00230E6E" w:rsidP="00230E6E">
      <w:pPr>
        <w:jc w:val="both"/>
      </w:pPr>
      <w:r w:rsidRPr="00230E6E">
        <w:t>The case study shows several employee voice mechanisms, including the annual voice survey, suggestion scheme, EDI networks, whistleblowing hotline and the works council known as ‘The Bridge’. These channels create opportunities for employees to share ideas and raise concerns, which should help management identify problems early and make better-informed decisions. In theory, this should strengthen organisational performance by improving communication and developing trust between employees and management.</w:t>
      </w:r>
    </w:p>
    <w:p w14:paraId="6EF259DE" w14:textId="77777777" w:rsidR="00230E6E" w:rsidRPr="00230E6E" w:rsidRDefault="00230E6E" w:rsidP="00230E6E">
      <w:pPr>
        <w:jc w:val="both"/>
      </w:pPr>
      <w:r w:rsidRPr="00230E6E">
        <w:t xml:space="preserve">However, the case study also highlights some weaknesses. Despite the existence of numerous voice channels, employees remain dissatisfied with the recent 3% pay increase because pay falls outside the remit of ‘The Bridge’. This has contributed to resentment among some workers, with employees taking cleaning products home and misusing sickness absence. These behaviours suggest that voice mechanisms are only effective when employees believe they can genuinely influence issues that matter to them. If employees feel their concerns are ignored, employee voice may have little positive impact. It can be difficult to evidence a direct link between employee voice and organisational performance because many factors influence organisational success. Leadership style, organisational culture, reward systems and economic conditions can all affect productivity and employee behaviour. Wilkinson </w:t>
      </w:r>
      <w:r w:rsidRPr="00230E6E">
        <w:rPr>
          <w:i/>
          <w:iCs/>
        </w:rPr>
        <w:t>et al.</w:t>
      </w:r>
      <w:r w:rsidRPr="00230E6E">
        <w:t xml:space="preserve"> (2021) argue that employee voice should be viewed as part of a wider people management strategy rather than a standalone solution.</w:t>
      </w:r>
    </w:p>
    <w:p w14:paraId="626E88FD" w14:textId="77777777" w:rsidR="00230E6E" w:rsidRPr="00230E6E" w:rsidRDefault="00230E6E" w:rsidP="00230E6E">
      <w:pPr>
        <w:jc w:val="both"/>
      </w:pPr>
      <w:r w:rsidRPr="00230E6E">
        <w:t>Overall, there is strong evidence that effective employee voice can help achieve better organisational performance by strengthening engagement, trust and collaboration. However, the AnchorBridge case study shows that simply providing voice mechanisms is not enough, employees must feel confident that someone will listen.</w:t>
      </w:r>
    </w:p>
    <w:p w14:paraId="458A4F1E" w14:textId="77777777" w:rsidR="00230E6E" w:rsidRDefault="00230E6E" w:rsidP="00230E6E">
      <w:pPr>
        <w:jc w:val="both"/>
      </w:pPr>
    </w:p>
    <w:p w14:paraId="72F1374E" w14:textId="77777777" w:rsidR="00CD798D" w:rsidRDefault="00CD798D" w:rsidP="00230E6E">
      <w:pPr>
        <w:jc w:val="both"/>
      </w:pPr>
    </w:p>
    <w:p w14:paraId="78B1DC0D" w14:textId="77777777" w:rsidR="00CD798D" w:rsidRPr="00230E6E" w:rsidRDefault="00CD798D" w:rsidP="00230E6E">
      <w:pPr>
        <w:jc w:val="both"/>
      </w:pPr>
    </w:p>
    <w:p w14:paraId="6609F961" w14:textId="77777777" w:rsidR="00230E6E" w:rsidRPr="00230E6E" w:rsidRDefault="00230E6E" w:rsidP="00230E6E">
      <w:pPr>
        <w:jc w:val="both"/>
      </w:pPr>
      <w:r w:rsidRPr="00230E6E">
        <w:t xml:space="preserve">4. (AC 1.4) </w:t>
      </w:r>
    </w:p>
    <w:p w14:paraId="27B0E305" w14:textId="77777777" w:rsidR="00230E6E" w:rsidRPr="00230E6E" w:rsidRDefault="00230E6E" w:rsidP="00230E6E">
      <w:pPr>
        <w:jc w:val="both"/>
      </w:pPr>
      <w:r w:rsidRPr="00230E6E">
        <w:t xml:space="preserve">The concept of </w:t>
      </w:r>
      <w:r w:rsidRPr="00230E6E">
        <w:rPr>
          <w:i/>
          <w:iCs/>
        </w:rPr>
        <w:t xml:space="preserve">better working lives </w:t>
      </w:r>
      <w:r w:rsidRPr="00230E6E">
        <w:t>focuses on creating jobs that provide employees with not only fair pay and security, but also wellbeing, fulfilment, good relationships and opportunities to contribute meaningfully at work. The CIPD's Good Work framework recommends that good work is characterised through factors such as employee voice, work-life balance, health and wellbeing, job quality, supportive management and healthy workplace relationships. Effective organisations recognise that employees are more likely to perform well when they feel appreciated, respected and supported (CIPD, 2024).</w:t>
      </w:r>
    </w:p>
    <w:p w14:paraId="4801F60E" w14:textId="77777777" w:rsidR="00230E6E" w:rsidRPr="00230E6E" w:rsidRDefault="00230E6E" w:rsidP="00230E6E">
      <w:pPr>
        <w:jc w:val="both"/>
      </w:pPr>
      <w:r w:rsidRPr="00230E6E">
        <w:t>The case study suggests that AnchorBridge is experiencing difficulties within its employment relationships. Although the organisation has established a range of employee voice mechanisms, including ‘The Bridge’, employee surveys and feedback channels, there is evidence that some employees feel frustrated and unheard. The dissatisfaction surrounding the recent 3% pay increase, alongside resentment towards representatives on ‘The Bridge’, indicates a lack of trust. In addition, more grievances and deteriorating relationships among employees, such as Jim and Tola, suggest that aspects of job quality and workplace culture require improvement.</w:t>
      </w:r>
    </w:p>
    <w:p w14:paraId="0E495C9E" w14:textId="77777777" w:rsidR="00230E6E" w:rsidRPr="00230E6E" w:rsidRDefault="00230E6E" w:rsidP="00230E6E">
      <w:pPr>
        <w:jc w:val="both"/>
      </w:pPr>
      <w:r w:rsidRPr="00230E6E">
        <w:t>Senior leaders can improve working lives at AnchorBridge by creating a culture where employees feel their opinions matter and that they are being listened to. Management should communicate decisions openly and explain the reasons behind them, even if requests are not approved.  Research has evidenced that employees who feel heard are generally more engaged, motivated, and committed to organisational goals (IPA, 2024).</w:t>
      </w:r>
    </w:p>
    <w:p w14:paraId="2F72D199" w14:textId="77777777" w:rsidR="00230E6E" w:rsidRPr="00230E6E" w:rsidRDefault="00230E6E" w:rsidP="00230E6E">
      <w:pPr>
        <w:jc w:val="both"/>
      </w:pPr>
      <w:r w:rsidRPr="00230E6E">
        <w:t>AnchorBridge should also concentrate on creating a more respectful and inclusive workplace culture. The grievances relating to nicknames such as “Daisy” and “deckchair” demonstrate behaviours that have the potential to undermine dignity and psychological safety at work. Managers and team leaders should model respectful behaviour, challenge inappropriate conduct, and promote a culture in which everyone is appreciated, regardless of their role or background.</w:t>
      </w:r>
    </w:p>
    <w:p w14:paraId="62DF96E6" w14:textId="77777777" w:rsidR="00230E6E" w:rsidRPr="00230E6E" w:rsidRDefault="00230E6E" w:rsidP="00230E6E">
      <w:pPr>
        <w:jc w:val="both"/>
      </w:pPr>
      <w:r w:rsidRPr="00230E6E">
        <w:t>The organisation should also invest in developing supportive management practices. Rather than considering dismissal straight away as a response to conflict, managers should be trained in conflict resolution, mediation and relationship management. For example, Jim and Tola may benefit from facilitated discussions to rebuild trust and improve collaboration. Armstrong and Taylor (2023) argue that positive leadership and positive working relationships are key contributors to both employee wellbeing and organisational effectiveness.</w:t>
      </w:r>
    </w:p>
    <w:p w14:paraId="36ACD7DD" w14:textId="77777777" w:rsidR="00230E6E" w:rsidRPr="00230E6E" w:rsidRDefault="00230E6E" w:rsidP="00230E6E">
      <w:pPr>
        <w:jc w:val="both"/>
      </w:pPr>
      <w:r w:rsidRPr="00230E6E">
        <w:t>Overall, better working lives are achieved when employees experience meaningful work, fair treatment, positive relationships and opportunities to have their voice heard. By improving communication, strengthening workplace relationships, and promoting employee well-being, AnchorBridge can create a more positive and productive work environment.</w:t>
      </w:r>
    </w:p>
    <w:p w14:paraId="1FE1F8C0" w14:textId="77777777" w:rsidR="00230E6E" w:rsidRPr="00230E6E" w:rsidRDefault="00230E6E" w:rsidP="00230E6E">
      <w:pPr>
        <w:jc w:val="both"/>
      </w:pPr>
    </w:p>
    <w:p w14:paraId="3B10B1D2" w14:textId="77777777" w:rsidR="00230E6E" w:rsidRPr="00230E6E" w:rsidRDefault="00230E6E" w:rsidP="00230E6E">
      <w:pPr>
        <w:jc w:val="both"/>
      </w:pPr>
      <w:r w:rsidRPr="00230E6E">
        <w:t>5. (AC 2.1)</w:t>
      </w:r>
    </w:p>
    <w:p w14:paraId="0A82977D" w14:textId="77777777" w:rsidR="00230E6E" w:rsidRPr="00230E6E" w:rsidRDefault="00230E6E" w:rsidP="00230E6E">
      <w:pPr>
        <w:jc w:val="both"/>
      </w:pPr>
      <w:r w:rsidRPr="00230E6E">
        <w:t>Organisational conflict and employee misbehaviour are both workplace issues that can negatively affect relationships and performance, but they are distinct concepts. Organisational conflict occurs when individuals or groups experience disagreements, incompatible goals or differences in opinion. In contrast, misbehaviour refers to actions that are deliberately or recklessly undertaken in breach of workplace rules, policies, or accepted standards of conduct (CIPD, 2020).</w:t>
      </w:r>
    </w:p>
    <w:p w14:paraId="4EFA53DA" w14:textId="77777777" w:rsidR="00230E6E" w:rsidRPr="00230E6E" w:rsidRDefault="00230E6E" w:rsidP="00230E6E">
      <w:pPr>
        <w:jc w:val="both"/>
      </w:pPr>
      <w:r w:rsidRPr="00230E6E">
        <w:t>The AnchorBridge case study provides several examples of organisational conflict. A clear example is the breakdown in the working relationship between Jim and Tola. Tola believes Jim continually talks over her during meetings, while Jim feels that Tola undermines him. This disagreement has caused tension and affected their capacity to work collaboratively. This represents personal conflict because it comes from differing views, communication difficulties and relationship issues rather than deliberate wrongdoing. Conflict is a natural part of working life and, when dealt with appropriately, can lead to improved understanding and stronger working relationships (CIPD, 2020).</w:t>
      </w:r>
    </w:p>
    <w:p w14:paraId="746FA9EF" w14:textId="77777777" w:rsidR="00230E6E" w:rsidRPr="00230E6E" w:rsidRDefault="00230E6E" w:rsidP="00230E6E">
      <w:pPr>
        <w:jc w:val="both"/>
      </w:pPr>
      <w:r w:rsidRPr="00230E6E">
        <w:t>Misbehaviour involves conduct that falls below expected standards. An example in the case study is the group of cleaning employees who take cleaning products home because they view it as an “unofficial pay increase”. This behaviour could be regarded as misconduct. Also, the persistent use of nicknames such as “Daisy” and “deckchair” could be considered misbehaviour, as these comments ridicule colleagues and have resulted in formal grievances. The fact that team leaders reportedly laughed when hearing these nicknames also indicates inappropriate workplace behaviour.</w:t>
      </w:r>
    </w:p>
    <w:p w14:paraId="7AD72A8F" w14:textId="77777777" w:rsidR="00230E6E" w:rsidRPr="00230E6E" w:rsidRDefault="00230E6E" w:rsidP="00230E6E">
      <w:pPr>
        <w:jc w:val="both"/>
      </w:pPr>
      <w:r w:rsidRPr="00230E6E">
        <w:t>The distinction between conflict and misbehaviour is important because each requires a different management response. Conflict is often best addressed through early intervention, communication, mediation or informal problem-solving. Misbehaviour, however, may require a more formal response, including investigation and disciplinary action where organisational rules have been breached (Daniels, 2022).</w:t>
      </w:r>
    </w:p>
    <w:p w14:paraId="2B88B027" w14:textId="77777777" w:rsidR="00230E6E" w:rsidRPr="00230E6E" w:rsidRDefault="00230E6E" w:rsidP="00230E6E">
      <w:pPr>
        <w:jc w:val="both"/>
      </w:pPr>
      <w:r w:rsidRPr="00230E6E">
        <w:t xml:space="preserve">Overall, organisational conflict concerns disagreements and tensions between individuals or groups, whereas misbehaviour involves conduct that violates expected workplace standards. </w:t>
      </w:r>
    </w:p>
    <w:p w14:paraId="35DA99EA" w14:textId="77777777" w:rsidR="00230E6E" w:rsidRPr="00230E6E" w:rsidRDefault="00230E6E" w:rsidP="00230E6E">
      <w:pPr>
        <w:jc w:val="both"/>
      </w:pPr>
    </w:p>
    <w:p w14:paraId="1E4F865E" w14:textId="77777777" w:rsidR="00230E6E" w:rsidRPr="00230E6E" w:rsidRDefault="00230E6E" w:rsidP="00230E6E">
      <w:pPr>
        <w:jc w:val="both"/>
      </w:pPr>
      <w:r w:rsidRPr="00230E6E">
        <w:t>6. (AC 2.2)</w:t>
      </w:r>
    </w:p>
    <w:p w14:paraId="6BE28E40" w14:textId="77777777" w:rsidR="00230E6E" w:rsidRPr="00230E6E" w:rsidRDefault="00230E6E" w:rsidP="00230E6E">
      <w:pPr>
        <w:jc w:val="both"/>
      </w:pPr>
      <w:r w:rsidRPr="00230E6E">
        <w:t>Conflict is a natural part of organisational life, but the types of conflict experienced in modern workplaces are changing. While traditional workplace conflict often focused on pay, working conditions and formal collective disputes, organisations are more and increasingly dealing with interpersonal tensions, bullying allegations, issues of fairness and concerns relating to employee wellbeing and dignity at work (CIPD, 2020).</w:t>
      </w:r>
    </w:p>
    <w:p w14:paraId="6D781FBD" w14:textId="77777777" w:rsidR="00230E6E" w:rsidRPr="00230E6E" w:rsidRDefault="00230E6E" w:rsidP="00230E6E">
      <w:pPr>
        <w:jc w:val="both"/>
      </w:pPr>
      <w:r w:rsidRPr="00230E6E">
        <w:t xml:space="preserve">The AnchorBridge case study gives several examples of these emerging trends. The disagreement between Jim and Tola is an example of interpersonal conflict that has damaged their working relationship. Tola believes Jim talks over her during meetings, </w:t>
      </w:r>
      <w:r w:rsidRPr="00230E6E">
        <w:lastRenderedPageBreak/>
        <w:t>while Jim feels undermined by Tola. This type of conflict is increasingly common in workplaces where teamwork and collaboration remain essential. If not dealt with quickly, relationship conflict can reduce productivity and negatively affect employee wellbeing (CIPD, 2020).</w:t>
      </w:r>
    </w:p>
    <w:p w14:paraId="3466847B" w14:textId="77777777" w:rsidR="00230E6E" w:rsidRPr="00230E6E" w:rsidRDefault="00230E6E" w:rsidP="00230E6E">
      <w:pPr>
        <w:jc w:val="both"/>
      </w:pPr>
      <w:r w:rsidRPr="00230E6E">
        <w:t>Another trend shown within the case study is conflict linked to respect and inclusion. The grievances concerning nicknames such as “Daisy” and “deckchair” demonstrate how behaviours previously dismissed as workplace banter are now more likely to be viewed as inappropriate and potentially harmful. Employees are increasingly challenging behaviours that affect their dignity at work, and organisations are expected to deal promptly and fairly. The fact that team leaders reportedly laughed when hearing these comments is likely to further damage trust and workplace culture.</w:t>
      </w:r>
    </w:p>
    <w:p w14:paraId="5BF52F09" w14:textId="77777777" w:rsidR="00230E6E" w:rsidRPr="00230E6E" w:rsidRDefault="00230E6E" w:rsidP="00230E6E">
      <w:pPr>
        <w:jc w:val="both"/>
      </w:pPr>
      <w:r w:rsidRPr="00230E6E">
        <w:t>Conflict in relation to fairness and employee voice is also emerging at AnchorBridge. Employees are frustrated by the recent 3% pay increase and feel unable to influence the decision because pay falls outside the remit of ‘The Bridge’. This shows a wider trend in which employees expect greater transparency and meaningful opportunities to contribute to decisions that affect them.</w:t>
      </w:r>
    </w:p>
    <w:p w14:paraId="681A49A1" w14:textId="77777777" w:rsidR="00230E6E" w:rsidRPr="00230E6E" w:rsidRDefault="00230E6E" w:rsidP="00230E6E">
      <w:pPr>
        <w:jc w:val="both"/>
      </w:pPr>
      <w:r w:rsidRPr="00230E6E">
        <w:t>Alongside changing forms of conflict, there have also been developments in the use of industrial sanctions. Traditional sanctions include strikes, overtime bans and work-to-rule action organised by trade unions. Recent labour market analysis shows that continuing cost-of-living pressures, pay concerns and job security issues remain significant drivers of collective disputes across the UK workforce (Resolution Foundation, 2024). However, dissatisfaction is not always expressed through formal industrial action. Employees may instead raise grievances, disengage from work or display withdrawal behaviours.</w:t>
      </w:r>
    </w:p>
    <w:p w14:paraId="53878BC4" w14:textId="77777777" w:rsidR="00230E6E" w:rsidRPr="00230E6E" w:rsidRDefault="00230E6E" w:rsidP="00230E6E">
      <w:pPr>
        <w:jc w:val="both"/>
      </w:pPr>
      <w:r w:rsidRPr="00230E6E">
        <w:t>Currently at AnchorBridge, there is no indication of formal industrial action. However, the unauthorised removal of cleaning products and reported misuse of sickness absence shows that unresolved concerns are already affecting employee behaviour.  When workplace concerns are not addressed appropriately, conflict can escalate and create wider organisational problems (Daniels, 2022).</w:t>
      </w:r>
    </w:p>
    <w:p w14:paraId="1209B5B9" w14:textId="77777777" w:rsidR="00230E6E" w:rsidRPr="00230E6E" w:rsidRDefault="00230E6E" w:rsidP="00230E6E">
      <w:pPr>
        <w:jc w:val="both"/>
      </w:pPr>
      <w:r w:rsidRPr="00230E6E">
        <w:t>Unless these issues are promptly dealt with, AnchorBridge is likely to experience rising levels of relationship conflict, concerns around fairness and dignity at work, and employee frustrations linked to voice and engagement. Early intervention and clear communication are key to prevent workplace conflict developing into more serious disputes.</w:t>
      </w:r>
    </w:p>
    <w:p w14:paraId="198D33AE" w14:textId="77777777" w:rsidR="00230E6E" w:rsidRPr="00230E6E" w:rsidRDefault="00230E6E" w:rsidP="00230E6E">
      <w:pPr>
        <w:jc w:val="both"/>
      </w:pPr>
    </w:p>
    <w:p w14:paraId="590459E6" w14:textId="77777777" w:rsidR="00230E6E" w:rsidRPr="00230E6E" w:rsidRDefault="00230E6E" w:rsidP="00230E6E">
      <w:pPr>
        <w:jc w:val="both"/>
      </w:pPr>
      <w:r w:rsidRPr="00230E6E">
        <w:t>7. (AC 2.3)</w:t>
      </w:r>
    </w:p>
    <w:p w14:paraId="16F9B588" w14:textId="77777777" w:rsidR="00230E6E" w:rsidRPr="00230E6E" w:rsidRDefault="00230E6E" w:rsidP="00230E6E">
      <w:pPr>
        <w:jc w:val="both"/>
      </w:pPr>
      <w:r w:rsidRPr="00230E6E">
        <w:t>When workplace conflict occurs, organisations can use a range of third-party interventions to help resolve disputes. The three main approaches are conciliation, mediation and arbitration, each differs in how much involvement the third party has and whether they make a final decision.</w:t>
      </w:r>
    </w:p>
    <w:p w14:paraId="04B5E83E" w14:textId="77777777" w:rsidR="00230E6E" w:rsidRPr="00230E6E" w:rsidRDefault="00230E6E" w:rsidP="00230E6E">
      <w:pPr>
        <w:jc w:val="both"/>
      </w:pPr>
      <w:r w:rsidRPr="00230E6E">
        <w:lastRenderedPageBreak/>
        <w:t>Conciliation is when an independent third party helps those involved in a dispute communicate and discuss potential solutions. The conciliator will  not impose a decision but will aid discussion and compromise. Conciliation is frequently used by ACAS, especially where there is a risk of legal action. The objective is to work with both sides to reach an agreed outcome while maintaining a positive employment relationship (ACAS, 2024).</w:t>
      </w:r>
    </w:p>
    <w:p w14:paraId="519B5116" w14:textId="77777777" w:rsidR="00230E6E" w:rsidRPr="00230E6E" w:rsidRDefault="00230E6E" w:rsidP="00230E6E">
      <w:pPr>
        <w:jc w:val="both"/>
      </w:pPr>
      <w:r w:rsidRPr="00230E6E">
        <w:t>Mediation is a more informal process where an independent mediator helps those in conflict have a structured conversation and identify solutions themselves. The mediator remains impartial and will not decide who is right or wrong. Instead, they help rebuild communication, understanding and trust among the involved parties. Mediation is especially effective for interpersonal disputes and relationship breakdowns within the workplace (Daniels, 2022).</w:t>
      </w:r>
    </w:p>
    <w:p w14:paraId="4E82AC88" w14:textId="77777777" w:rsidR="00230E6E" w:rsidRPr="00230E6E" w:rsidRDefault="00230E6E" w:rsidP="00230E6E">
      <w:pPr>
        <w:jc w:val="both"/>
      </w:pPr>
      <w:r w:rsidRPr="00230E6E">
        <w:t>Arbitration differs from conciliation and mediation because the independent third party makes a decision after hearing evidence from those involved. This decision is normally binding on both parties. Arbitration is generally used when the parties have been unable to resolve their differences through discussion and require an independent party to make a final decision. However, because one party may feel dissatisfied with the result, arbitration can sometimes damage working relationships (ACAS, 2024).</w:t>
      </w:r>
    </w:p>
    <w:p w14:paraId="0621BAB2" w14:textId="77777777" w:rsidR="00230E6E" w:rsidRPr="00230E6E" w:rsidRDefault="00230E6E" w:rsidP="00230E6E">
      <w:pPr>
        <w:jc w:val="both"/>
      </w:pPr>
      <w:r w:rsidRPr="00230E6E">
        <w:t>InAnchorBridge, mediation would be the most appropriate intervention for the conflict between Jim and Tola. At the heart of the conflict are communication issues and different interpretations of workplace interactions, rather than concerns relating to misconduct or employment rights. Tola believes Jim talks over her in meetings, while Jim feels undermined by Tola. As both employees have previously worked together successfully, the aim should be to rebuild their working relationship.</w:t>
      </w:r>
    </w:p>
    <w:p w14:paraId="5703F79C" w14:textId="77777777" w:rsidR="00230E6E" w:rsidRPr="00230E6E" w:rsidRDefault="00230E6E" w:rsidP="00230E6E">
      <w:pPr>
        <w:jc w:val="both"/>
      </w:pPr>
      <w:r w:rsidRPr="00230E6E">
        <w:t xml:space="preserve">Mediation would provide a safe environment for both individuals to discuss their concerns openly, improve understanding and agree ways of working together more effectively in future. This is likely to be more productive than arbitration, which could increase tensions, or conciliation, which is more commonly associated with formal employment disputes. </w:t>
      </w:r>
    </w:p>
    <w:p w14:paraId="4E3EF74F" w14:textId="77777777" w:rsidR="00230E6E" w:rsidRPr="00230E6E" w:rsidRDefault="00230E6E" w:rsidP="00230E6E">
      <w:pPr>
        <w:jc w:val="both"/>
      </w:pPr>
    </w:p>
    <w:p w14:paraId="60A27128" w14:textId="77777777" w:rsidR="00230E6E" w:rsidRPr="00230E6E" w:rsidRDefault="00230E6E" w:rsidP="00230E6E">
      <w:pPr>
        <w:jc w:val="both"/>
      </w:pPr>
      <w:r w:rsidRPr="00230E6E">
        <w:t>8. (AC 3.1)</w:t>
      </w:r>
    </w:p>
    <w:p w14:paraId="52DBF51B" w14:textId="77777777" w:rsidR="00230E6E" w:rsidRPr="00230E6E" w:rsidRDefault="00230E6E" w:rsidP="00230E6E">
      <w:pPr>
        <w:jc w:val="both"/>
      </w:pPr>
      <w:r w:rsidRPr="00230E6E">
        <w:t>UK employment law states that misconduct can warrant dismissal. However, employers will need to show that there was a strong reason for the decision and that the matter was managed through a fair and reasonable procedure. A tribunal will also consider whether the dismissal was appropriate in the circumstances. (GOV.UK, 2026).</w:t>
      </w:r>
    </w:p>
    <w:p w14:paraId="5B56E406" w14:textId="77777777" w:rsidR="00230E6E" w:rsidRPr="00230E6E" w:rsidRDefault="00230E6E" w:rsidP="00230E6E">
      <w:pPr>
        <w:jc w:val="both"/>
      </w:pPr>
      <w:r w:rsidRPr="00230E6E">
        <w:t>Based on the information provided in the case study, it is unlikely that Iman could fairly dismiss Jim and/or Tola for misconduct at this stage. The dispute between them appears to be a breakdown in their working relationship and not a serious misconduct. Although the behaviours are creating tension and affecting team performance, there is no evidence that either employee has committed gross misconduct or intentionally breached company policies.</w:t>
      </w:r>
    </w:p>
    <w:p w14:paraId="2F76A481" w14:textId="77777777" w:rsidR="00230E6E" w:rsidRPr="00230E6E" w:rsidRDefault="00230E6E" w:rsidP="00230E6E">
      <w:pPr>
        <w:jc w:val="both"/>
      </w:pPr>
      <w:r w:rsidRPr="00230E6E">
        <w:lastRenderedPageBreak/>
        <w:t>Daniels (2022) explains that employers should carefully investigate workplace concerns before considering disciplinary action. Managers are expected to establish the facts, gather evidence and examine alternative solutions before deciding whether misconduct has occurred. In the case of Jim and Tola, there is no indication that a formal investigation has taken place or that other interventions, such as mediation,have been attempted. Given that the pair have previously worked together successfully, these options would be more appropriate than instant disciplinary action.</w:t>
      </w:r>
    </w:p>
    <w:p w14:paraId="7591B909" w14:textId="77777777" w:rsidR="00230E6E" w:rsidRPr="00230E6E" w:rsidRDefault="00230E6E" w:rsidP="00230E6E">
      <w:pPr>
        <w:jc w:val="both"/>
      </w:pPr>
      <w:r w:rsidRPr="00230E6E">
        <w:t>The principles of unfair dismissal also require employers to follow a fair disciplinary procedure. According to ACAS (2024), employers should investigate allegations, inform employees of concerns, allow them the opportunity to respond and provide a right of appeal before making a decision. Failure to follow these steps may result in a dismissal being deemed unfair.</w:t>
      </w:r>
    </w:p>
    <w:p w14:paraId="727475BE" w14:textId="77777777" w:rsidR="00230E6E" w:rsidRPr="00230E6E" w:rsidRDefault="00230E6E" w:rsidP="00230E6E">
      <w:pPr>
        <w:jc w:val="both"/>
      </w:pPr>
      <w:r w:rsidRPr="00230E6E">
        <w:t>Zoe's comment that one or both employees should simply be dismissed is unlikely to be deemed reasonable.  In this situation, where the issue appears to be interpersonal conflict and not serious misconduct, dismissal would  be seen as a disproportionate response (Daniels, 2022).</w:t>
      </w:r>
    </w:p>
    <w:p w14:paraId="78D5F461" w14:textId="77777777" w:rsidR="00230E6E" w:rsidRPr="00230E6E" w:rsidRDefault="00230E6E" w:rsidP="00230E6E">
      <w:pPr>
        <w:jc w:val="both"/>
      </w:pPr>
      <w:r w:rsidRPr="00230E6E">
        <w:t>Overall, Iman would be unlikely to justify dismissing either Jim or Tola for misconduct based on the information provided. A more appropriate approach would be investigation, mediation and relationship management before any consideration of disciplinary action.</w:t>
      </w:r>
    </w:p>
    <w:p w14:paraId="430D1EE8" w14:textId="77777777" w:rsidR="00230E6E" w:rsidRPr="00230E6E" w:rsidRDefault="00230E6E" w:rsidP="00230E6E">
      <w:pPr>
        <w:jc w:val="both"/>
      </w:pPr>
    </w:p>
    <w:p w14:paraId="696772E2" w14:textId="77777777" w:rsidR="00230E6E" w:rsidRPr="00230E6E" w:rsidRDefault="00230E6E" w:rsidP="00230E6E">
      <w:pPr>
        <w:jc w:val="both"/>
      </w:pPr>
      <w:r w:rsidRPr="00230E6E">
        <w:t>9. (AC 3.2)</w:t>
      </w:r>
    </w:p>
    <w:p w14:paraId="40AF48AE" w14:textId="77777777" w:rsidR="00230E6E" w:rsidRPr="00230E6E" w:rsidRDefault="00230E6E" w:rsidP="00230E6E">
      <w:pPr>
        <w:jc w:val="both"/>
      </w:pPr>
      <w:r w:rsidRPr="00230E6E">
        <w:t>A grievance is a concern, problem or complaint that an employee raises about their work, working environment or treatment at work. Employees have the right to raise grievances where they feel they have been treated unfairly, inappropriately or without respect (CIPD, 2024). The use of nicknames at AnchorBridge could be considered a legitimate cause of grievance, depending on the impact on those involved.</w:t>
      </w:r>
    </w:p>
    <w:p w14:paraId="1F84095D" w14:textId="77777777" w:rsidR="00230E6E" w:rsidRPr="00230E6E" w:rsidRDefault="00230E6E" w:rsidP="00230E6E">
      <w:pPr>
        <w:jc w:val="both"/>
      </w:pPr>
      <w:r w:rsidRPr="00230E6E">
        <w:t>Within the case study, two employees have highlighted concerns about nicknames used by colleagues. One employee, Davey, is referred to as “Daisy”, implying that he frequently takes time off work. Another employee is called “deckchair”, suggesting that he “folds under pressure”. While some may think these comments are harmless banter, the key issue is how they are perceived by the recipients. If the nicknames cause embarrassment, offence or undermine an individual's dignity, they can reasonably form the basis of a grievance.</w:t>
      </w:r>
    </w:p>
    <w:p w14:paraId="2767F992" w14:textId="77777777" w:rsidR="00230E6E" w:rsidRPr="00230E6E" w:rsidRDefault="00230E6E" w:rsidP="00230E6E">
      <w:pPr>
        <w:jc w:val="both"/>
      </w:pPr>
      <w:r w:rsidRPr="00230E6E">
        <w:t>The fact that employees felt so upset they decided to submit formal grievances tells us the behaviour has moved beyond workplace ‘banter’. Also, the grievance involving "deckchair" states that team leaders allegedly laughed when they heard the nickname being used. This is significant because managers and supervisors have a responsibility to model respectful behaviour and address inappropriate conduct. Their apparent acceptance of the behaviour may have reinforced the employee's perception that they were being treated unfairly (Daniels, 2022).</w:t>
      </w:r>
    </w:p>
    <w:p w14:paraId="5ADE2623" w14:textId="77777777" w:rsidR="00230E6E" w:rsidRPr="00230E6E" w:rsidRDefault="00230E6E" w:rsidP="00230E6E">
      <w:pPr>
        <w:jc w:val="both"/>
      </w:pPr>
      <w:r w:rsidRPr="00230E6E">
        <w:lastRenderedPageBreak/>
        <w:t>From an employment relations perspective, organisations should consider not only the intention behind comments but also their impact. Modern workplaces place increasing emphasis on dignity, inclusion and psychological safety. Behaviour that singles out individuals, damages confidence or creates a negative environment can contribute to conflict and negatively affect employee wellbeing. The CIPD (2020) notes that apparently minor behaviours can develop into more serious workplace conflict if concerns are ignored or dismissed.</w:t>
      </w:r>
    </w:p>
    <w:p w14:paraId="1769ED3A" w14:textId="77777777" w:rsidR="00230E6E" w:rsidRPr="00230E6E" w:rsidRDefault="00230E6E" w:rsidP="00230E6E">
      <w:pPr>
        <w:jc w:val="both"/>
      </w:pPr>
      <w:r w:rsidRPr="00230E6E">
        <w:t>AnchorBridge should therefore treat these grievances seriously and investigate the circumstances fully. This does not necessarily mean that disciplinary action will be taken, but it does mean appreciating the context, speaking to those involved and taking appropriate steps to prevent it happening again. Ignoring the complaints could damage trust and potentially encourage similar behaviour in the future.</w:t>
      </w:r>
    </w:p>
    <w:p w14:paraId="55BE7BBF" w14:textId="77777777" w:rsidR="00230E6E" w:rsidRPr="00230E6E" w:rsidRDefault="00230E6E" w:rsidP="00230E6E">
      <w:pPr>
        <w:jc w:val="both"/>
      </w:pPr>
      <w:r w:rsidRPr="00230E6E">
        <w:t xml:space="preserve">Overall, the use of nicknames at AnchorBridge appears to be a legitimate cause of grievance because the comments have caused offence, led to formal complaints and may undermine dignity at work. </w:t>
      </w:r>
    </w:p>
    <w:p w14:paraId="079E38A4" w14:textId="77777777" w:rsidR="00230E6E" w:rsidRPr="00230E6E" w:rsidRDefault="00230E6E" w:rsidP="00230E6E">
      <w:pPr>
        <w:jc w:val="both"/>
      </w:pPr>
    </w:p>
    <w:p w14:paraId="5BEF8E6B" w14:textId="77777777" w:rsidR="00230E6E" w:rsidRPr="00230E6E" w:rsidRDefault="00230E6E" w:rsidP="00230E6E">
      <w:pPr>
        <w:jc w:val="both"/>
      </w:pPr>
      <w:r w:rsidRPr="00230E6E">
        <w:t>10. (AC 3.3)</w:t>
      </w:r>
    </w:p>
    <w:p w14:paraId="10378A79" w14:textId="753EBD6C" w:rsidR="00230E6E" w:rsidRPr="00230E6E" w:rsidRDefault="00230E6E" w:rsidP="00230E6E">
      <w:pPr>
        <w:jc w:val="both"/>
      </w:pPr>
      <w:r w:rsidRPr="00230E6E">
        <w:t>The operations manager's view that people will “always find something to moan about” risks overlooking the importance of grievances as an indicator of underlying workplace issues. A grievance is a formal concern raised by an employee regarding their treatment, working environment or relationships at work. When handled effectively, grievances provide organisations with an opportunity to address problems early, improve working relationships and prevent disputes from escalating (CIPD, 2024).</w:t>
      </w:r>
      <w:r w:rsidR="00F47822">
        <w:t xml:space="preserve"> </w:t>
      </w:r>
      <w:r w:rsidR="006441A1">
        <w:t xml:space="preserve">We should first try and ask the employee if we could first try and deal with the matter informally first. </w:t>
      </w:r>
    </w:p>
    <w:p w14:paraId="3DC7F124" w14:textId="77777777" w:rsidR="00230E6E" w:rsidRPr="00230E6E" w:rsidRDefault="00230E6E" w:rsidP="00230E6E">
      <w:pPr>
        <w:jc w:val="both"/>
      </w:pPr>
      <w:r w:rsidRPr="00230E6E">
        <w:t>The increase in grievances within the AnchorBridge maintenance team suggests there may be wider concerns regarding workplace culture and employee treatment. Several grievances relate to the use of nicknames such as “Daisy” and “deckchair”, which employees perceive as mocking and disrespectful. While some colleagues may view these comments as harmless humour, the fact that employees have raised formal grievances indicates that the behaviour is having a negative impact on them. If concerns such as these are ignored, employees may lose trust in management and become less engaged with their work.</w:t>
      </w:r>
    </w:p>
    <w:p w14:paraId="3A7AB9DC" w14:textId="77777777" w:rsidR="00230E6E" w:rsidRPr="00230E6E" w:rsidRDefault="00230E6E" w:rsidP="00230E6E">
      <w:pPr>
        <w:jc w:val="both"/>
      </w:pPr>
      <w:r w:rsidRPr="00230E6E">
        <w:t>Robust grievance handling is important because it helps protect employee wellbeing and positive employment relationships. The CIPD (2024) tells us  that employees are  likely to feel appreciated and respected when their concerns are listened to and dealt with fairly. Unresolved grievances can contribute to stress, workplace conflict, increased absence levels and reduced morale. AnchorBridge needs to act on this advice as soon as possible, given that grievances at the organisation have already increased by 15% over the previous year.</w:t>
      </w:r>
    </w:p>
    <w:p w14:paraId="11390737" w14:textId="77777777" w:rsidR="00230E6E" w:rsidRPr="00230E6E" w:rsidRDefault="00230E6E" w:rsidP="00230E6E">
      <w:pPr>
        <w:jc w:val="both"/>
      </w:pPr>
      <w:r w:rsidRPr="00230E6E">
        <w:t xml:space="preserve">Handling grievances properly also helps organisations minimise legal and reputational risks. Daniels (2022) highlights that employers must follow fair and consistent </w:t>
      </w:r>
      <w:r w:rsidRPr="00230E6E">
        <w:lastRenderedPageBreak/>
        <w:t>procedures when dealing with employee concerns. Failure to investigate complaints properly could lead to claims relating to harassment, discrimination or constructive dismissal. Even where complaints are not proven, employees should still feel their concerns have been taken seriously.</w:t>
      </w:r>
    </w:p>
    <w:p w14:paraId="53D677BC" w14:textId="77777777" w:rsidR="00230E6E" w:rsidRPr="00230E6E" w:rsidRDefault="00230E6E" w:rsidP="00230E6E">
      <w:pPr>
        <w:jc w:val="both"/>
      </w:pPr>
      <w:r w:rsidRPr="00230E6E">
        <w:t>Furthermore, grievances are able to provide valuable insight into workplace culture. The concerns raised at AnchorBridge indicate possible issues around respect, inclusion and management behaviour, particularly given reports that team leaders laughed when offensive nicknames were used. Addressing such concerns can help managers discover patterns of behaviour and implement improvements before they become more serious problems.</w:t>
      </w:r>
    </w:p>
    <w:p w14:paraId="65BC4E52" w14:textId="77777777" w:rsidR="00230E6E" w:rsidRPr="00230E6E" w:rsidRDefault="00230E6E" w:rsidP="00230E6E">
      <w:pPr>
        <w:jc w:val="both"/>
      </w:pPr>
      <w:r w:rsidRPr="00230E6E">
        <w:t>Overall, grievances should be viewed as a useful way to identify workplace issues rather than as a nuisance. By handling grievances promptly, fairly and consistently, AnchorBridge can strengthen trust, improve morale and create a more positive working environment.</w:t>
      </w:r>
    </w:p>
    <w:p w14:paraId="041596A1" w14:textId="77777777" w:rsidR="00230E6E" w:rsidRPr="00230E6E" w:rsidRDefault="00230E6E" w:rsidP="00230E6E">
      <w:pPr>
        <w:jc w:val="both"/>
      </w:pPr>
    </w:p>
    <w:p w14:paraId="4B40551C" w14:textId="77777777" w:rsidR="00230E6E" w:rsidRPr="00230E6E" w:rsidRDefault="00230E6E" w:rsidP="00230E6E">
      <w:pPr>
        <w:jc w:val="both"/>
      </w:pPr>
    </w:p>
    <w:p w14:paraId="08016261" w14:textId="77777777" w:rsidR="00FB56ED" w:rsidRDefault="00FB56ED"/>
    <w:p w14:paraId="6C70501F" w14:textId="77777777" w:rsidR="00FB56ED" w:rsidRDefault="00FB56ED"/>
    <w:p w14:paraId="4E41882E" w14:textId="77777777" w:rsidR="00FB56ED" w:rsidRDefault="00FB56ED"/>
    <w:p w14:paraId="2D014281" w14:textId="77777777" w:rsidR="00FB56ED" w:rsidRDefault="00FB56ED"/>
    <w:p w14:paraId="3CEAC401" w14:textId="77777777" w:rsidR="00FB56ED" w:rsidRDefault="00FB56ED"/>
    <w:p w14:paraId="402E9C8E" w14:textId="77777777" w:rsidR="00FB56ED" w:rsidRDefault="00FB56ED"/>
    <w:p w14:paraId="373696E7" w14:textId="77777777" w:rsidR="00FB56ED" w:rsidRDefault="00FB56ED"/>
    <w:p w14:paraId="1672933F" w14:textId="77777777" w:rsidR="00FB56ED" w:rsidRDefault="00FB56ED"/>
    <w:p w14:paraId="22FC724A" w14:textId="77777777" w:rsidR="00FB56ED" w:rsidRDefault="00FB56ED"/>
    <w:p w14:paraId="3ABA2788" w14:textId="77777777" w:rsidR="00EE4619" w:rsidRDefault="00EE4619"/>
    <w:p w14:paraId="0A98FCA5" w14:textId="77777777" w:rsidR="00EE4619" w:rsidRDefault="00EE4619"/>
    <w:p w14:paraId="509CB20E" w14:textId="77777777" w:rsidR="00EE4619" w:rsidRDefault="00EE4619"/>
    <w:p w14:paraId="72D620EB" w14:textId="77777777" w:rsidR="00EE4619" w:rsidRDefault="00EE4619"/>
    <w:p w14:paraId="01D91766" w14:textId="77777777" w:rsidR="00FB56ED" w:rsidRDefault="00FB56ED"/>
    <w:p w14:paraId="431C4FEF" w14:textId="77777777" w:rsidR="00D43ECC" w:rsidRDefault="00D43ECC"/>
    <w:p w14:paraId="5BDBBB9A" w14:textId="77777777" w:rsidR="00CD798D" w:rsidRDefault="00CD798D"/>
    <w:p w14:paraId="2DD4D056" w14:textId="77777777" w:rsidR="00CD798D" w:rsidRDefault="00CD798D"/>
    <w:p w14:paraId="0A310914" w14:textId="77777777" w:rsidR="00CD798D" w:rsidRDefault="00CD798D"/>
    <w:p w14:paraId="77EB15A3" w14:textId="64785712" w:rsidR="006C70F2" w:rsidRPr="00DD3E6B" w:rsidRDefault="006C70F2" w:rsidP="006C70F2">
      <w:pPr>
        <w:pStyle w:val="NormalWeb"/>
        <w:spacing w:line="300" w:lineRule="atLeast"/>
        <w:rPr>
          <w:rFonts w:ascii="Segoe UI" w:hAnsi="Symbol" w:cs="Segoe UI"/>
          <w:b/>
          <w:bCs/>
          <w:sz w:val="21"/>
          <w:szCs w:val="21"/>
          <w:u w:val="single"/>
        </w:rPr>
      </w:pPr>
      <w:r w:rsidRPr="00DD3E6B">
        <w:rPr>
          <w:rFonts w:ascii="Segoe UI" w:hAnsi="Symbol" w:cs="Segoe UI"/>
          <w:b/>
          <w:bCs/>
          <w:sz w:val="21"/>
          <w:szCs w:val="21"/>
          <w:u w:val="single"/>
        </w:rPr>
        <w:lastRenderedPageBreak/>
        <w:t>BIBL</w:t>
      </w:r>
      <w:r w:rsidR="00DD3E6B" w:rsidRPr="00DD3E6B">
        <w:rPr>
          <w:rFonts w:ascii="Segoe UI" w:hAnsi="Symbol" w:cs="Segoe UI"/>
          <w:b/>
          <w:bCs/>
          <w:sz w:val="21"/>
          <w:szCs w:val="21"/>
          <w:u w:val="single"/>
        </w:rPr>
        <w:t>I</w:t>
      </w:r>
      <w:r w:rsidRPr="00DD3E6B">
        <w:rPr>
          <w:rFonts w:ascii="Segoe UI" w:hAnsi="Symbol" w:cs="Segoe UI"/>
          <w:b/>
          <w:bCs/>
          <w:sz w:val="21"/>
          <w:szCs w:val="21"/>
          <w:u w:val="single"/>
        </w:rPr>
        <w:t xml:space="preserve">OGRAPHY </w:t>
      </w:r>
    </w:p>
    <w:p w14:paraId="64C896FF" w14:textId="10AA0488"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ACAS (2024) </w:t>
      </w:r>
      <w:r>
        <w:rPr>
          <w:rStyle w:val="Emphasis"/>
          <w:rFonts w:ascii="Segoe UI" w:hAnsi="Segoe UI" w:cs="Segoe UI"/>
          <w:sz w:val="21"/>
          <w:szCs w:val="21"/>
        </w:rPr>
        <w:t>Disciplinary and grievance procedures</w:t>
      </w:r>
      <w:r>
        <w:rPr>
          <w:rFonts w:ascii="Segoe UI" w:hAnsi="Segoe UI" w:cs="Segoe UI"/>
          <w:sz w:val="21"/>
          <w:szCs w:val="21"/>
        </w:rPr>
        <w:t>. London: Advisory, Conciliation and Arbitration Service. Available at: https://www.acas.org.uk/discipline-and-grievance (Accessed: 15 June 2026).</w:t>
      </w:r>
    </w:p>
    <w:p w14:paraId="7E55AE9E"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ACAS (2024) </w:t>
      </w:r>
      <w:r>
        <w:rPr>
          <w:rStyle w:val="Emphasis"/>
          <w:rFonts w:ascii="Segoe UI" w:hAnsi="Segoe UI" w:cs="Segoe UI"/>
          <w:sz w:val="21"/>
          <w:szCs w:val="21"/>
        </w:rPr>
        <w:t>Dispute Resolution</w:t>
      </w:r>
      <w:r>
        <w:rPr>
          <w:rFonts w:ascii="Segoe UI" w:hAnsi="Segoe UI" w:cs="Segoe UI"/>
          <w:sz w:val="21"/>
          <w:szCs w:val="21"/>
        </w:rPr>
        <w:t>. London: Advisory, Conciliation and Arbitration Service. Available at: https://www.acas.org.uk/dispute-resolution (Accessed: 10 June 2026).</w:t>
      </w:r>
    </w:p>
    <w:p w14:paraId="3818D883"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Armstrong, M. and Taylor, S. (2023) </w:t>
      </w:r>
      <w:r>
        <w:rPr>
          <w:rStyle w:val="Emphasis"/>
          <w:rFonts w:ascii="Segoe UI" w:hAnsi="Segoe UI" w:cs="Segoe UI"/>
          <w:sz w:val="21"/>
          <w:szCs w:val="21"/>
        </w:rPr>
        <w:t>Armstrong's Handbook of Human Resource Management Practice</w:t>
      </w:r>
      <w:r>
        <w:rPr>
          <w:rFonts w:ascii="Segoe UI" w:hAnsi="Segoe UI" w:cs="Segoe UI"/>
          <w:sz w:val="21"/>
          <w:szCs w:val="21"/>
        </w:rPr>
        <w:t>. 16th edn. London: Kogan Page.</w:t>
      </w:r>
    </w:p>
    <w:p w14:paraId="2C36EFD5"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CIPD (2020) </w:t>
      </w:r>
      <w:r>
        <w:rPr>
          <w:rStyle w:val="Emphasis"/>
          <w:rFonts w:ascii="Segoe UI" w:hAnsi="Segoe UI" w:cs="Segoe UI"/>
          <w:sz w:val="21"/>
          <w:szCs w:val="21"/>
        </w:rPr>
        <w:t>Managing Conflict in the Modern Workplace</w:t>
      </w:r>
      <w:r>
        <w:rPr>
          <w:rFonts w:ascii="Segoe UI" w:hAnsi="Segoe UI" w:cs="Segoe UI"/>
          <w:sz w:val="21"/>
          <w:szCs w:val="21"/>
        </w:rPr>
        <w:t>. London: Chartered Institute of Personnel and Development. Available at: https://www.cipd.org/globalassets/media/knowledge/knowledge-hub/reports/managing-conflict-in-the-workplace-2_tcm18-70655.pdf (Accessed: 10 June 2026).</w:t>
      </w:r>
    </w:p>
    <w:p w14:paraId="529B9AD7"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CIPD (2024) </w:t>
      </w:r>
      <w:r>
        <w:rPr>
          <w:rStyle w:val="Emphasis"/>
          <w:rFonts w:ascii="Segoe UI" w:hAnsi="Segoe UI" w:cs="Segoe UI"/>
          <w:sz w:val="21"/>
          <w:szCs w:val="21"/>
        </w:rPr>
        <w:t>Disciplinary and Grievance Procedures: Guidance for Managers</w:t>
      </w:r>
      <w:r>
        <w:rPr>
          <w:rFonts w:ascii="Segoe UI" w:hAnsi="Segoe UI" w:cs="Segoe UI"/>
          <w:sz w:val="21"/>
          <w:szCs w:val="21"/>
        </w:rPr>
        <w:t>. London: Chartered Institute of Personnel and Development. Available at: https://www.cipd.org/uk/knowledge/guides/disciplinary-and-grievance-procedures-guidance-for-managers (Accessed: 15 June 2026).</w:t>
      </w:r>
    </w:p>
    <w:p w14:paraId="3690097D"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CIPD (2024) </w:t>
      </w:r>
      <w:r>
        <w:rPr>
          <w:rStyle w:val="Emphasis"/>
          <w:rFonts w:ascii="Segoe UI" w:hAnsi="Segoe UI" w:cs="Segoe UI"/>
          <w:sz w:val="21"/>
          <w:szCs w:val="21"/>
        </w:rPr>
        <w:t>Employee voice factsheet</w:t>
      </w:r>
      <w:r>
        <w:rPr>
          <w:rFonts w:ascii="Segoe UI" w:hAnsi="Segoe UI" w:cs="Segoe UI"/>
          <w:sz w:val="21"/>
          <w:szCs w:val="21"/>
        </w:rPr>
        <w:t>. Available at: https://www.cipd.org/uk/knowledge/factsheets/voice-factsheet (Accessed: 06 July 2026).</w:t>
      </w:r>
    </w:p>
    <w:p w14:paraId="4EC8E304"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CIPD (2024) </w:t>
      </w:r>
      <w:r>
        <w:rPr>
          <w:rStyle w:val="Emphasis"/>
          <w:rFonts w:ascii="Segoe UI" w:hAnsi="Segoe UI" w:cs="Segoe UI"/>
          <w:sz w:val="21"/>
          <w:szCs w:val="21"/>
        </w:rPr>
        <w:t>Good Work Index</w:t>
      </w:r>
      <w:r>
        <w:rPr>
          <w:rFonts w:ascii="Segoe UI" w:hAnsi="Segoe UI" w:cs="Segoe UI"/>
          <w:sz w:val="21"/>
          <w:szCs w:val="21"/>
        </w:rPr>
        <w:t>. Available at: https://www.cipd.org/uk/knowledge/reports/goodwork (Accessed: 08 June 2026).</w:t>
      </w:r>
    </w:p>
    <w:p w14:paraId="0BB9EBCB"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Daniels, K. (2022) </w:t>
      </w:r>
      <w:r>
        <w:rPr>
          <w:rStyle w:val="Emphasis"/>
          <w:rFonts w:ascii="Segoe UI" w:hAnsi="Segoe UI" w:cs="Segoe UI"/>
          <w:sz w:val="21"/>
          <w:szCs w:val="21"/>
        </w:rPr>
        <w:t>Introduction to Employment Law: Fundamentals for HR and Business Students</w:t>
      </w:r>
      <w:r>
        <w:rPr>
          <w:rFonts w:ascii="Segoe UI" w:hAnsi="Segoe UI" w:cs="Segoe UI"/>
          <w:sz w:val="21"/>
          <w:szCs w:val="21"/>
        </w:rPr>
        <w:t>. 6th edn. London: CIPD.</w:t>
      </w:r>
    </w:p>
    <w:p w14:paraId="76978E54"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GOV.UK (2026) </w:t>
      </w:r>
      <w:r>
        <w:rPr>
          <w:rStyle w:val="Emphasis"/>
          <w:rFonts w:ascii="Segoe UI" w:hAnsi="Segoe UI" w:cs="Segoe UI"/>
          <w:sz w:val="21"/>
          <w:szCs w:val="21"/>
        </w:rPr>
        <w:t>Dismissing staff: Overview</w:t>
      </w:r>
      <w:r>
        <w:rPr>
          <w:rFonts w:ascii="Segoe UI" w:hAnsi="Segoe UI" w:cs="Segoe UI"/>
          <w:sz w:val="21"/>
          <w:szCs w:val="21"/>
        </w:rPr>
        <w:t>. Available at: https://www.gov.uk/dismiss-staff (Accessed: 15 June 2026).</w:t>
      </w:r>
    </w:p>
    <w:p w14:paraId="2F3C2693"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IPA (2024) </w:t>
      </w:r>
      <w:r>
        <w:rPr>
          <w:rStyle w:val="Emphasis"/>
          <w:rFonts w:ascii="Segoe UI" w:hAnsi="Segoe UI" w:cs="Segoe UI"/>
          <w:sz w:val="21"/>
          <w:szCs w:val="21"/>
        </w:rPr>
        <w:t>Employee Voice: Benefits of Employee Voice</w:t>
      </w:r>
      <w:r>
        <w:rPr>
          <w:rFonts w:ascii="Segoe UI" w:hAnsi="Segoe UI" w:cs="Segoe UI"/>
          <w:sz w:val="21"/>
          <w:szCs w:val="21"/>
        </w:rPr>
        <w:t>. Available at: https://www.ipa-involve.com/employee-voice (Accessed: 08 June 2026).</w:t>
      </w:r>
    </w:p>
    <w:p w14:paraId="31A0AB32"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IPA (2024) </w:t>
      </w:r>
      <w:r>
        <w:rPr>
          <w:rStyle w:val="Emphasis"/>
          <w:rFonts w:ascii="Segoe UI" w:hAnsi="Segoe UI" w:cs="Segoe UI"/>
          <w:sz w:val="21"/>
          <w:szCs w:val="21"/>
        </w:rPr>
        <w:t>How workplace participation increases productivity: behavioural evidence</w:t>
      </w:r>
      <w:r>
        <w:rPr>
          <w:rFonts w:ascii="Segoe UI" w:hAnsi="Segoe UI" w:cs="Segoe UI"/>
          <w:sz w:val="21"/>
          <w:szCs w:val="21"/>
        </w:rPr>
        <w:t>. Available at: https://www.ipa-involve.com/news/how-workplace-participation-increases-productivity-behavioural-evidence (Accessed: 08 June 2026).</w:t>
      </w:r>
    </w:p>
    <w:p w14:paraId="7BD4762D"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Marchington, M. </w:t>
      </w:r>
      <w:r>
        <w:rPr>
          <w:rStyle w:val="Emphasis"/>
          <w:rFonts w:ascii="Segoe UI" w:hAnsi="Segoe UI" w:cs="Segoe UI"/>
          <w:sz w:val="21"/>
          <w:szCs w:val="21"/>
        </w:rPr>
        <w:t>et al.</w:t>
      </w:r>
      <w:r>
        <w:rPr>
          <w:rFonts w:ascii="Segoe UI" w:hAnsi="Segoe UI" w:cs="Segoe UI"/>
          <w:sz w:val="21"/>
          <w:szCs w:val="21"/>
        </w:rPr>
        <w:t xml:space="preserve"> (2025) </w:t>
      </w:r>
      <w:r>
        <w:rPr>
          <w:rStyle w:val="Emphasis"/>
          <w:rFonts w:ascii="Segoe UI" w:hAnsi="Segoe UI" w:cs="Segoe UI"/>
          <w:sz w:val="21"/>
          <w:szCs w:val="21"/>
        </w:rPr>
        <w:t>Human resource management at work: the definitive guide</w:t>
      </w:r>
      <w:r>
        <w:rPr>
          <w:rFonts w:ascii="Segoe UI" w:hAnsi="Segoe UI" w:cs="Segoe UI"/>
          <w:sz w:val="21"/>
          <w:szCs w:val="21"/>
        </w:rPr>
        <w:t>. 8th edn. London: Kogan Page.</w:t>
      </w:r>
    </w:p>
    <w:p w14:paraId="20C69476"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Resolution Foundation (2024) </w:t>
      </w:r>
      <w:r>
        <w:rPr>
          <w:rStyle w:val="Emphasis"/>
          <w:rFonts w:ascii="Segoe UI" w:hAnsi="Segoe UI" w:cs="Segoe UI"/>
          <w:sz w:val="21"/>
          <w:szCs w:val="21"/>
        </w:rPr>
        <w:t>Labour Market Analysis</w:t>
      </w:r>
      <w:r>
        <w:rPr>
          <w:rFonts w:ascii="Segoe UI" w:hAnsi="Segoe UI" w:cs="Segoe UI"/>
          <w:sz w:val="21"/>
          <w:szCs w:val="21"/>
        </w:rPr>
        <w:t>. London: Resolution Foundation. Available at: https://www.resolutionfoundation.org/publications/labour-market-outlook-q4-2024 (Accessed: 10 June 2026).</w:t>
      </w:r>
    </w:p>
    <w:p w14:paraId="7D3A2CEF"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lastRenderedPageBreak/>
        <w:t></w:t>
      </w:r>
      <w:r>
        <w:rPr>
          <w:rFonts w:ascii="Segoe UI" w:hAnsi="Segoe UI" w:cs="Segoe UI"/>
          <w:sz w:val="21"/>
          <w:szCs w:val="21"/>
        </w:rPr>
        <w:t xml:space="preserve">  Wilkinson, A. </w:t>
      </w:r>
      <w:r>
        <w:rPr>
          <w:rStyle w:val="Emphasis"/>
          <w:rFonts w:ascii="Segoe UI" w:hAnsi="Segoe UI" w:cs="Segoe UI"/>
          <w:sz w:val="21"/>
          <w:szCs w:val="21"/>
        </w:rPr>
        <w:t>et al.</w:t>
      </w:r>
      <w:r>
        <w:rPr>
          <w:rFonts w:ascii="Segoe UI" w:hAnsi="Segoe UI" w:cs="Segoe UI"/>
          <w:sz w:val="21"/>
          <w:szCs w:val="21"/>
        </w:rPr>
        <w:t xml:space="preserve"> (2004) ‘Changing Patterns of Employee Voice: Case Studies from the UK and Republic of Ireland’, </w:t>
      </w:r>
      <w:r>
        <w:rPr>
          <w:rStyle w:val="Emphasis"/>
          <w:rFonts w:ascii="Segoe UI" w:hAnsi="Segoe UI" w:cs="Segoe UI"/>
          <w:sz w:val="21"/>
          <w:szCs w:val="21"/>
        </w:rPr>
        <w:t>Journal of Industrial Relations</w:t>
      </w:r>
      <w:r>
        <w:rPr>
          <w:rFonts w:ascii="Segoe UI" w:hAnsi="Segoe UI" w:cs="Segoe UI"/>
          <w:sz w:val="21"/>
          <w:szCs w:val="21"/>
        </w:rPr>
        <w:t>, 46(3), pp. 298–322. Available at: https://doi.org/10.1111/j.0022-1856.2004.00143.x.</w:t>
      </w:r>
    </w:p>
    <w:p w14:paraId="3BDAC443" w14:textId="77777777" w:rsidR="006C70F2" w:rsidRDefault="006C70F2" w:rsidP="006C70F2">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Wilkinson, A., Knoll, M., Mowbray, P.K. and Dundon, T. (2021) ‘New Trajectories in Worker Voice: Integrating and Applying Contemporary Challenges in the Organisation of Work’, </w:t>
      </w:r>
      <w:r>
        <w:rPr>
          <w:rStyle w:val="Emphasis"/>
          <w:rFonts w:ascii="Segoe UI" w:hAnsi="Segoe UI" w:cs="Segoe UI"/>
          <w:sz w:val="21"/>
          <w:szCs w:val="21"/>
        </w:rPr>
        <w:t>British Journal of Management</w:t>
      </w:r>
      <w:r>
        <w:rPr>
          <w:rFonts w:ascii="Segoe UI" w:hAnsi="Segoe UI" w:cs="Segoe UI"/>
          <w:sz w:val="21"/>
          <w:szCs w:val="21"/>
        </w:rPr>
        <w:t>, 32(3), pp. 693–707.</w:t>
      </w:r>
    </w:p>
    <w:p w14:paraId="06B1F107" w14:textId="77777777" w:rsidR="00567A6B" w:rsidRPr="00FB56ED" w:rsidRDefault="00567A6B" w:rsidP="00FB56ED">
      <w:pPr>
        <w:pStyle w:val="ListParagraph"/>
        <w:spacing w:after="0" w:line="300" w:lineRule="atLeast"/>
        <w:rPr>
          <w:rFonts w:ascii="Segoe UI" w:eastAsia="Times New Roman" w:hAnsi="Segoe UI" w:cs="Segoe UI"/>
          <w:kern w:val="0"/>
          <w:sz w:val="21"/>
          <w:szCs w:val="21"/>
          <w:lang w:eastAsia="en-GB"/>
          <w14:ligatures w14:val="none"/>
        </w:rPr>
      </w:pPr>
    </w:p>
    <w:sectPr w:rsidR="00567A6B" w:rsidRPr="00FB56E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3E3A" w14:textId="77777777" w:rsidR="001C1826" w:rsidRDefault="001C1826" w:rsidP="0016216C">
      <w:pPr>
        <w:spacing w:after="0" w:line="240" w:lineRule="auto"/>
      </w:pPr>
      <w:r>
        <w:separator/>
      </w:r>
    </w:p>
  </w:endnote>
  <w:endnote w:type="continuationSeparator" w:id="0">
    <w:p w14:paraId="59AFC45A" w14:textId="77777777" w:rsidR="001C1826" w:rsidRDefault="001C1826" w:rsidP="00162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298175"/>
      <w:docPartObj>
        <w:docPartGallery w:val="Page Numbers (Bottom of Page)"/>
        <w:docPartUnique/>
      </w:docPartObj>
    </w:sdtPr>
    <w:sdtContent>
      <w:sdt>
        <w:sdtPr>
          <w:id w:val="-1769616900"/>
          <w:docPartObj>
            <w:docPartGallery w:val="Page Numbers (Top of Page)"/>
            <w:docPartUnique/>
          </w:docPartObj>
        </w:sdtPr>
        <w:sdtContent>
          <w:p w14:paraId="10C29A99" w14:textId="4B44A0CB" w:rsidR="000B0625" w:rsidRDefault="000B0625">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330FC12" w14:textId="77777777" w:rsidR="000B0625" w:rsidRDefault="000B0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3C32E" w14:textId="77777777" w:rsidR="001C1826" w:rsidRDefault="001C1826" w:rsidP="0016216C">
      <w:pPr>
        <w:spacing w:after="0" w:line="240" w:lineRule="auto"/>
      </w:pPr>
      <w:r>
        <w:separator/>
      </w:r>
    </w:p>
  </w:footnote>
  <w:footnote w:type="continuationSeparator" w:id="0">
    <w:p w14:paraId="5BDC31D7" w14:textId="77777777" w:rsidR="001C1826" w:rsidRDefault="001C1826" w:rsidP="001621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323"/>
      <w:gridCol w:w="8703"/>
    </w:tblGrid>
    <w:tr w:rsidR="006814B1" w14:paraId="136AC416" w14:textId="77777777">
      <w:trPr>
        <w:jc w:val="right"/>
      </w:trPr>
      <w:tc>
        <w:tcPr>
          <w:tcW w:w="0" w:type="auto"/>
          <w:shd w:val="clear" w:color="auto" w:fill="E97132" w:themeFill="accent2"/>
          <w:vAlign w:val="center"/>
        </w:tcPr>
        <w:p w14:paraId="25D3D3BD" w14:textId="77777777" w:rsidR="0016216C" w:rsidRDefault="0016216C">
          <w:pPr>
            <w:pStyle w:val="Header"/>
            <w:rPr>
              <w:caps/>
              <w:color w:val="FFFFFF" w:themeColor="background1"/>
            </w:rPr>
          </w:pPr>
        </w:p>
      </w:tc>
      <w:tc>
        <w:tcPr>
          <w:tcW w:w="0" w:type="auto"/>
          <w:shd w:val="clear" w:color="auto" w:fill="E97132" w:themeFill="accent2"/>
          <w:vAlign w:val="center"/>
        </w:tcPr>
        <w:p w14:paraId="4A6EB035" w14:textId="4DDC8BEE" w:rsidR="0016216C" w:rsidRDefault="0016216C">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299F06DA78AF41C180C973AC38B0318E"/>
              </w:placeholder>
              <w:dataBinding w:prefixMappings="xmlns:ns0='http://purl.org/dc/elements/1.1/' xmlns:ns1='http://schemas.openxmlformats.org/package/2006/metadata/core-properties' " w:xpath="/ns1:coreProperties[1]/ns0:title[1]" w:storeItemID="{6C3C8BC8-F283-45AE-878A-BAB7291924A1}"/>
              <w:text/>
            </w:sdtPr>
            <w:sdtContent>
              <w:r w:rsidR="006A0AA9">
                <w:rPr>
                  <w:caps/>
                  <w:color w:val="FFFFFF" w:themeColor="background1"/>
                </w:rPr>
                <w:t>Emma jane williams (Membership no: 92026043)</w:t>
              </w:r>
            </w:sdtContent>
          </w:sdt>
        </w:p>
      </w:tc>
    </w:tr>
  </w:tbl>
  <w:p w14:paraId="2B421F9F" w14:textId="77777777" w:rsidR="0016216C" w:rsidRDefault="00162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3C06"/>
    <w:multiLevelType w:val="multilevel"/>
    <w:tmpl w:val="05FA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F3E2D"/>
    <w:multiLevelType w:val="hybridMultilevel"/>
    <w:tmpl w:val="8024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4E5D28"/>
    <w:multiLevelType w:val="hybridMultilevel"/>
    <w:tmpl w:val="06B25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B71BAE"/>
    <w:multiLevelType w:val="hybridMultilevel"/>
    <w:tmpl w:val="BD60B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91618">
    <w:abstractNumId w:val="3"/>
  </w:num>
  <w:num w:numId="2" w16cid:durableId="703022721">
    <w:abstractNumId w:val="0"/>
  </w:num>
  <w:num w:numId="3" w16cid:durableId="1958481917">
    <w:abstractNumId w:val="2"/>
  </w:num>
  <w:num w:numId="4" w16cid:durableId="181568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6A7"/>
    <w:rsid w:val="00003735"/>
    <w:rsid w:val="00012204"/>
    <w:rsid w:val="00015A7A"/>
    <w:rsid w:val="00032C3B"/>
    <w:rsid w:val="00040D39"/>
    <w:rsid w:val="00052824"/>
    <w:rsid w:val="000626EA"/>
    <w:rsid w:val="00072557"/>
    <w:rsid w:val="00076292"/>
    <w:rsid w:val="00082989"/>
    <w:rsid w:val="000B0625"/>
    <w:rsid w:val="000B45B4"/>
    <w:rsid w:val="000C3987"/>
    <w:rsid w:val="000E1159"/>
    <w:rsid w:val="000E1EC4"/>
    <w:rsid w:val="000F6CCD"/>
    <w:rsid w:val="00100652"/>
    <w:rsid w:val="00101FF3"/>
    <w:rsid w:val="00105007"/>
    <w:rsid w:val="00113E54"/>
    <w:rsid w:val="00116992"/>
    <w:rsid w:val="0011752E"/>
    <w:rsid w:val="001373DE"/>
    <w:rsid w:val="0016216C"/>
    <w:rsid w:val="001674B3"/>
    <w:rsid w:val="001702A2"/>
    <w:rsid w:val="0018099C"/>
    <w:rsid w:val="00197292"/>
    <w:rsid w:val="001A17B5"/>
    <w:rsid w:val="001A3CB6"/>
    <w:rsid w:val="001B0E00"/>
    <w:rsid w:val="001B6329"/>
    <w:rsid w:val="001C0ACE"/>
    <w:rsid w:val="001C1826"/>
    <w:rsid w:val="001D4161"/>
    <w:rsid w:val="001D5A9C"/>
    <w:rsid w:val="001E0855"/>
    <w:rsid w:val="001F60C0"/>
    <w:rsid w:val="00210415"/>
    <w:rsid w:val="00220E87"/>
    <w:rsid w:val="00226F33"/>
    <w:rsid w:val="00230E6E"/>
    <w:rsid w:val="002342B2"/>
    <w:rsid w:val="00236C08"/>
    <w:rsid w:val="00240AD2"/>
    <w:rsid w:val="00251948"/>
    <w:rsid w:val="00252FF1"/>
    <w:rsid w:val="0025553D"/>
    <w:rsid w:val="0026411C"/>
    <w:rsid w:val="0026472E"/>
    <w:rsid w:val="002952E7"/>
    <w:rsid w:val="002A63E9"/>
    <w:rsid w:val="002B2019"/>
    <w:rsid w:val="002B608B"/>
    <w:rsid w:val="002C3673"/>
    <w:rsid w:val="002E32FF"/>
    <w:rsid w:val="00300347"/>
    <w:rsid w:val="00300EA2"/>
    <w:rsid w:val="0031618D"/>
    <w:rsid w:val="00337B0B"/>
    <w:rsid w:val="00342234"/>
    <w:rsid w:val="0034335E"/>
    <w:rsid w:val="00343B8A"/>
    <w:rsid w:val="003658F7"/>
    <w:rsid w:val="00371A9A"/>
    <w:rsid w:val="00376729"/>
    <w:rsid w:val="0038089F"/>
    <w:rsid w:val="00387D5C"/>
    <w:rsid w:val="003A6F67"/>
    <w:rsid w:val="003B27B9"/>
    <w:rsid w:val="003C3327"/>
    <w:rsid w:val="003C632E"/>
    <w:rsid w:val="003D4373"/>
    <w:rsid w:val="003E0DCA"/>
    <w:rsid w:val="003E152A"/>
    <w:rsid w:val="00400539"/>
    <w:rsid w:val="00403BC9"/>
    <w:rsid w:val="00412847"/>
    <w:rsid w:val="00412EAD"/>
    <w:rsid w:val="004144E1"/>
    <w:rsid w:val="0042705A"/>
    <w:rsid w:val="00437D39"/>
    <w:rsid w:val="004421FA"/>
    <w:rsid w:val="0045202C"/>
    <w:rsid w:val="00470914"/>
    <w:rsid w:val="00470E28"/>
    <w:rsid w:val="00496540"/>
    <w:rsid w:val="004B4816"/>
    <w:rsid w:val="004B4B7B"/>
    <w:rsid w:val="004B7B47"/>
    <w:rsid w:val="004C0754"/>
    <w:rsid w:val="00504673"/>
    <w:rsid w:val="00507743"/>
    <w:rsid w:val="00512ECC"/>
    <w:rsid w:val="00515E33"/>
    <w:rsid w:val="00522ED8"/>
    <w:rsid w:val="0053357C"/>
    <w:rsid w:val="00557028"/>
    <w:rsid w:val="00557E2A"/>
    <w:rsid w:val="005655D0"/>
    <w:rsid w:val="00567A6B"/>
    <w:rsid w:val="00574784"/>
    <w:rsid w:val="005802B6"/>
    <w:rsid w:val="00582524"/>
    <w:rsid w:val="00586D53"/>
    <w:rsid w:val="005A524F"/>
    <w:rsid w:val="005B0789"/>
    <w:rsid w:val="005B7D39"/>
    <w:rsid w:val="00612C06"/>
    <w:rsid w:val="00615C26"/>
    <w:rsid w:val="006160B3"/>
    <w:rsid w:val="00631941"/>
    <w:rsid w:val="00632515"/>
    <w:rsid w:val="006441A1"/>
    <w:rsid w:val="00667ED7"/>
    <w:rsid w:val="00670A4B"/>
    <w:rsid w:val="00671B6F"/>
    <w:rsid w:val="00673ED3"/>
    <w:rsid w:val="0067636F"/>
    <w:rsid w:val="006814B1"/>
    <w:rsid w:val="006A0AA9"/>
    <w:rsid w:val="006A2104"/>
    <w:rsid w:val="006A4DB6"/>
    <w:rsid w:val="006B23A2"/>
    <w:rsid w:val="006B5524"/>
    <w:rsid w:val="006B5BCB"/>
    <w:rsid w:val="006C70F2"/>
    <w:rsid w:val="006D2970"/>
    <w:rsid w:val="006D6FAA"/>
    <w:rsid w:val="006E0DC3"/>
    <w:rsid w:val="006F7DF2"/>
    <w:rsid w:val="007038D2"/>
    <w:rsid w:val="007133E4"/>
    <w:rsid w:val="00716A91"/>
    <w:rsid w:val="007265B9"/>
    <w:rsid w:val="0073304E"/>
    <w:rsid w:val="007333FB"/>
    <w:rsid w:val="007336DC"/>
    <w:rsid w:val="00735DE3"/>
    <w:rsid w:val="0074461F"/>
    <w:rsid w:val="00753773"/>
    <w:rsid w:val="0076598D"/>
    <w:rsid w:val="00783352"/>
    <w:rsid w:val="007835F7"/>
    <w:rsid w:val="00784620"/>
    <w:rsid w:val="007A780B"/>
    <w:rsid w:val="007B4CCD"/>
    <w:rsid w:val="007D28C7"/>
    <w:rsid w:val="007D6C21"/>
    <w:rsid w:val="007D7BD7"/>
    <w:rsid w:val="007E13F2"/>
    <w:rsid w:val="007F6A33"/>
    <w:rsid w:val="00812913"/>
    <w:rsid w:val="0081766E"/>
    <w:rsid w:val="00817957"/>
    <w:rsid w:val="00820047"/>
    <w:rsid w:val="0082649F"/>
    <w:rsid w:val="0083147E"/>
    <w:rsid w:val="008320A8"/>
    <w:rsid w:val="008327E1"/>
    <w:rsid w:val="00835DD5"/>
    <w:rsid w:val="00841F6F"/>
    <w:rsid w:val="00846DD0"/>
    <w:rsid w:val="008564CC"/>
    <w:rsid w:val="00886D23"/>
    <w:rsid w:val="0089606D"/>
    <w:rsid w:val="00897362"/>
    <w:rsid w:val="008B0DFB"/>
    <w:rsid w:val="008B5EA7"/>
    <w:rsid w:val="008B6151"/>
    <w:rsid w:val="008C689A"/>
    <w:rsid w:val="008D166C"/>
    <w:rsid w:val="008D235C"/>
    <w:rsid w:val="008D54BC"/>
    <w:rsid w:val="008D6119"/>
    <w:rsid w:val="008D7A67"/>
    <w:rsid w:val="008E0565"/>
    <w:rsid w:val="008E13B9"/>
    <w:rsid w:val="008E4536"/>
    <w:rsid w:val="008E46A7"/>
    <w:rsid w:val="009069D1"/>
    <w:rsid w:val="00910FC5"/>
    <w:rsid w:val="00913301"/>
    <w:rsid w:val="00926B0C"/>
    <w:rsid w:val="009348B6"/>
    <w:rsid w:val="009536EB"/>
    <w:rsid w:val="00956D3B"/>
    <w:rsid w:val="00965658"/>
    <w:rsid w:val="0096668D"/>
    <w:rsid w:val="0097136D"/>
    <w:rsid w:val="009741FD"/>
    <w:rsid w:val="00974434"/>
    <w:rsid w:val="00980483"/>
    <w:rsid w:val="0098367E"/>
    <w:rsid w:val="00983C7A"/>
    <w:rsid w:val="00983F9E"/>
    <w:rsid w:val="009909FC"/>
    <w:rsid w:val="0099451A"/>
    <w:rsid w:val="00996CA6"/>
    <w:rsid w:val="009C60B8"/>
    <w:rsid w:val="009D1604"/>
    <w:rsid w:val="009E2610"/>
    <w:rsid w:val="009E4087"/>
    <w:rsid w:val="009E4FF9"/>
    <w:rsid w:val="009E5C48"/>
    <w:rsid w:val="009E76A5"/>
    <w:rsid w:val="009F06B5"/>
    <w:rsid w:val="009F19FC"/>
    <w:rsid w:val="009F1A7E"/>
    <w:rsid w:val="009F7C40"/>
    <w:rsid w:val="00A15CE9"/>
    <w:rsid w:val="00A209E0"/>
    <w:rsid w:val="00A35D23"/>
    <w:rsid w:val="00A372C3"/>
    <w:rsid w:val="00A5095F"/>
    <w:rsid w:val="00A56A0D"/>
    <w:rsid w:val="00A7031C"/>
    <w:rsid w:val="00A732EC"/>
    <w:rsid w:val="00A94D9B"/>
    <w:rsid w:val="00AA06B5"/>
    <w:rsid w:val="00AA5AED"/>
    <w:rsid w:val="00AB4E9C"/>
    <w:rsid w:val="00AD51AC"/>
    <w:rsid w:val="00AE2441"/>
    <w:rsid w:val="00AE5F61"/>
    <w:rsid w:val="00AF21C0"/>
    <w:rsid w:val="00AF506A"/>
    <w:rsid w:val="00B12D93"/>
    <w:rsid w:val="00B17330"/>
    <w:rsid w:val="00B2286A"/>
    <w:rsid w:val="00B2331C"/>
    <w:rsid w:val="00B52886"/>
    <w:rsid w:val="00B637E5"/>
    <w:rsid w:val="00B67D29"/>
    <w:rsid w:val="00B77B53"/>
    <w:rsid w:val="00B8238F"/>
    <w:rsid w:val="00B829C7"/>
    <w:rsid w:val="00B87526"/>
    <w:rsid w:val="00B922FA"/>
    <w:rsid w:val="00B93BC7"/>
    <w:rsid w:val="00B961B9"/>
    <w:rsid w:val="00B9646C"/>
    <w:rsid w:val="00B96761"/>
    <w:rsid w:val="00B969F1"/>
    <w:rsid w:val="00BA412F"/>
    <w:rsid w:val="00BA7E33"/>
    <w:rsid w:val="00BB2EA7"/>
    <w:rsid w:val="00BB54E4"/>
    <w:rsid w:val="00BC141D"/>
    <w:rsid w:val="00BC2D6E"/>
    <w:rsid w:val="00BC4952"/>
    <w:rsid w:val="00BD323A"/>
    <w:rsid w:val="00BD449C"/>
    <w:rsid w:val="00BE2C11"/>
    <w:rsid w:val="00BE4418"/>
    <w:rsid w:val="00C07F00"/>
    <w:rsid w:val="00C3303C"/>
    <w:rsid w:val="00C33CDF"/>
    <w:rsid w:val="00C371DA"/>
    <w:rsid w:val="00C405B2"/>
    <w:rsid w:val="00C64A92"/>
    <w:rsid w:val="00C662F4"/>
    <w:rsid w:val="00C71D78"/>
    <w:rsid w:val="00C85C98"/>
    <w:rsid w:val="00C86272"/>
    <w:rsid w:val="00C9287B"/>
    <w:rsid w:val="00C93817"/>
    <w:rsid w:val="00C966DF"/>
    <w:rsid w:val="00C96DE6"/>
    <w:rsid w:val="00CA34BB"/>
    <w:rsid w:val="00CA393B"/>
    <w:rsid w:val="00CA7FFD"/>
    <w:rsid w:val="00CB45AA"/>
    <w:rsid w:val="00CC1605"/>
    <w:rsid w:val="00CD0557"/>
    <w:rsid w:val="00CD23BA"/>
    <w:rsid w:val="00CD798D"/>
    <w:rsid w:val="00D0559D"/>
    <w:rsid w:val="00D07FBB"/>
    <w:rsid w:val="00D2251E"/>
    <w:rsid w:val="00D329CC"/>
    <w:rsid w:val="00D344E3"/>
    <w:rsid w:val="00D43ECC"/>
    <w:rsid w:val="00D5496E"/>
    <w:rsid w:val="00D738D5"/>
    <w:rsid w:val="00D90F88"/>
    <w:rsid w:val="00D93A88"/>
    <w:rsid w:val="00D95260"/>
    <w:rsid w:val="00DA1346"/>
    <w:rsid w:val="00DA495B"/>
    <w:rsid w:val="00DB0568"/>
    <w:rsid w:val="00DC28A4"/>
    <w:rsid w:val="00DD17EF"/>
    <w:rsid w:val="00DD3E6B"/>
    <w:rsid w:val="00DF2E89"/>
    <w:rsid w:val="00E03C7C"/>
    <w:rsid w:val="00E05852"/>
    <w:rsid w:val="00E12612"/>
    <w:rsid w:val="00E161AC"/>
    <w:rsid w:val="00E2678F"/>
    <w:rsid w:val="00E3480B"/>
    <w:rsid w:val="00E43ED2"/>
    <w:rsid w:val="00E46FE1"/>
    <w:rsid w:val="00E623E9"/>
    <w:rsid w:val="00E90AE1"/>
    <w:rsid w:val="00E94E7F"/>
    <w:rsid w:val="00EA1455"/>
    <w:rsid w:val="00EB0698"/>
    <w:rsid w:val="00EB256B"/>
    <w:rsid w:val="00ED1158"/>
    <w:rsid w:val="00ED5DFA"/>
    <w:rsid w:val="00ED7772"/>
    <w:rsid w:val="00EE4619"/>
    <w:rsid w:val="00EF087C"/>
    <w:rsid w:val="00EF0CA8"/>
    <w:rsid w:val="00F00EC0"/>
    <w:rsid w:val="00F061B9"/>
    <w:rsid w:val="00F130D8"/>
    <w:rsid w:val="00F22772"/>
    <w:rsid w:val="00F24692"/>
    <w:rsid w:val="00F253D7"/>
    <w:rsid w:val="00F25E31"/>
    <w:rsid w:val="00F406AC"/>
    <w:rsid w:val="00F43A72"/>
    <w:rsid w:val="00F46E82"/>
    <w:rsid w:val="00F47822"/>
    <w:rsid w:val="00F47B2D"/>
    <w:rsid w:val="00F63A62"/>
    <w:rsid w:val="00F743D4"/>
    <w:rsid w:val="00F774DB"/>
    <w:rsid w:val="00F87FEB"/>
    <w:rsid w:val="00FB056F"/>
    <w:rsid w:val="00FB0C12"/>
    <w:rsid w:val="00FB3CDE"/>
    <w:rsid w:val="00FB56ED"/>
    <w:rsid w:val="00FC2EB4"/>
    <w:rsid w:val="00FC578B"/>
    <w:rsid w:val="00FE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35F32"/>
  <w15:chartTrackingRefBased/>
  <w15:docId w15:val="{3178CEBD-0B89-4392-B96B-2C1BE95D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6A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6A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E46A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E46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E46A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E46A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E46A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6A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6A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E46A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E46A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E46A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E46A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E46A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E4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6A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6A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E46A7"/>
    <w:pPr>
      <w:spacing w:before="160"/>
      <w:jc w:val="center"/>
    </w:pPr>
    <w:rPr>
      <w:i/>
      <w:iCs/>
      <w:color w:val="404040" w:themeColor="text1" w:themeTint="BF"/>
    </w:rPr>
  </w:style>
  <w:style w:type="character" w:customStyle="1" w:styleId="QuoteChar">
    <w:name w:val="Quote Char"/>
    <w:basedOn w:val="DefaultParagraphFont"/>
    <w:link w:val="Quote"/>
    <w:uiPriority w:val="29"/>
    <w:rsid w:val="008E46A7"/>
    <w:rPr>
      <w:i/>
      <w:iCs/>
      <w:color w:val="404040" w:themeColor="text1" w:themeTint="BF"/>
    </w:rPr>
  </w:style>
  <w:style w:type="paragraph" w:styleId="ListParagraph">
    <w:name w:val="List Paragraph"/>
    <w:basedOn w:val="Normal"/>
    <w:uiPriority w:val="34"/>
    <w:qFormat/>
    <w:rsid w:val="008E46A7"/>
    <w:pPr>
      <w:ind w:left="720"/>
      <w:contextualSpacing/>
    </w:pPr>
  </w:style>
  <w:style w:type="character" w:styleId="IntenseEmphasis">
    <w:name w:val="Intense Emphasis"/>
    <w:basedOn w:val="DefaultParagraphFont"/>
    <w:uiPriority w:val="21"/>
    <w:qFormat/>
    <w:rsid w:val="008E46A7"/>
    <w:rPr>
      <w:i/>
      <w:iCs/>
      <w:color w:val="0F4761" w:themeColor="accent1" w:themeShade="BF"/>
    </w:rPr>
  </w:style>
  <w:style w:type="paragraph" w:styleId="IntenseQuote">
    <w:name w:val="Intense Quote"/>
    <w:basedOn w:val="Normal"/>
    <w:next w:val="Normal"/>
    <w:link w:val="IntenseQuoteChar"/>
    <w:uiPriority w:val="30"/>
    <w:qFormat/>
    <w:rsid w:val="008E4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6A7"/>
    <w:rPr>
      <w:i/>
      <w:iCs/>
      <w:color w:val="0F4761" w:themeColor="accent1" w:themeShade="BF"/>
    </w:rPr>
  </w:style>
  <w:style w:type="character" w:styleId="IntenseReference">
    <w:name w:val="Intense Reference"/>
    <w:basedOn w:val="DefaultParagraphFont"/>
    <w:uiPriority w:val="32"/>
    <w:qFormat/>
    <w:rsid w:val="008E46A7"/>
    <w:rPr>
      <w:b/>
      <w:bCs/>
      <w:smallCaps/>
      <w:color w:val="0F4761" w:themeColor="accent1" w:themeShade="BF"/>
      <w:spacing w:val="5"/>
    </w:rPr>
  </w:style>
  <w:style w:type="paragraph" w:styleId="Header">
    <w:name w:val="header"/>
    <w:basedOn w:val="Normal"/>
    <w:link w:val="HeaderChar"/>
    <w:uiPriority w:val="99"/>
    <w:unhideWhenUsed/>
    <w:rsid w:val="00162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16C"/>
  </w:style>
  <w:style w:type="paragraph" w:styleId="Footer">
    <w:name w:val="footer"/>
    <w:basedOn w:val="Normal"/>
    <w:link w:val="FooterChar"/>
    <w:uiPriority w:val="99"/>
    <w:unhideWhenUsed/>
    <w:rsid w:val="00162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16C"/>
  </w:style>
  <w:style w:type="character" w:styleId="Emphasis">
    <w:name w:val="Emphasis"/>
    <w:basedOn w:val="DefaultParagraphFont"/>
    <w:uiPriority w:val="20"/>
    <w:qFormat/>
    <w:rsid w:val="00B93BC7"/>
    <w:rPr>
      <w:i/>
      <w:iCs/>
    </w:rPr>
  </w:style>
  <w:style w:type="character" w:styleId="Hyperlink">
    <w:name w:val="Hyperlink"/>
    <w:basedOn w:val="DefaultParagraphFont"/>
    <w:uiPriority w:val="99"/>
    <w:unhideWhenUsed/>
    <w:rsid w:val="008B0DFB"/>
    <w:rPr>
      <w:color w:val="467886" w:themeColor="hyperlink"/>
      <w:u w:val="single"/>
    </w:rPr>
  </w:style>
  <w:style w:type="character" w:styleId="UnresolvedMention">
    <w:name w:val="Unresolved Mention"/>
    <w:basedOn w:val="DefaultParagraphFont"/>
    <w:uiPriority w:val="99"/>
    <w:semiHidden/>
    <w:unhideWhenUsed/>
    <w:rsid w:val="008B0DFB"/>
    <w:rPr>
      <w:color w:val="605E5C"/>
      <w:shd w:val="clear" w:color="auto" w:fill="E1DFDD"/>
    </w:rPr>
  </w:style>
  <w:style w:type="character" w:styleId="FollowedHyperlink">
    <w:name w:val="FollowedHyperlink"/>
    <w:basedOn w:val="DefaultParagraphFont"/>
    <w:uiPriority w:val="99"/>
    <w:semiHidden/>
    <w:unhideWhenUsed/>
    <w:rsid w:val="007B4CCD"/>
    <w:rPr>
      <w:color w:val="96607D" w:themeColor="followedHyperlink"/>
      <w:u w:val="single"/>
    </w:rPr>
  </w:style>
  <w:style w:type="paragraph" w:styleId="NormalWeb">
    <w:name w:val="Normal (Web)"/>
    <w:basedOn w:val="Normal"/>
    <w:uiPriority w:val="99"/>
    <w:semiHidden/>
    <w:unhideWhenUsed/>
    <w:rsid w:val="006C70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9F06DA78AF41C180C973AC38B0318E"/>
        <w:category>
          <w:name w:val="General"/>
          <w:gallery w:val="placeholder"/>
        </w:category>
        <w:types>
          <w:type w:val="bbPlcHdr"/>
        </w:types>
        <w:behaviors>
          <w:behavior w:val="content"/>
        </w:behaviors>
        <w:guid w:val="{ACAA3F81-4A43-4633-8F49-04A7C49B8483}"/>
      </w:docPartPr>
      <w:docPartBody>
        <w:p w:rsidR="007D3C02" w:rsidRDefault="007D3C02" w:rsidP="007D3C02">
          <w:pPr>
            <w:pStyle w:val="299F06DA78AF41C180C973AC38B0318E"/>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02"/>
    <w:rsid w:val="00062AF6"/>
    <w:rsid w:val="00300EA2"/>
    <w:rsid w:val="00391E5B"/>
    <w:rsid w:val="003A692C"/>
    <w:rsid w:val="00661FC6"/>
    <w:rsid w:val="007D3C02"/>
    <w:rsid w:val="00965658"/>
    <w:rsid w:val="00B6244A"/>
    <w:rsid w:val="00D07FBB"/>
    <w:rsid w:val="00E6115D"/>
    <w:rsid w:val="00FB0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F06DA78AF41C180C973AC38B0318E">
    <w:name w:val="299F06DA78AF41C180C973AC38B0318E"/>
    <w:rsid w:val="007D3C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19</TotalTime>
  <Pages>12</Pages>
  <Words>4743</Words>
  <Characters>26040</Characters>
  <Application>Microsoft Office Word</Application>
  <DocSecurity>0</DocSecurity>
  <Lines>930</Lines>
  <Paragraphs>399</Paragraphs>
  <ScaleCrop>false</ScaleCrop>
  <Company>Swansea Council</Company>
  <LinksUpToDate>false</LinksUpToDate>
  <CharactersWithSpaces>30384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Emma jane williams (Membership no: 92026043)</dc:title>
  <dc:subject/>
  <dc:creator>Emma Jane Williams</dc:creator>
  <cp:keywords/>
  <dc:description/>
  <cp:lastModifiedBy>Emma Jane Williams</cp:lastModifiedBy>
  <cp:revision>15</cp:revision>
  <dcterms:created xsi:type="dcterms:W3CDTF">2026-07-21T22:31:00Z</dcterms:created>
  <dcterms:modified xsi:type="dcterms:W3CDTF">2026-07-22T09:36:00Z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26b6e426-2fbb-43a3-b49a-57d9185a8920</vt:lpwstr>
  </property>
</Properties>
</file>