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webextensions/taskpanes.xml" ContentType="application/vnd.ms-office.webextensiontaskpanes+xml"/>
  <Override PartName="/word/webextensions/webextension.xml" ContentType="application/vnd.ms-office.webextension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microsoft.com/office/2011/relationships/webextensiontaskpanes" Target="word/webextensions/taskpanes.xml" Id="Rbaa73df3a89b4a99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42BF080" wp14:paraId="2C078E63" wp14:textId="76486338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42BF080" w:rsidR="345799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 primary source I have </w:t>
      </w:r>
      <w:r w:rsidRPr="042BF080" w:rsidR="345799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identified</w:t>
      </w:r>
      <w:r w:rsidRPr="042BF080" w:rsidR="345799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is </w:t>
      </w:r>
      <w:r w:rsidRPr="042BF080" w:rsidR="15A1EAE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 book of letters from General Charles Leclerc, edited and published in 1937 by Paul </w:t>
      </w:r>
      <w:r w:rsidRPr="042BF080" w:rsidR="15A1EAE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Roussier</w:t>
      </w:r>
      <w:r w:rsidRPr="042BF080" w:rsidR="15A1EAE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sent in 1</w:t>
      </w:r>
      <w:r w:rsidRPr="042BF080" w:rsidR="531A39C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802 while Leclerc held com</w:t>
      </w:r>
      <w:r w:rsidRPr="042BF080" w:rsidR="740511D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</w:t>
      </w:r>
      <w:r w:rsidRPr="042BF080" w:rsidR="531A39C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and of French armed forces occupying Saint-Domingue</w:t>
      </w:r>
      <w:r w:rsidRPr="042BF080" w:rsidR="747B05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042BF080" w:rsidR="69B700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 these letters, he writes of his intent to engage in "</w:t>
      </w:r>
      <w:r w:rsidRPr="042BF080" w:rsidR="69B700D0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une</w:t>
      </w:r>
      <w:r w:rsidRPr="042BF080" w:rsidR="69B700D0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 xml:space="preserve"> guerre </w:t>
      </w:r>
      <w:r w:rsidRPr="042BF080" w:rsidR="69B700D0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d’extermination</w:t>
      </w:r>
      <w:r w:rsidRPr="042BF080" w:rsidR="69B700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”</w:t>
      </w:r>
      <w:r w:rsidRPr="042BF080">
        <w:rPr>
          <w:rStyle w:val="FootnoteReference"/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footnoteReference w:id="9676"/>
      </w:r>
      <w:r w:rsidRPr="042BF080" w:rsidR="69B700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a war of exterminati</w:t>
      </w:r>
      <w:r w:rsidRPr="042BF080" w:rsidR="54DB72F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on</w:t>
      </w:r>
      <w:r w:rsidRPr="042BF080">
        <w:rPr>
          <w:rStyle w:val="FootnoteReference"/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footnoteReference w:id="30157"/>
      </w:r>
      <w:r w:rsidRPr="042BF080" w:rsidR="2BC9C23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and further to </w:t>
      </w:r>
      <w:r w:rsidRPr="042BF080" w:rsidR="4C3D83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massacre the black population of Saint-Domingue, “keeping only infants less than twelve years old”</w:t>
      </w:r>
      <w:r w:rsidRPr="042BF080">
        <w:rPr>
          <w:rStyle w:val="FootnoteReference"/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footnoteReference w:id="17041"/>
      </w:r>
      <w:r w:rsidRPr="042BF080" w:rsidR="1C9CC93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042BF080" w:rsidR="39AFDE3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As I intend to discuss the possibility of the boundary of genocide being crossed, per Article 2 of the United Nations definition of genocide</w:t>
      </w:r>
      <w:r w:rsidRPr="042BF080">
        <w:rPr>
          <w:rStyle w:val="FootnoteReference"/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footnoteReference w:id="7967"/>
      </w:r>
      <w:r w:rsidRPr="042BF080" w:rsidR="06D9B52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these clear statements by Leclerc of his own intent behind the actions taken by the troops he commanded</w:t>
      </w:r>
      <w:r w:rsidRPr="042BF080" w:rsidR="2F3E563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in my opinion, indicate a degree of intentional destruction of the black population, as opposed to an intended destruction of rebellious elements present at the time.</w:t>
      </w:r>
      <w:r w:rsidRPr="042BF080" w:rsidR="7A60463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Additionally, they can offer further context to Leclerc’s </w:t>
      </w:r>
      <w:r w:rsidRPr="042BF080" w:rsidR="23DB9AC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struggles and</w:t>
      </w:r>
      <w:r w:rsidRPr="042BF080" w:rsidR="4E0FB0D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042BF080" w:rsidR="4E0FB0D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indicate</w:t>
      </w:r>
      <w:r w:rsidRPr="042BF080" w:rsidR="4E0FB0D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reasons for the extreme actions he undertook </w:t>
      </w:r>
      <w:r w:rsidRPr="042BF080" w:rsidR="7255BBD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as </w:t>
      </w:r>
      <w:r w:rsidRPr="042BF080" w:rsidR="4E0FB0D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1802</w:t>
      </w:r>
      <w:r w:rsidRPr="042BF080" w:rsidR="7255BBD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progressed</w:t>
      </w:r>
      <w:r w:rsidRPr="042BF080" w:rsidR="4E0FB0D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; </w:t>
      </w:r>
      <w:r w:rsidRPr="042BF080" w:rsidR="4E0FB0D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he was suffering from yellow fever, which was ravaging his troops, </w:t>
      </w:r>
      <w:r w:rsidRPr="042BF080" w:rsidR="5093E7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killing as many as 120 of his troops a day</w:t>
      </w:r>
      <w:r w:rsidRPr="042BF080" w:rsidR="3DA464C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by September 16th</w:t>
      </w:r>
      <w:r w:rsidRPr="042BF080">
        <w:rPr>
          <w:rStyle w:val="FootnoteReference"/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footnoteReference w:id="12764"/>
      </w:r>
      <w:r w:rsidRPr="042BF080" w:rsidR="5093E7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042BF080" w:rsidR="3E926AA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Such severe losses of his own men could have</w:t>
      </w:r>
      <w:r w:rsidRPr="042BF080" w:rsidR="4902CEB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influenced him to act harshly against any person or troop he considered a threat against </w:t>
      </w:r>
      <w:r w:rsidRPr="042BF080" w:rsidR="12CA8A4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continued French control of the colony.</w:t>
      </w:r>
      <w:r>
        <w:br/>
      </w:r>
      <w:r>
        <w:br/>
      </w:r>
      <w:r>
        <w:br/>
      </w:r>
    </w:p>
    <w:p w:rsidR="042BF080" w:rsidP="042BF080" w:rsidRDefault="042BF080" w14:paraId="373EFFDC" w14:textId="031490D1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042BF080" w:rsidP="042BF080" w:rsidRDefault="042BF080" w14:paraId="704C3FA6" w14:textId="7655C82B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042BF080" w:rsidP="042BF080" w:rsidRDefault="042BF080" w14:paraId="21B0C78D" w14:textId="0AF8FD30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042BF080" w:rsidP="042BF080" w:rsidRDefault="042BF080" w14:paraId="2B1FD9B6" w14:textId="3726F791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042BF080" w:rsidP="042BF080" w:rsidRDefault="042BF080" w14:paraId="4C61C79C" w14:textId="024FD3E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042BF080" w:rsidP="042BF080" w:rsidRDefault="042BF080" w14:paraId="6671985B" w14:textId="4C00954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042BF080" w:rsidP="042BF080" w:rsidRDefault="042BF080" w14:paraId="62550066" w14:textId="6EEA003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042BF080" w:rsidP="042BF080" w:rsidRDefault="042BF080" w14:paraId="1FCC5C04" w14:textId="7468A5B1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042BF080" w:rsidP="042BF080" w:rsidRDefault="042BF080" w14:paraId="729094BB" w14:textId="108547F7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042BF080" w:rsidP="042BF080" w:rsidRDefault="042BF080" w14:paraId="48F4D9CA" w14:textId="1B1176EF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042BF080" w:rsidP="042BF080" w:rsidRDefault="042BF080" w14:paraId="6F8E2398" w14:textId="38A892A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042BF080" w:rsidP="042BF080" w:rsidRDefault="042BF080" w14:paraId="0BFE831C" w14:textId="47F376AC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042BF080" w:rsidP="042BF080" w:rsidRDefault="042BF080" w14:paraId="28B15E86" w14:textId="349CCA68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042BF080" w:rsidP="042BF080" w:rsidRDefault="042BF080" w14:paraId="3D260122" w14:textId="7D98F4BA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042BF080" w:rsidP="042BF080" w:rsidRDefault="042BF080" w14:paraId="0ABD2311" w14:textId="03F81DEB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2594B9B3" w:rsidP="042BF080" w:rsidRDefault="2594B9B3" w14:paraId="1BF6800A" w14:textId="36A6264B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Aptos" w:hAnsi="Aptos" w:eastAsia="Aptos" w:cs="Aptos"/>
          <w:noProof w:val="0"/>
          <w:sz w:val="24"/>
          <w:szCs w:val="24"/>
          <w:lang w:val="fr-FR"/>
        </w:rPr>
      </w:pPr>
      <w:r w:rsidRPr="042BF080" w:rsidR="2594B9B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lang w:val="fr-FR"/>
        </w:rPr>
        <w:t>Bibliography:</w:t>
      </w:r>
      <w:r>
        <w:br/>
      </w:r>
      <w:r>
        <w:br/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Girard, P.R. (2013). French 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atrocities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during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the 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Haitian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War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of Independence. 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Journal of 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genocide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research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, 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15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(2), pp. 133–149. 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Available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: </w:t>
      </w:r>
      <w:hyperlink r:id="R34c00ae3f53e4326">
        <w:r w:rsidRPr="042BF080" w:rsidR="4C4E49B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fr-FR"/>
          </w:rPr>
          <w:t>https://www.tandfonline.com/doi/full/10.1080/14623528.2013.789181</w:t>
        </w:r>
      </w:hyperlink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(</w:t>
      </w:r>
      <w:r w:rsidRPr="042BF080" w:rsidR="4C4E4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Accessed: 8 November 2024)</w:t>
      </w:r>
      <w:r>
        <w:br/>
      </w:r>
      <w:r>
        <w:br/>
      </w:r>
      <w:r w:rsidRPr="042BF080" w:rsidR="48B3A5B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lang w:val="fr-FR"/>
        </w:rPr>
        <w:t>Leclerc</w:t>
      </w:r>
      <w:r w:rsidRPr="042BF080" w:rsidR="4F2A16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lang w:val="fr-FR"/>
        </w:rPr>
        <w:t>,</w:t>
      </w:r>
      <w:r w:rsidRPr="042BF080" w:rsidR="48B3A5B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lang w:val="fr-FR"/>
        </w:rPr>
        <w:t xml:space="preserve"> C.V.E., Roussier</w:t>
      </w:r>
      <w:r w:rsidRPr="042BF080" w:rsidR="454B4BF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lang w:val="fr-FR"/>
        </w:rPr>
        <w:t>,</w:t>
      </w:r>
      <w:r w:rsidRPr="042BF080" w:rsidR="48B3A5B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lang w:val="fr-FR"/>
        </w:rPr>
        <w:t xml:space="preserve"> P. (1937). </w:t>
      </w:r>
      <w:r w:rsidRPr="042BF080" w:rsidR="48B3A5B4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  <w:lang w:val="fr-FR"/>
        </w:rPr>
        <w:t>Lettres du Général Leclerc commandant en chef de l’armée de Saint-Domingue en 1802</w:t>
      </w:r>
      <w:r w:rsidRPr="042BF080" w:rsidR="48B3A5B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lang w:val="fr-FR"/>
        </w:rPr>
        <w:t xml:space="preserve">. [Online] Paris, </w:t>
      </w:r>
      <w:r w:rsidRPr="042BF080" w:rsidR="48B3A5B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lang w:val="fr-FR"/>
        </w:rPr>
        <w:t>France:</w:t>
      </w:r>
      <w:r w:rsidRPr="042BF080" w:rsidR="48B3A5B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lang w:val="fr-FR"/>
        </w:rPr>
        <w:t xml:space="preserve"> Société de l'Histoire des Colonies Françaises;  </w:t>
      </w:r>
      <w:r w:rsidRPr="042BF080" w:rsidR="48B3A5B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lang w:val="fr-FR"/>
        </w:rPr>
        <w:t>Available</w:t>
      </w:r>
      <w:r w:rsidRPr="042BF080" w:rsidR="48B3A5B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lang w:val="fr-FR"/>
        </w:rPr>
        <w:t>: https://www.persee.fr/doc/sfhom_1961-8166_1937_edc_6_1 [</w:t>
      </w:r>
      <w:r w:rsidRPr="042BF080" w:rsidR="48B3A5B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lang w:val="fr-FR"/>
        </w:rPr>
        <w:t>Accessed</w:t>
      </w:r>
      <w:r w:rsidRPr="042BF080" w:rsidR="48B3A5B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lang w:val="fr-FR"/>
        </w:rPr>
        <w:t xml:space="preserve"> 8 </w:t>
      </w:r>
      <w:r w:rsidRPr="042BF080" w:rsidR="48B3A5B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lang w:val="fr-FR"/>
        </w:rPr>
        <w:t>November</w:t>
      </w:r>
      <w:r w:rsidRPr="042BF080" w:rsidR="48B3A5B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lang w:val="fr-FR"/>
        </w:rPr>
        <w:t xml:space="preserve"> 2024]</w:t>
      </w:r>
      <w:r>
        <w:br/>
      </w:r>
      <w:r>
        <w:br/>
      </w:r>
      <w:r w:rsidRPr="042BF080" w:rsidR="084A96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 General Assembly, (1948). </w:t>
      </w:r>
      <w:r w:rsidRPr="042BF080" w:rsidR="084A96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Convention on the Prevention and Punishment of the Crime of Genocide</w:t>
      </w:r>
      <w:r w:rsidRPr="042BF080" w:rsidR="084A96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[Online] United Nations, Treaty Series, vol. 78, p. 277. Available: https://www.refworld.org/legal/agreements/unga/1948/en/13495 [Accessed: 8 November 2024]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042BF080" w:rsidRDefault="042BF080" w14:paraId="16CC691C" w14:textId="7D57CA68">
      <w:pPr>
        <w:spacing w:after="0" w:line="240" w:lineRule="auto"/>
      </w:pPr>
      <w:r>
        <w:separator/>
      </w:r>
    </w:p>
  </w:footnote>
  <w:footnote w:type="continuationSeparator" w:id="0">
    <w:p w:rsidR="042BF080" w:rsidRDefault="042BF080" w14:paraId="6987A9F5" w14:textId="20078AF0">
      <w:pPr>
        <w:spacing w:after="0" w:line="240" w:lineRule="auto"/>
      </w:pPr>
      <w:r>
        <w:continuationSeparator/>
      </w:r>
    </w:p>
  </w:footnote>
  <w:footnote w:id="9676">
    <w:p w:rsidR="042BF080" w:rsidP="042BF080" w:rsidRDefault="042BF080" w14:paraId="506328DF" w14:textId="281A624C">
      <w:pPr>
        <w:pStyle w:val="FootnoteText"/>
        <w:bidi w:val="0"/>
        <w:rPr>
          <w:lang w:val="fr-FR"/>
        </w:rPr>
      </w:pPr>
      <w:r w:rsidRPr="042BF080">
        <w:rPr>
          <w:rStyle w:val="FootnoteReference"/>
          <w:lang w:val="fr-FR"/>
        </w:rPr>
        <w:footnoteRef/>
      </w:r>
      <w:r w:rsidRPr="042BF080" w:rsidR="042BF080">
        <w:rPr>
          <w:lang w:val="fr-FR"/>
        </w:rPr>
        <w:t xml:space="preserve"> Leclerc</w:t>
      </w:r>
      <w:r w:rsidRPr="042BF080" w:rsidR="042BF080">
        <w:rPr>
          <w:lang w:val="fr-FR"/>
        </w:rPr>
        <w:t>, C.V.E.</w:t>
      </w:r>
      <w:r w:rsidRPr="042BF080" w:rsidR="042BF080">
        <w:rPr>
          <w:lang w:val="fr-FR"/>
        </w:rPr>
        <w:t xml:space="preserve"> and Roussier</w:t>
      </w:r>
      <w:r w:rsidRPr="042BF080" w:rsidR="042BF080">
        <w:rPr>
          <w:lang w:val="fr-FR"/>
        </w:rPr>
        <w:t>, P. (1937)</w:t>
      </w:r>
      <w:r w:rsidRPr="042BF080" w:rsidR="042BF080">
        <w:rPr>
          <w:lang w:val="fr-FR"/>
        </w:rPr>
        <w:t xml:space="preserve"> </w:t>
      </w:r>
      <w:r w:rsidRPr="042BF080" w:rsidR="042BF080">
        <w:rPr>
          <w:i w:val="1"/>
          <w:iCs w:val="1"/>
          <w:lang w:val="fr-FR"/>
        </w:rPr>
        <w:t>Lettres du Général Leclerc commandant en chef de l’armée de Saint-Domingue en 1802</w:t>
      </w:r>
      <w:r w:rsidRPr="042BF080" w:rsidR="042BF080">
        <w:rPr>
          <w:i w:val="1"/>
          <w:iCs w:val="1"/>
          <w:lang w:val="fr-FR"/>
        </w:rPr>
        <w:t xml:space="preserve">. </w:t>
      </w:r>
      <w:r w:rsidRPr="042BF080" w:rsidR="042BF080">
        <w:rPr>
          <w:i w:val="0"/>
          <w:iCs w:val="0"/>
          <w:lang w:val="fr-FR"/>
        </w:rPr>
        <w:t>Société de l'Histoire des Colonies Françaises</w:t>
      </w:r>
      <w:r w:rsidRPr="042BF080" w:rsidR="042BF080">
        <w:rPr>
          <w:lang w:val="fr-FR"/>
        </w:rPr>
        <w:t xml:space="preserve"> (</w:t>
      </w:r>
      <w:r w:rsidRPr="042BF080" w:rsidR="042BF080">
        <w:rPr>
          <w:lang w:val="fr-FR"/>
        </w:rPr>
        <w:t>sixth</w:t>
      </w:r>
      <w:r w:rsidRPr="042BF080" w:rsidR="042BF080">
        <w:rPr>
          <w:lang w:val="fr-FR"/>
        </w:rPr>
        <w:t xml:space="preserve"> </w:t>
      </w:r>
      <w:r w:rsidRPr="042BF080" w:rsidR="042BF080">
        <w:rPr>
          <w:lang w:val="fr-FR"/>
        </w:rPr>
        <w:t>ed</w:t>
      </w:r>
      <w:r w:rsidRPr="042BF080" w:rsidR="042BF080">
        <w:rPr>
          <w:lang w:val="fr-FR"/>
        </w:rPr>
        <w:t xml:space="preserve">.), p. 238. </w:t>
      </w:r>
      <w:hyperlink r:id="Rc92b3232d026427e">
        <w:r w:rsidRPr="042BF080" w:rsidR="042BF080">
          <w:rPr>
            <w:rStyle w:val="Hyperlink"/>
            <w:lang w:val="fr-FR"/>
          </w:rPr>
          <w:t>https://persee.fr/doc/sfh</w:t>
        </w:r>
        <w:r w:rsidRPr="042BF080" w:rsidR="042BF080">
          <w:rPr>
            <w:rStyle w:val="Hyperlink"/>
            <w:lang w:val="fr-FR"/>
          </w:rPr>
          <w:t>om_19</w:t>
        </w:r>
        <w:r w:rsidRPr="042BF080" w:rsidR="042BF080">
          <w:rPr>
            <w:rStyle w:val="Hyperlink"/>
            <w:lang w:val="fr-FR"/>
          </w:rPr>
          <w:t>6</w:t>
        </w:r>
        <w:r w:rsidRPr="042BF080" w:rsidR="042BF080">
          <w:rPr>
            <w:rStyle w:val="Hyperlink"/>
            <w:lang w:val="fr-FR"/>
          </w:rPr>
          <w:t>1-</w:t>
        </w:r>
        <w:r w:rsidRPr="042BF080" w:rsidR="042BF080">
          <w:rPr>
            <w:rStyle w:val="Hyperlink"/>
            <w:lang w:val="fr-FR"/>
          </w:rPr>
          <w:t>8166_1937_edc_6_1</w:t>
        </w:r>
      </w:hyperlink>
      <w:r w:rsidRPr="042BF080" w:rsidR="042BF080">
        <w:rPr>
          <w:lang w:val="fr-FR"/>
        </w:rPr>
        <w:t xml:space="preserve"> [</w:t>
      </w:r>
      <w:r w:rsidRPr="042BF080" w:rsidR="042BF080">
        <w:rPr>
          <w:lang w:val="fr-FR"/>
        </w:rPr>
        <w:t>accessed</w:t>
      </w:r>
      <w:r w:rsidRPr="042BF080" w:rsidR="042BF080">
        <w:rPr>
          <w:lang w:val="fr-FR"/>
        </w:rPr>
        <w:t xml:space="preserve"> 8 </w:t>
      </w:r>
      <w:r w:rsidRPr="042BF080" w:rsidR="042BF080">
        <w:rPr>
          <w:lang w:val="fr-FR"/>
        </w:rPr>
        <w:t>November</w:t>
      </w:r>
      <w:r w:rsidRPr="042BF080" w:rsidR="042BF080">
        <w:rPr>
          <w:lang w:val="fr-FR"/>
        </w:rPr>
        <w:t xml:space="preserve"> 2024]</w:t>
      </w:r>
    </w:p>
  </w:footnote>
  <w:footnote w:id="30157">
    <w:p w:rsidR="042BF080" w:rsidP="042BF080" w:rsidRDefault="042BF080" w14:paraId="0CB2DBF8" w14:textId="670B2B3B">
      <w:pPr>
        <w:pStyle w:val="FootnoteText"/>
        <w:bidi w:val="0"/>
      </w:pPr>
      <w:r w:rsidRPr="042BF080">
        <w:rPr>
          <w:rStyle w:val="FootnoteReference"/>
        </w:rPr>
        <w:footnoteRef/>
      </w:r>
      <w:r w:rsidR="042BF080">
        <w:rPr/>
        <w:t xml:space="preserve"> Girard, P. R. (2013). ‘French atrocities during the Haitian War of Independence</w:t>
      </w:r>
      <w:r w:rsidR="042BF080">
        <w:rPr/>
        <w:t>’,</w:t>
      </w:r>
      <w:r w:rsidRPr="042BF080" w:rsidR="042BF080">
        <w:rPr>
          <w:i w:val="1"/>
          <w:iCs w:val="1"/>
        </w:rPr>
        <w:t xml:space="preserve"> Journal of Genocide Research</w:t>
      </w:r>
      <w:r w:rsidR="042BF080">
        <w:rPr/>
        <w:t xml:space="preserve">, 15(2), pp. 133–149. </w:t>
      </w:r>
      <w:hyperlink r:id="R47dd397096c145b2">
        <w:r w:rsidRPr="042BF080" w:rsidR="042BF080">
          <w:rPr>
            <w:rStyle w:val="Hyperlink"/>
          </w:rPr>
          <w:t>https://doi.org/10.1080/14623528.2013.789181</w:t>
        </w:r>
      </w:hyperlink>
      <w:r w:rsidR="042BF080">
        <w:rPr/>
        <w:t xml:space="preserve"> [accessed 8 November 2024]</w:t>
      </w:r>
    </w:p>
  </w:footnote>
  <w:footnote w:id="17041">
    <w:p w:rsidR="042BF080" w:rsidP="042BF080" w:rsidRDefault="042BF080" w14:paraId="61DC03C5" w14:textId="5AF653AA">
      <w:pPr>
        <w:pStyle w:val="FootnoteText"/>
        <w:bidi w:val="0"/>
      </w:pPr>
      <w:r w:rsidRPr="042BF080">
        <w:rPr>
          <w:rStyle w:val="FootnoteReference"/>
        </w:rPr>
        <w:footnoteRef/>
      </w:r>
      <w:r w:rsidR="042BF080">
        <w:rPr/>
        <w:t xml:space="preserve"> Girard, </w:t>
      </w:r>
      <w:r w:rsidRPr="042BF080" w:rsidR="042BF080">
        <w:rPr>
          <w:i w:val="1"/>
          <w:iCs w:val="1"/>
        </w:rPr>
        <w:t>French atrocities during the Haitian War of Independence</w:t>
      </w:r>
      <w:r w:rsidRPr="042BF080" w:rsidR="042BF080">
        <w:rPr>
          <w:i w:val="0"/>
          <w:iCs w:val="0"/>
        </w:rPr>
        <w:t>, pp. 133-149</w:t>
      </w:r>
    </w:p>
  </w:footnote>
  <w:footnote w:id="7967">
    <w:p w:rsidR="042BF080" w:rsidP="042BF080" w:rsidRDefault="042BF080" w14:paraId="178D9FE2" w14:textId="47959FA2">
      <w:pPr>
        <w:pStyle w:val="FootnoteText"/>
        <w:bidi w:val="0"/>
        <w:rPr>
          <w:i w:val="0"/>
          <w:iCs w:val="0"/>
        </w:rPr>
      </w:pPr>
      <w:r w:rsidRPr="042BF080">
        <w:rPr>
          <w:rStyle w:val="FootnoteReference"/>
        </w:rPr>
        <w:footnoteRef/>
      </w:r>
      <w:r w:rsidR="042BF080">
        <w:rPr/>
        <w:t xml:space="preserve"> UN General Assembly (1948). ‘Convention on the Prevention and Punishment of the Crime of Genocide.</w:t>
      </w:r>
      <w:r w:rsidRPr="042BF080" w:rsidR="042BF080">
        <w:rPr>
          <w:i w:val="1"/>
          <w:iCs w:val="1"/>
        </w:rPr>
        <w:t xml:space="preserve">’ </w:t>
      </w:r>
      <w:r w:rsidRPr="042BF080" w:rsidR="042BF080">
        <w:rPr>
          <w:i w:val="0"/>
          <w:iCs w:val="0"/>
        </w:rPr>
        <w:t xml:space="preserve">United Nations, Treaty Series, vol. 78, p. 277. </w:t>
      </w:r>
      <w:hyperlink r:id="Rd2b5cfbfdb9d4c45">
        <w:r w:rsidRPr="042BF080" w:rsidR="042BF080">
          <w:rPr>
            <w:rStyle w:val="Hyperlink"/>
            <w:i w:val="0"/>
            <w:iCs w:val="0"/>
          </w:rPr>
          <w:t>https://www.refworld.org/legal/agreements/unga/1948/en/13495</w:t>
        </w:r>
      </w:hyperlink>
      <w:r w:rsidRPr="042BF080" w:rsidR="042BF080">
        <w:rPr>
          <w:i w:val="0"/>
          <w:iCs w:val="0"/>
        </w:rPr>
        <w:t xml:space="preserve"> [accessed 8 November 2024]</w:t>
      </w:r>
    </w:p>
  </w:footnote>
  <w:footnote w:id="12764">
    <w:p w:rsidR="042BF080" w:rsidP="042BF080" w:rsidRDefault="042BF080" w14:paraId="4AF671D1" w14:textId="3A89A037">
      <w:pPr>
        <w:pStyle w:val="FootnoteText"/>
        <w:bidi w:val="0"/>
      </w:pPr>
      <w:r w:rsidRPr="042BF080">
        <w:rPr>
          <w:rStyle w:val="FootnoteReference"/>
        </w:rPr>
        <w:footnoteRef/>
      </w:r>
      <w:r w:rsidR="042BF080">
        <w:rPr/>
        <w:t xml:space="preserve"> Leclerc and Roussier, </w:t>
      </w:r>
      <w:r w:rsidRPr="042BF080" w:rsidR="042BF080">
        <w:rPr>
          <w:i w:val="1"/>
          <w:iCs w:val="1"/>
        </w:rPr>
        <w:t>Lettres du Général Leclerc commandant en chef de l’armée de Saint-Domingue en 1802</w:t>
      </w:r>
      <w:r w:rsidR="042BF080">
        <w:rPr/>
        <w:t>, p.233.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8C663A"/>
    <w:rsid w:val="0298B658"/>
    <w:rsid w:val="042BF080"/>
    <w:rsid w:val="06524011"/>
    <w:rsid w:val="06D9B52B"/>
    <w:rsid w:val="084A9660"/>
    <w:rsid w:val="085EF1B7"/>
    <w:rsid w:val="088C249F"/>
    <w:rsid w:val="09FD9C99"/>
    <w:rsid w:val="0C253FAD"/>
    <w:rsid w:val="0C8CFCF9"/>
    <w:rsid w:val="1109BA2F"/>
    <w:rsid w:val="12BDB298"/>
    <w:rsid w:val="12CA8A41"/>
    <w:rsid w:val="15A1EAE1"/>
    <w:rsid w:val="184CA9AC"/>
    <w:rsid w:val="18F95EC5"/>
    <w:rsid w:val="1AAF1523"/>
    <w:rsid w:val="1C5FD44E"/>
    <w:rsid w:val="1C9CC931"/>
    <w:rsid w:val="1D87799F"/>
    <w:rsid w:val="1F32FFCF"/>
    <w:rsid w:val="1F46E93A"/>
    <w:rsid w:val="23DB9ACB"/>
    <w:rsid w:val="24ED9501"/>
    <w:rsid w:val="2594B9B3"/>
    <w:rsid w:val="26942DED"/>
    <w:rsid w:val="2766DD17"/>
    <w:rsid w:val="29424DCD"/>
    <w:rsid w:val="2BC9C23A"/>
    <w:rsid w:val="2C076C73"/>
    <w:rsid w:val="2C34A7D7"/>
    <w:rsid w:val="2C98E9D2"/>
    <w:rsid w:val="2D22BF7B"/>
    <w:rsid w:val="2EBEAFA2"/>
    <w:rsid w:val="2F3E5632"/>
    <w:rsid w:val="31B3F333"/>
    <w:rsid w:val="33FBD69F"/>
    <w:rsid w:val="34140F4E"/>
    <w:rsid w:val="345799E5"/>
    <w:rsid w:val="34A26E6A"/>
    <w:rsid w:val="3726D629"/>
    <w:rsid w:val="395DBEA9"/>
    <w:rsid w:val="39772D10"/>
    <w:rsid w:val="39AFDE3A"/>
    <w:rsid w:val="3C60D606"/>
    <w:rsid w:val="3CCF3498"/>
    <w:rsid w:val="3DA464C5"/>
    <w:rsid w:val="3DA9BA8E"/>
    <w:rsid w:val="3E405C36"/>
    <w:rsid w:val="3E926AAD"/>
    <w:rsid w:val="42E27AD1"/>
    <w:rsid w:val="43DEC1BA"/>
    <w:rsid w:val="448F7FC3"/>
    <w:rsid w:val="454B4BF0"/>
    <w:rsid w:val="46104C24"/>
    <w:rsid w:val="4774DA20"/>
    <w:rsid w:val="4781F0C6"/>
    <w:rsid w:val="4850C45F"/>
    <w:rsid w:val="48B3A5B4"/>
    <w:rsid w:val="4902CEB9"/>
    <w:rsid w:val="49D56162"/>
    <w:rsid w:val="4C3D831B"/>
    <w:rsid w:val="4C4E49BE"/>
    <w:rsid w:val="4D3986A4"/>
    <w:rsid w:val="4D760654"/>
    <w:rsid w:val="4E0FB0DF"/>
    <w:rsid w:val="4F2A1664"/>
    <w:rsid w:val="5093E79A"/>
    <w:rsid w:val="531A39C9"/>
    <w:rsid w:val="533A6F86"/>
    <w:rsid w:val="54DB72F9"/>
    <w:rsid w:val="5546CC17"/>
    <w:rsid w:val="59C3F6AD"/>
    <w:rsid w:val="5B77D850"/>
    <w:rsid w:val="5CDA27A1"/>
    <w:rsid w:val="5D759625"/>
    <w:rsid w:val="5DFA2408"/>
    <w:rsid w:val="5E71201E"/>
    <w:rsid w:val="5EDCB607"/>
    <w:rsid w:val="60504708"/>
    <w:rsid w:val="609EA07D"/>
    <w:rsid w:val="6635C58B"/>
    <w:rsid w:val="688C663A"/>
    <w:rsid w:val="68F03508"/>
    <w:rsid w:val="69B700D0"/>
    <w:rsid w:val="6DEAD3F5"/>
    <w:rsid w:val="6EC0BEF6"/>
    <w:rsid w:val="70456CE6"/>
    <w:rsid w:val="70C82044"/>
    <w:rsid w:val="713D6A97"/>
    <w:rsid w:val="71669ABC"/>
    <w:rsid w:val="71D43077"/>
    <w:rsid w:val="7255BBDC"/>
    <w:rsid w:val="740511DC"/>
    <w:rsid w:val="746CFFBC"/>
    <w:rsid w:val="747B051B"/>
    <w:rsid w:val="752468A6"/>
    <w:rsid w:val="75AA4614"/>
    <w:rsid w:val="7740B44C"/>
    <w:rsid w:val="779997E4"/>
    <w:rsid w:val="789213F0"/>
    <w:rsid w:val="7A604634"/>
    <w:rsid w:val="7B1C61E6"/>
    <w:rsid w:val="7BEA438F"/>
    <w:rsid w:val="7D0AF5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8C663A"/>
  <w15:chartTrackingRefBased/>
  <w15:docId w15:val="{49A5978E-3A1C-4CAB-99C4-6A773183F38E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tandfonline.com/doi/full/10.1080/14623528.2013.789181" TargetMode="External" Id="R34c00ae3f53e4326" /><Relationship Type="http://schemas.openxmlformats.org/officeDocument/2006/relationships/footnotes" Target="footnotes.xml" Id="R15e5f95609da425d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persee.fr/doc/sfhom_1961-8166_1937_edc_6_1" TargetMode="External" Id="Rc92b3232d026427e" /><Relationship Type="http://schemas.openxmlformats.org/officeDocument/2006/relationships/hyperlink" Target="https://doi.org/10.1080/14623528.2013.789181" TargetMode="External" Id="R47dd397096c145b2" /><Relationship Type="http://schemas.openxmlformats.org/officeDocument/2006/relationships/hyperlink" Target="https://www.refworld.org/legal/agreements/unga/1948/en/13495" TargetMode="External" Id="Rd2b5cfbfdb9d4c4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b076db2b31ec4b88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b076db2b31ec4b88"/>
  </wetp:taskpane>
</wetp:taskpanes>
</file>

<file path=word/webextensions/webextension.xml><?xml version="1.0" encoding="utf-8"?>
<we:webextension xmlns:we="http://schemas.microsoft.com/office/webextensions/webextension/2010/11" id="718d1f70-acaa-4235-9655-9b44d96a028e">
  <we:reference id="WA104380122" version="2.1.0.1" store="en-US" storeType="omex"/>
  <we:alternateReferences>
    <we:reference id="WA104380122" version="2.1.0.1" store="omex" storeType="omex"/>
  </we:alternateReferences>
  <we:properties/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2024-11-08T12:15:48.2774864Z</dcterms:created>
  <dcterms:modified xsi:type="dcterms:W3CDTF">2024-11-08T20:35:32.3256183Z</dcterms:modified>
  <dc:creator>Corentine Byrd (2404309)</dc:creator>
  <lastModifiedBy>Corentine Byrd (2404309)</lastModifiedBy>
</coreProperties>
</file>