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4F1951E9" w14:textId="77777777" w:rsidR="00A70AEC" w:rsidRPr="009B0272" w:rsidRDefault="00A70AEC" w:rsidP="00A70AEC">
            <w:pPr>
              <w:overflowPunct/>
              <w:autoSpaceDE/>
              <w:autoSpaceDN/>
              <w:adjustRightInd/>
              <w:ind w:right="-957"/>
              <w:textAlignment w:val="auto"/>
              <w:rPr>
                <w:rFonts w:ascii="Times New Roman" w:hAnsi="Times New Roman" w:cs="Times New Roman"/>
                <w:b/>
                <w:color w:val="auto"/>
                <w:sz w:val="44"/>
                <w:szCs w:val="44"/>
              </w:rPr>
            </w:pPr>
            <w:r w:rsidRPr="009B0272">
              <w:rPr>
                <w:rFonts w:ascii="Times New Roman" w:hAnsi="Times New Roman" w:cs="Times New Roman"/>
                <w:b/>
                <w:color w:val="auto"/>
                <w:sz w:val="44"/>
                <w:szCs w:val="44"/>
              </w:rPr>
              <w:t>Learner’s name: Sarah Freckleton</w:t>
            </w:r>
          </w:p>
          <w:p w14:paraId="196846EA" w14:textId="77777777" w:rsidR="00A70AEC" w:rsidRPr="009B0272" w:rsidRDefault="00A70AEC" w:rsidP="00A70AEC">
            <w:pPr>
              <w:overflowPunct/>
              <w:autoSpaceDE/>
              <w:autoSpaceDN/>
              <w:adjustRightInd/>
              <w:ind w:right="-957"/>
              <w:textAlignment w:val="auto"/>
              <w:rPr>
                <w:rFonts w:ascii="Times New Roman" w:hAnsi="Times New Roman" w:cs="Times New Roman"/>
                <w:b/>
                <w:color w:val="auto"/>
                <w:sz w:val="44"/>
                <w:szCs w:val="44"/>
              </w:rPr>
            </w:pPr>
          </w:p>
          <w:p w14:paraId="50754EBB" w14:textId="77777777" w:rsidR="00A70AEC" w:rsidRPr="009B0272" w:rsidRDefault="00A70AEC" w:rsidP="00A70AEC">
            <w:pPr>
              <w:overflowPunct/>
              <w:autoSpaceDE/>
              <w:autoSpaceDN/>
              <w:adjustRightInd/>
              <w:ind w:right="-957"/>
              <w:textAlignment w:val="auto"/>
              <w:rPr>
                <w:rFonts w:ascii="Times New Roman" w:hAnsi="Times New Roman" w:cs="Times New Roman"/>
                <w:b/>
                <w:color w:val="auto"/>
                <w:sz w:val="44"/>
                <w:szCs w:val="44"/>
              </w:rPr>
            </w:pPr>
            <w:r w:rsidRPr="009B0272">
              <w:rPr>
                <w:rFonts w:ascii="Times New Roman" w:hAnsi="Times New Roman" w:cs="Times New Roman"/>
                <w:b/>
                <w:color w:val="auto"/>
                <w:sz w:val="44"/>
                <w:szCs w:val="44"/>
              </w:rPr>
              <w:t xml:space="preserve">Email address: </w:t>
            </w:r>
            <w:r w:rsidRPr="0083175D">
              <w:rPr>
                <w:rFonts w:ascii="Times New Roman" w:hAnsi="Times New Roman" w:cs="Times New Roman"/>
                <w:b/>
                <w:sz w:val="44"/>
                <w:szCs w:val="44"/>
              </w:rPr>
              <w:t>2419618@student.uwtsd.ac.uk</w:t>
            </w:r>
          </w:p>
          <w:p w14:paraId="3F5A3FF7" w14:textId="77777777" w:rsidR="00A70AEC" w:rsidRPr="009B0272" w:rsidRDefault="00A70AEC" w:rsidP="00A70AEC">
            <w:pPr>
              <w:overflowPunct/>
              <w:autoSpaceDE/>
              <w:autoSpaceDN/>
              <w:adjustRightInd/>
              <w:ind w:right="-957"/>
              <w:textAlignment w:val="auto"/>
              <w:rPr>
                <w:rFonts w:ascii="Times New Roman" w:hAnsi="Times New Roman" w:cs="Times New Roman"/>
                <w:b/>
                <w:color w:val="auto"/>
                <w:sz w:val="44"/>
                <w:szCs w:val="44"/>
              </w:rPr>
            </w:pPr>
          </w:p>
          <w:p w14:paraId="0454AD04" w14:textId="77777777" w:rsidR="00A70AEC" w:rsidRPr="009B0272" w:rsidRDefault="00A70AEC" w:rsidP="00A70AEC">
            <w:pPr>
              <w:overflowPunct/>
              <w:autoSpaceDE/>
              <w:autoSpaceDN/>
              <w:adjustRightInd/>
              <w:ind w:right="-957"/>
              <w:textAlignment w:val="auto"/>
              <w:rPr>
                <w:rFonts w:ascii="Times New Roman" w:hAnsi="Times New Roman" w:cs="Times New Roman"/>
                <w:b/>
                <w:color w:val="auto"/>
                <w:sz w:val="44"/>
                <w:szCs w:val="44"/>
              </w:rPr>
            </w:pPr>
            <w:r w:rsidRPr="009B0272">
              <w:rPr>
                <w:rFonts w:ascii="Times New Roman" w:hAnsi="Times New Roman" w:cs="Times New Roman"/>
                <w:b/>
                <w:color w:val="auto"/>
                <w:sz w:val="44"/>
                <w:szCs w:val="44"/>
              </w:rPr>
              <w:t xml:space="preserve">Learner’s University Registration Number: </w:t>
            </w:r>
            <w:r w:rsidRPr="009B0272">
              <w:rPr>
                <w:rFonts w:ascii="Times New Roman" w:hAnsi="Times New Roman" w:cs="Times New Roman"/>
                <w:b/>
                <w:sz w:val="44"/>
                <w:szCs w:val="44"/>
              </w:rPr>
              <w:t>2419618</w:t>
            </w:r>
          </w:p>
          <w:p w14:paraId="3F7E3477" w14:textId="77777777" w:rsidR="00A70AEC" w:rsidRPr="009B0272" w:rsidRDefault="00A70AEC" w:rsidP="00A70AEC">
            <w:pPr>
              <w:overflowPunct/>
              <w:autoSpaceDE/>
              <w:autoSpaceDN/>
              <w:adjustRightInd/>
              <w:ind w:right="-957"/>
              <w:textAlignment w:val="auto"/>
              <w:rPr>
                <w:rFonts w:ascii="Times New Roman" w:hAnsi="Times New Roman" w:cs="Times New Roman"/>
                <w:b/>
                <w:color w:val="auto"/>
                <w:sz w:val="44"/>
                <w:szCs w:val="44"/>
              </w:rPr>
            </w:pPr>
          </w:p>
          <w:p w14:paraId="627348C3" w14:textId="77777777" w:rsidR="0085230E" w:rsidRDefault="00A70AEC" w:rsidP="00A70AEC">
            <w:pPr>
              <w:overflowPunct/>
              <w:autoSpaceDE/>
              <w:autoSpaceDN/>
              <w:adjustRightInd/>
              <w:ind w:right="-957"/>
              <w:textAlignment w:val="auto"/>
              <w:rPr>
                <w:rFonts w:ascii="Times New Roman" w:hAnsi="Times New Roman" w:cs="Times New Roman"/>
                <w:b/>
                <w:color w:val="auto"/>
                <w:sz w:val="44"/>
                <w:szCs w:val="44"/>
              </w:rPr>
            </w:pPr>
            <w:r w:rsidRPr="009B0272">
              <w:rPr>
                <w:rFonts w:ascii="Times New Roman" w:hAnsi="Times New Roman" w:cs="Times New Roman"/>
                <w:b/>
                <w:color w:val="auto"/>
                <w:sz w:val="44"/>
                <w:szCs w:val="44"/>
              </w:rPr>
              <w:t>Cohort: 21 onwards</w:t>
            </w:r>
          </w:p>
          <w:p w14:paraId="5F84129B" w14:textId="67AF940B" w:rsidR="00A70AEC" w:rsidRPr="005D3F07" w:rsidRDefault="00A70AEC" w:rsidP="00A70AEC">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04FCFDC" w14:textId="77777777" w:rsidR="00F153B1" w:rsidRDefault="00F153B1" w:rsidP="00FF7EBB">
            <w:pPr>
              <w:jc w:val="both"/>
              <w:rPr>
                <w:i/>
                <w:sz w:val="24"/>
                <w:szCs w:val="24"/>
              </w:rPr>
            </w:pPr>
          </w:p>
          <w:p w14:paraId="7F0D2FA7" w14:textId="77777777" w:rsidR="00F153B1" w:rsidRDefault="00F153B1" w:rsidP="00FF7EBB">
            <w:pPr>
              <w:jc w:val="both"/>
              <w:rPr>
                <w:i/>
                <w:sz w:val="24"/>
                <w:szCs w:val="24"/>
              </w:rPr>
            </w:pPr>
          </w:p>
          <w:p w14:paraId="701D8D4D" w14:textId="38C2B218" w:rsidR="00D3203C" w:rsidRDefault="00D3203C" w:rsidP="00FF7EBB">
            <w:pPr>
              <w:jc w:val="both"/>
              <w:rPr>
                <w:i/>
                <w:sz w:val="24"/>
                <w:szCs w:val="24"/>
              </w:rPr>
            </w:pPr>
          </w:p>
          <w:p w14:paraId="13D30F16" w14:textId="77777777" w:rsidR="00F153B1" w:rsidRPr="00F153B1" w:rsidRDefault="00F153B1" w:rsidP="00FF7EBB">
            <w:pPr>
              <w:jc w:val="both"/>
              <w:rPr>
                <w:i/>
                <w:sz w:val="22"/>
                <w:szCs w:val="22"/>
              </w:rPr>
            </w:pPr>
          </w:p>
          <w:p w14:paraId="67DDA806"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Safeguarding vulnerable individuals is a fundamental responsibility for professionals working within the social care sector. It involves not only protecting individuals from harm, abuse, and neglect but also promoting their rights, dignity, and autonomy (SCW, 2017). Safeguarding is a complex process that requires practitioners to carefully balance the need to protect individuals while respecting their autonomy and decision-making rights, particularly when working with adults who experience cognitive impairments, learning disabilities, or other vulnerabilities that may compromise their capacity for informed decisions. The challenge is to maintain safety while supporting individuals to live as independently as possible, a core principle central to the values of social care practice (Welsh Government, 2019).</w:t>
            </w:r>
          </w:p>
          <w:p w14:paraId="3D83E3AB" w14:textId="77777777" w:rsidR="00F153B1" w:rsidRPr="00B028FF" w:rsidRDefault="00F153B1" w:rsidP="00F153B1">
            <w:pPr>
              <w:spacing w:line="360" w:lineRule="auto"/>
              <w:jc w:val="both"/>
              <w:rPr>
                <w:rFonts w:ascii="Aptos" w:hAnsi="Aptos"/>
                <w:sz w:val="22"/>
                <w:szCs w:val="22"/>
              </w:rPr>
            </w:pPr>
          </w:p>
          <w:p w14:paraId="07C1E9C5"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In Wales, safeguarding procedures are designed to protect children and adults at risk from abuse, neglect, or harm, ensuring their safety and well-being (Welsh Government, 2014). The Wales Safeguarding Procedures provide a framework for organisations and professionals to follow when </w:t>
            </w:r>
            <w:r w:rsidRPr="00B028FF">
              <w:rPr>
                <w:rFonts w:ascii="Aptos" w:hAnsi="Aptos"/>
                <w:sz w:val="22"/>
                <w:szCs w:val="22"/>
              </w:rPr>
              <w:lastRenderedPageBreak/>
              <w:t>concerns arise, emphasising early intervention, multi-agency collaboration, and person-centred approaches (Welsh Government, 2019).  The local safeguarding board helps coordinate multi-agency working and the threshold guidance supports professionals determine the appropriate level of intervention based on the level of risk, need, or harm identified. A key element in this process is the completion of a Multi-Agency Referral Form (MARF), which is used by professionals to formally report concerns about an individual’s safety to the relevant local authority safeguarding team (Welsh Government, 2019). Following the submission of a MARF, strategy meetings are often convened, bringing together representatives from different agencies to share information, assess risks, and plan coordinated safeguarding actions (Welsh Government, 2019). These meetings play a crucial role in determining the best course of action to protect the individual, ensuring that all relevant perspectives are considered and that the response is timely and effective. This collaborative approach ensures safeguarding is handled comprehensively and responsively across Wales.</w:t>
            </w:r>
          </w:p>
          <w:p w14:paraId="3531EB75" w14:textId="77777777" w:rsidR="00F153B1" w:rsidRPr="00B028FF" w:rsidRDefault="00F153B1" w:rsidP="00F153B1">
            <w:pPr>
              <w:spacing w:line="360" w:lineRule="auto"/>
              <w:jc w:val="both"/>
              <w:rPr>
                <w:rFonts w:ascii="Aptos" w:hAnsi="Aptos"/>
                <w:sz w:val="22"/>
                <w:szCs w:val="22"/>
              </w:rPr>
            </w:pPr>
          </w:p>
          <w:p w14:paraId="5722A684"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This assignment explores a real-life case involving a young adult with mild learning disabilities who was physically assaulted by his father. Through an examination of this case, I will explore the safeguarding response undertaken, the contentious issues surrounding mental capacity, and the legal, ethical, and professional dilemmas I encountered as a social worker. This discussion is grounded in the legislative and policy framework that underpins social work practice in Wales, with particular reference to the Social Services and Well-being (Wales) Act 2014, the Mental Capacity Act 2005 (MCA 2005), and the professional codes and standards set out by Social Care Wales (2017), which support ethical decision-making and accountability. </w:t>
            </w:r>
          </w:p>
          <w:p w14:paraId="675B0CF0" w14:textId="77777777" w:rsidR="00F153B1" w:rsidRPr="00B028FF" w:rsidRDefault="00F153B1" w:rsidP="00F153B1">
            <w:pPr>
              <w:spacing w:line="360" w:lineRule="auto"/>
              <w:jc w:val="both"/>
              <w:rPr>
                <w:rFonts w:ascii="Aptos" w:hAnsi="Aptos"/>
                <w:b/>
                <w:bCs/>
                <w:i/>
                <w:iCs/>
                <w:sz w:val="22"/>
                <w:szCs w:val="22"/>
              </w:rPr>
            </w:pPr>
          </w:p>
          <w:p w14:paraId="2B0C3E1D"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The individual at the centre of this case—referred to here as 1—is a young adult with mild learning disabilities who had been living with his father in the family home. A safeguarding referral was made to the local authority after a serious incident in which 1 was physically assaulted by his father. The police attended and launched an investigation, and the father was placed on police bail with conditions preventing both direct and indirect contact with 1 to ensure his safety. However, 1 later made it clear that he did not want to take the matter further, and as a result, the investigation was closed, and no charges were brought.  Following the incident, 1 chose to move into supported accommodation, where he expressed a consistent wish not to return home. This decision reflected his desire to live independently and to feel safe. It’s important to acknowledge the emotional complexity of the situation. Adult attachment theory, based on Bowlby’s work (1988), explains how early relationships with caregivers </w:t>
            </w:r>
            <w:r w:rsidRPr="00B028FF">
              <w:rPr>
                <w:rFonts w:ascii="Aptos" w:hAnsi="Aptos"/>
                <w:sz w:val="22"/>
                <w:szCs w:val="22"/>
              </w:rPr>
              <w:lastRenderedPageBreak/>
              <w:t>shape our patterns of relating to others in adulthood. Bartholomew and Horowitz (1991) identified four main adult attachment styles — secure, anxious, avoidant, or disorganised — that influence how they relate to others, especially in close relationships. In practice, understanding adult attachment is valuable when working with individuals and families, as it offers insight into how past experiences may impact present-day behaviours, particularly in situations involving conflict, safeguarding, or high emotional need.</w:t>
            </w:r>
          </w:p>
          <w:p w14:paraId="0FB799BB" w14:textId="77777777" w:rsidR="00F153B1" w:rsidRPr="00B028FF" w:rsidRDefault="00F153B1" w:rsidP="00F153B1">
            <w:pPr>
              <w:spacing w:line="360" w:lineRule="auto"/>
              <w:jc w:val="both"/>
              <w:rPr>
                <w:rFonts w:ascii="Aptos" w:hAnsi="Aptos"/>
                <w:sz w:val="22"/>
                <w:szCs w:val="22"/>
              </w:rPr>
            </w:pPr>
          </w:p>
          <w:p w14:paraId="11916172"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Despite the abuse, 1 appeared to retain a degree of attachment to his father, who had also been his primary caregiver. This kind of conflicted attachment—where the abuser is also a key figure in the person's life—is often seen in cases involving familial abuse and can lead to mixed feelings of fear, loyalty, and emotional dependence, which may help explain his reluctance to pursue legal action (Sullivan, 2012).  This case highlights the complex overlap between safeguarding, mental capacity, and professional judgment, especially when emotions are increased in parent–child conflicts during adult safeguarding. It raises critical questions about how social care professionals assess and respect the views and wishes of adults with learning disabilities, how capacity is determined and challenged, and the ways in which legal frameworks can be either used to protect, or misused to control vulnerable individuals.</w:t>
            </w:r>
          </w:p>
          <w:p w14:paraId="115402F9" w14:textId="77777777" w:rsidR="00F153B1" w:rsidRPr="00B028FF" w:rsidRDefault="00F153B1" w:rsidP="00F153B1">
            <w:pPr>
              <w:spacing w:line="360" w:lineRule="auto"/>
              <w:jc w:val="both"/>
              <w:rPr>
                <w:rFonts w:ascii="Aptos" w:hAnsi="Aptos"/>
                <w:sz w:val="22"/>
                <w:szCs w:val="22"/>
              </w:rPr>
            </w:pPr>
          </w:p>
          <w:p w14:paraId="5F02B28B"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In Wales, safeguarding adults is governed by the Social Services and Well-being (Wales) Act 2014, which provides a comprehensive statutory framework to protect adults who are at risk of abuse or neglect. Part 7 of the Act requires local authorities to undertake inquiries when they have reasonable cause to suspect that an adult (aged 18 or over) is experiencing, or may be at risk of, abuse or neglect, and that the individual has care and support needs that affect their ability to protect themselves (Welsh Government, 2014). In 1’s situation, all three criteria were clearly met. 1 had identified care and support needs stemming from his Autism and mild learning disability and had been the victim of a physical assault, thereby triggering the statutory safeguarding process.</w:t>
            </w:r>
          </w:p>
          <w:p w14:paraId="05885F28" w14:textId="77777777" w:rsidR="00F153B1" w:rsidRPr="00B028FF" w:rsidRDefault="00F153B1" w:rsidP="00F153B1">
            <w:pPr>
              <w:spacing w:line="360" w:lineRule="auto"/>
              <w:jc w:val="both"/>
              <w:rPr>
                <w:rFonts w:ascii="Aptos" w:hAnsi="Aptos"/>
                <w:sz w:val="22"/>
                <w:szCs w:val="22"/>
              </w:rPr>
            </w:pPr>
          </w:p>
          <w:p w14:paraId="5BB74125" w14:textId="77777777" w:rsidR="00F153B1" w:rsidRPr="00B028FF" w:rsidRDefault="00F153B1" w:rsidP="00F153B1">
            <w:pPr>
              <w:pStyle w:val="paragraph"/>
              <w:shd w:val="clear" w:color="auto" w:fill="FFFFFF"/>
              <w:spacing w:line="360" w:lineRule="auto"/>
              <w:jc w:val="both"/>
              <w:rPr>
                <w:rFonts w:ascii="Aptos" w:hAnsi="Aptos"/>
                <w:sz w:val="22"/>
                <w:szCs w:val="22"/>
              </w:rPr>
            </w:pPr>
            <w:r w:rsidRPr="00B028FF">
              <w:rPr>
                <w:rFonts w:ascii="Aptos" w:hAnsi="Aptos"/>
                <w:sz w:val="22"/>
                <w:szCs w:val="22"/>
              </w:rPr>
              <w:t xml:space="preserve">Safeguarding is rarely the responsibility of a single agency; it depends on effective cooperation among social services, health professionals, police, advocacy groups, and legal advisors. </w:t>
            </w:r>
            <w:r w:rsidRPr="00B028FF">
              <w:rPr>
                <w:rStyle w:val="contentpasted0"/>
                <w:rFonts w:ascii="Aptos" w:hAnsi="Aptos" w:cs="Arial"/>
                <w:color w:val="00000A"/>
                <w:sz w:val="22"/>
                <w:szCs w:val="22"/>
              </w:rPr>
              <w:t xml:space="preserve">Williams (2006) highlights the importance of multi-agency working as it brings practitioners together to provide effective support, however good communication between professionals is essential (Trevithick, 2012). Research </w:t>
            </w:r>
            <w:r w:rsidRPr="00B028FF">
              <w:rPr>
                <w:rStyle w:val="contentpasted0"/>
                <w:rFonts w:ascii="Aptos" w:hAnsi="Aptos" w:cs="Arial"/>
                <w:color w:val="00000A"/>
                <w:sz w:val="22"/>
                <w:szCs w:val="22"/>
              </w:rPr>
              <w:lastRenderedPageBreak/>
              <w:t xml:space="preserve">has shown many advantages of multi-agency collaboration such as sharing resources and expertise but there are also significant challenges such as unclear roles and responsibilities. Ongoing issues, especially around timely and appropriate information sharing are often mentioned in serious practice reviews (Ball et al. 2024). </w:t>
            </w:r>
            <w:r w:rsidRPr="00B028FF">
              <w:rPr>
                <w:rFonts w:ascii="Aptos" w:hAnsi="Aptos"/>
                <w:sz w:val="22"/>
                <w:szCs w:val="22"/>
              </w:rPr>
              <w:t>This case demonstrated the vital role of multi-agency collaboration, where the combined efforts of these professionals ensured that safeguarding actions were appropriate, timely, and focused on 1’s safety and wishes. Following the referral, a multi-agency strategy meeting was convened as part of the safeguarding protocol. The purpose was to coordinate an effective response to ensure 1’s safety and well-being. At the meeting, it was clarified that 1’s move into supported accommodation had not been imposed by social services but was entirely voluntary and aligned with his expressed wishes for independence and safety. Professionals also noted that 1 was being provided with appropriate support to meet his care needs in the new setting. The police update confirmed that the father remained under bail conditions that prohibited all contact with 1, reinforcing the protective measures in place. Given these circumstances, the strategy meeting concluded that no further immediate protective interventions were necessary beyond continued monitoring and support to ensure 1’s ongoing safety. The focus would now be on maintaining 1’s well-being, respecting his autonomy, and providing consistent support to manage the challenges he faced.</w:t>
            </w:r>
          </w:p>
          <w:p w14:paraId="204B0A73" w14:textId="77777777" w:rsidR="00F153B1" w:rsidRPr="00B028FF" w:rsidRDefault="00F153B1" w:rsidP="00F153B1">
            <w:pPr>
              <w:spacing w:line="360" w:lineRule="auto"/>
              <w:jc w:val="both"/>
              <w:rPr>
                <w:rFonts w:ascii="Aptos" w:hAnsi="Aptos"/>
                <w:sz w:val="22"/>
                <w:szCs w:val="22"/>
              </w:rPr>
            </w:pPr>
          </w:p>
          <w:p w14:paraId="79DCA7BA" w14:textId="77777777" w:rsidR="00F153B1" w:rsidRDefault="00F153B1" w:rsidP="00F153B1">
            <w:pPr>
              <w:spacing w:line="360" w:lineRule="auto"/>
              <w:jc w:val="both"/>
              <w:rPr>
                <w:rFonts w:ascii="Aptos" w:hAnsi="Aptos"/>
                <w:sz w:val="22"/>
                <w:szCs w:val="22"/>
              </w:rPr>
            </w:pPr>
            <w:r w:rsidRPr="00B028FF">
              <w:rPr>
                <w:rFonts w:ascii="Aptos" w:hAnsi="Aptos"/>
                <w:sz w:val="22"/>
                <w:szCs w:val="22"/>
              </w:rPr>
              <w:t>The Well-being of Future Generations (Wales) Act 2015 supports safeguarding by encouraging a preventative, long-term approach to well-being. While it’s not a safeguarding-specific law, it promotes early intervention, multi-agency working, and tackling the root causes of harm — values that align closely with safeguarding practice. By focusing on sustainable, person-centred outcomes, the Act helps create safer environments where people, especially children and vulnerable adults, are more likely to thrive (Welsh Government, 2015).</w:t>
            </w:r>
          </w:p>
          <w:p w14:paraId="6DBA92FE" w14:textId="77777777" w:rsidR="004D2BED" w:rsidRPr="00B028FF" w:rsidRDefault="004D2BED" w:rsidP="00F153B1">
            <w:pPr>
              <w:spacing w:line="360" w:lineRule="auto"/>
              <w:jc w:val="both"/>
              <w:rPr>
                <w:rFonts w:ascii="Aptos" w:hAnsi="Aptos"/>
                <w:sz w:val="22"/>
                <w:szCs w:val="22"/>
              </w:rPr>
            </w:pPr>
          </w:p>
          <w:p w14:paraId="211B957D"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Edge (2001) highlights that individuals with additional learning needs are often less involved in decisions about their own lives. In this case, effective communication and clear information sharing were crucial to managing risk while also respecting 1’s autonomy.  Using clear, jargon-free language was essential to promote understanding and build trust (SCW, 2017). Additionally, language needs were respected. It is essential for Welsh speakers that services are offered in their preferred language under the ‘Active Offer’ (Welsh Language [Wales] Measure, 2011).</w:t>
            </w:r>
          </w:p>
          <w:p w14:paraId="3A42AD42" w14:textId="77777777" w:rsidR="00F153B1" w:rsidRPr="00B028FF" w:rsidRDefault="00F153B1" w:rsidP="00F153B1">
            <w:pPr>
              <w:spacing w:line="360" w:lineRule="auto"/>
              <w:jc w:val="both"/>
              <w:rPr>
                <w:rFonts w:ascii="Aptos" w:hAnsi="Aptos"/>
                <w:sz w:val="22"/>
                <w:szCs w:val="22"/>
              </w:rPr>
            </w:pPr>
          </w:p>
          <w:p w14:paraId="2AFD9671"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lastRenderedPageBreak/>
              <w:t>The MCA 2005 provides a statutory framework for assessing capacity, stipulating that an individual must be assumed to have capacity unless proven otherwise. Capacity is decision-specific and time-specific, meaning that a person may have capacity to make some decisions but not others, and their capacity may fluctuate over time (Department of Health, 2005). For example, an individual may have capacity to decide what to eat but not to manage complex financial matters. This approach is essential in respecting the autonomy of adults with cognitive impairments or learning disabilities. The Act specifies four key criteria for assessing capacity: the person must be able to understand the relevant information, retain that information long enough to make the decision, weigh up the information, and communicate their decision through any means possible. It also requires that all practicable steps be taken to help a person make a decision before concluding they lack capacity.</w:t>
            </w:r>
          </w:p>
          <w:p w14:paraId="5D81423E" w14:textId="77777777" w:rsidR="00F153B1" w:rsidRPr="00B028FF" w:rsidRDefault="00F153B1" w:rsidP="00F153B1">
            <w:pPr>
              <w:spacing w:line="360" w:lineRule="auto"/>
              <w:jc w:val="both"/>
              <w:rPr>
                <w:rFonts w:ascii="Aptos" w:hAnsi="Aptos"/>
                <w:sz w:val="22"/>
                <w:szCs w:val="22"/>
              </w:rPr>
            </w:pPr>
          </w:p>
          <w:p w14:paraId="42D73285"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A key aspect of this safeguarding case involved the father’s claim that 1 was unable to make decisions regarding his own living arrangements. This highlighted the importance of the MCA 2005, which provides a clear legal framework for assessing whether an adult can make particular decisions. In 1’s situation, his father sought to challenge his son’s decision to live independently by using legal routes, including instructing a solicitor to press the local authority to reverse 1’s placement in supported accommodation. The father further demanded a formal mental capacity assessment, arguing that 1 did not have the capacity to make an informed choice about where he should live. This legal challenge introduced complexity into the safeguarding process and raised important questions about how capacity assessments should be conducted and interpreted, especially when there are conflicting family views.</w:t>
            </w:r>
          </w:p>
          <w:p w14:paraId="54B9E4AB" w14:textId="77777777" w:rsidR="00F153B1" w:rsidRPr="00B028FF" w:rsidRDefault="00F153B1" w:rsidP="00F153B1">
            <w:pPr>
              <w:spacing w:line="360" w:lineRule="auto"/>
              <w:jc w:val="both"/>
              <w:rPr>
                <w:rFonts w:ascii="Aptos" w:hAnsi="Aptos"/>
                <w:sz w:val="22"/>
                <w:szCs w:val="22"/>
              </w:rPr>
            </w:pPr>
          </w:p>
          <w:p w14:paraId="7A86517A"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Critically, there was no evidence to suggest that 1 lacked capacity. According to MCA 2005 guidance, a capacity assessment should not be initiated simply because others doubt or disagree with a person’s decision. The MCA 2005 and its Code of Practice warn against using capacity assessments to override personal choice or resolve disputes without valid reason. (Department for Constitutional Affairs, 2007). However, in this case, the father’s legal threats, his engagement of a solicitor, and accusations that the local authority had unlawfully deprived 1 of his liberty and created a situation where the safeguarding team felt compelled to proceed with a formal capacity assessment—not due to any genuine clinical concern but as a safeguard to uphold 1’s rights and protect the integrity of the safeguarding process itself. This decision left me feeling ethically uncomfortable. My professional values are rooted in respecting individual autonomy, promoting ethical practice, and making decisions that are both evidence-based and person-centred. Proceeding with a capacity assessment without clear indicators appeared inconsistent </w:t>
            </w:r>
            <w:r w:rsidRPr="00B028FF">
              <w:rPr>
                <w:rFonts w:ascii="Aptos" w:hAnsi="Aptos"/>
                <w:sz w:val="22"/>
                <w:szCs w:val="22"/>
              </w:rPr>
              <w:lastRenderedPageBreak/>
              <w:t>with the principles of the MCA 2005, particularly the presumption that a person has capacity unless proven otherwise. While I could understand the reasoning from a legal safeguarding perspective, I couldn’t help but question whether we were genuinely acting in 1’s best interests, or whether we were simply following procedure to manage organisational risk.</w:t>
            </w:r>
          </w:p>
          <w:p w14:paraId="0DF0C1F7" w14:textId="77777777" w:rsidR="00F153B1" w:rsidRPr="00B028FF" w:rsidRDefault="00F153B1" w:rsidP="00F153B1">
            <w:pPr>
              <w:spacing w:line="360" w:lineRule="auto"/>
              <w:jc w:val="both"/>
              <w:rPr>
                <w:rFonts w:ascii="Aptos" w:hAnsi="Aptos"/>
                <w:sz w:val="22"/>
                <w:szCs w:val="22"/>
              </w:rPr>
            </w:pPr>
          </w:p>
          <w:p w14:paraId="684DD1F5"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In 1’s case, a formal capacity assessment was conducted specifically in relation to his decision to live independently in supported accommodation. 1 demonstrated a clear understanding of the risks associated with his living arrangements, was able to articulate his reasons for refusing to return to his father’s home and openly expressed how he felt about his father’s behaviour. The assessment concluded that 1 had the mental capacity to make decisions about his residence. This illustrated the importance of involving individuals fully in decisions that affect them and respecting their autonomy, even when family members challenge this. It also reinforced the principle that a learning disability does not automatically imply incapacity and highlighted the importance of supporting individuals to make their own informed choices.</w:t>
            </w:r>
          </w:p>
          <w:p w14:paraId="0C7C8ACF" w14:textId="77777777" w:rsidR="00F153B1" w:rsidRPr="00B028FF" w:rsidRDefault="00F153B1" w:rsidP="00F153B1">
            <w:pPr>
              <w:spacing w:line="360" w:lineRule="auto"/>
              <w:jc w:val="both"/>
              <w:rPr>
                <w:rFonts w:ascii="Aptos" w:hAnsi="Aptos"/>
                <w:sz w:val="22"/>
                <w:szCs w:val="22"/>
              </w:rPr>
            </w:pPr>
          </w:p>
          <w:p w14:paraId="20E5E2C5"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The Human Rights Act 1998, along with the United Nations Convention on the Rights of the Child (UNCRC, 1989) and the UN Convention on the Rights of Persons with Disabilities (CRPD, 2006), emphasises key rights including liberty, privacy, and the right to family life. In this safeguarding case, these rights were central to finding a balance between protecting 1 and respecting his autonomy. Article 8 of the Human Rights Act protects the right to a private and family life, while the right to freedom underlines the importance of personal choice. These legal principles highlight the need for safeguarding interventions to be both proportionate and respectful. The BASW Code of Ethics (2021) provides an ethical foundation for social workers and emphasises the importance of promoting autonomy, challenging oppressive practice, and keeping the person at the centre of any decision-making. Similarly, the Social Care Wales Code of Professional Practice (2017) outlines the responsibilities of social workers to protect rights, promote well-being, and work in partnership to keep people safe. In this case, it was important to uphold these principles while navigating complex family relationships and legal pressures. </w:t>
            </w:r>
          </w:p>
          <w:p w14:paraId="2E39628E" w14:textId="77777777" w:rsidR="00F153B1" w:rsidRPr="00B028FF" w:rsidRDefault="00F153B1" w:rsidP="00F153B1">
            <w:pPr>
              <w:spacing w:line="360" w:lineRule="auto"/>
              <w:jc w:val="both"/>
              <w:rPr>
                <w:rFonts w:ascii="Aptos" w:hAnsi="Aptos"/>
                <w:sz w:val="22"/>
                <w:szCs w:val="22"/>
              </w:rPr>
            </w:pPr>
          </w:p>
          <w:p w14:paraId="6A86A3E5" w14:textId="40FA9E30"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This case reiterated the importance of maintaining professional integrity and advocating for the individual’s voice, particularly when family dynamics and legal challenges risk shifting the focus away from the person at the centre of the safeguarding concern. Balancing these responsibilities required careful ethical consideration. On one hand, 1’s expressed wishes to live independently and avoid </w:t>
            </w:r>
            <w:r w:rsidRPr="00B028FF">
              <w:rPr>
                <w:rFonts w:ascii="Aptos" w:hAnsi="Aptos"/>
                <w:sz w:val="22"/>
                <w:szCs w:val="22"/>
              </w:rPr>
              <w:lastRenderedPageBreak/>
              <w:t>returning home were clear and consistent. Respecting those wishes aligned with the principles of autonomy and empowerment central to both the MCA 2005 and the Social Services and Well-being (Wales) Act 2014. On the other hand, the father’s challenges and the potential for legal repercussions created pressure to thoroughly verify 1’s capacity, which risked undermining trust and autonomy if perceived as unnecessary or intrusive. Despite this clear professional judgement, the ethical and practical complexity of the case persisted, largely due to the father’s insistence that 1 lacked capacity. This not only introduced tension within the safeguarding process but also risked escalating into legal dispute. The father’s challenges reflected a deeper issue frequently encountered in adult safeguarding work - the power dynamics within families and the emotional difficulty some parents face in accepting that their adult children can and should make independent life decisions (McDaniel and Pi</w:t>
            </w:r>
            <w:r w:rsidR="003C6689">
              <w:rPr>
                <w:rFonts w:ascii="Aptos" w:hAnsi="Aptos"/>
                <w:sz w:val="22"/>
                <w:szCs w:val="22"/>
              </w:rPr>
              <w:t>sani</w:t>
            </w:r>
            <w:r w:rsidRPr="00B028FF">
              <w:rPr>
                <w:rFonts w:ascii="Aptos" w:hAnsi="Aptos"/>
                <w:sz w:val="22"/>
                <w:szCs w:val="22"/>
              </w:rPr>
              <w:t xml:space="preserve">, 2012). This situation highlights how family relationships can complicate safeguarding interventions, particularly when there are conflicting views regarding an individual’s best interests. The decision to conduct the capacity assessment raised important ethical challenges which consisted of balancing the need to protect 1 from harm while respecting his autonomy as an adult with mild learning disabilities. As a social worker, I had an obligation to support 1’s right to make his own decisions, ensuring that those decisions were informed, voluntary, and made free from coercion or undue influence. At the same time, I had a duty to safeguard 1 from any risk that might arise from his choices. </w:t>
            </w:r>
          </w:p>
          <w:p w14:paraId="4A4A7EE1" w14:textId="77777777" w:rsidR="00F153B1" w:rsidRPr="00B028FF" w:rsidRDefault="00F153B1" w:rsidP="00F153B1">
            <w:pPr>
              <w:spacing w:line="360" w:lineRule="auto"/>
              <w:jc w:val="both"/>
              <w:rPr>
                <w:rFonts w:ascii="Aptos" w:hAnsi="Aptos"/>
                <w:sz w:val="22"/>
                <w:szCs w:val="22"/>
              </w:rPr>
            </w:pPr>
          </w:p>
          <w:p w14:paraId="26F24CCA"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This case emphasised the importance of professional judgement in safeguarding practice. While frameworks such as the Social Services and Well-being (Wales) Act 2014 and the MCA 2005 provide essential statutory guidance and structure, the realities of practice are often much more complex. Social workers must frequently navigate uncertainty, interpret laws within the specific contexts of individual cases, and apply professional values such as respect, empathy, integrity, and a commitment to social justice. The combination of legal knowledge and human insight highlights the important role of professional judgment in making decisions that effectively support and protect vulnerable adults. In the case of 1, professional judgement was especially crucial in recognising that his emotional responses—such as distress, anxiety, and fear at the prospect of returning to his family home—were entirely rational and justified, given the traumatic experiences he had endured. It would have been both inappropriate and harmful to dismiss these reactions as irrational or to override his expressed wishes simply because they conflicted with his father’s desires or expectations. 1’s feelings and perspectives needed to be understood and validated as a central part of the safeguarding response.</w:t>
            </w:r>
          </w:p>
          <w:p w14:paraId="3878AD10" w14:textId="77777777" w:rsidR="00F153B1" w:rsidRPr="00B028FF" w:rsidRDefault="00F153B1" w:rsidP="00F153B1">
            <w:pPr>
              <w:spacing w:line="360" w:lineRule="auto"/>
              <w:jc w:val="both"/>
              <w:rPr>
                <w:rFonts w:ascii="Aptos" w:hAnsi="Aptos"/>
                <w:sz w:val="22"/>
                <w:szCs w:val="22"/>
              </w:rPr>
            </w:pPr>
          </w:p>
          <w:p w14:paraId="089403D3"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lastRenderedPageBreak/>
              <w:t>A particularly notable challenge in this case was the misuse of parental power. Although 1’s father may have genuinely believed he was acting in his son’s best interest, his behaviour was controlling and coercive, undermining 1’s autonomy and right to make decisions about his own life. Research suggests that coercive control is usually driven by the perpetrator’s aim to achieve a particular goal (Pitman, 2017). This unfortunately is not uncommon in cases involving adults with learning disabilities. Research has shown that family dynamics can sometimes become significant barriers to a person’s independence and ability to make their own decisions. Parents and caregivers may struggle to accept that their adult child has the right and ability to make life choices that differ from familial expectations (Hagan, 2024). Such challenges call for social care professionals to be particularly vigilant and skilled in safeguarding practices that protect individuals’ rights while navigating complex family relationships.</w:t>
            </w:r>
          </w:p>
          <w:p w14:paraId="3163744B" w14:textId="77777777" w:rsidR="00F153B1" w:rsidRPr="00B028FF" w:rsidRDefault="00F153B1" w:rsidP="00F153B1">
            <w:pPr>
              <w:spacing w:line="360" w:lineRule="auto"/>
              <w:jc w:val="both"/>
              <w:rPr>
                <w:rFonts w:ascii="Aptos" w:hAnsi="Aptos"/>
                <w:sz w:val="22"/>
                <w:szCs w:val="22"/>
              </w:rPr>
            </w:pPr>
          </w:p>
          <w:p w14:paraId="4F713564"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Transactional Analysis (TA), developed by Berne (1964), offers a useful framework for understanding interpersonal relationships through the concept of ego states: Parent, Adult, and Child. Stewart and Joines (2012) suggest that communication is most effective when individuals engage from an Adult-to-Adult position, where conversations are respectful, balanced, and based on rational dialogue. In this case, the father appeared to relate to his adult son from a Parent-to-Child perspective, taking a protective and controlling approach that implied his son was unable to make independent decisions. This way of relating helped create a view of 1 as vulnerable and potentially lacking capacity.  </w:t>
            </w:r>
          </w:p>
          <w:p w14:paraId="451A167E" w14:textId="77777777" w:rsidR="00F153B1" w:rsidRPr="00B028FF" w:rsidRDefault="00F153B1" w:rsidP="00F153B1">
            <w:pPr>
              <w:spacing w:line="360" w:lineRule="auto"/>
              <w:jc w:val="both"/>
              <w:rPr>
                <w:rFonts w:ascii="Aptos" w:hAnsi="Aptos"/>
                <w:sz w:val="22"/>
                <w:szCs w:val="22"/>
              </w:rPr>
            </w:pPr>
          </w:p>
          <w:p w14:paraId="1A06C39F" w14:textId="086168AF" w:rsidR="00F153B1" w:rsidRPr="00B028FF" w:rsidRDefault="00F153B1" w:rsidP="00F153B1">
            <w:pPr>
              <w:spacing w:line="360" w:lineRule="auto"/>
              <w:jc w:val="both"/>
              <w:rPr>
                <w:rFonts w:ascii="Aptos" w:hAnsi="Aptos"/>
                <w:sz w:val="22"/>
                <w:szCs w:val="22"/>
              </w:rPr>
            </w:pPr>
            <w:r w:rsidRPr="00B028FF">
              <w:rPr>
                <w:rFonts w:ascii="Aptos" w:hAnsi="Aptos"/>
                <w:sz w:val="22"/>
                <w:szCs w:val="22"/>
              </w:rPr>
              <w:t>Advocacy plays a vital role in addressing these challenges and supporting individuals to have their voices heard, especially when facing barriers such as communication difficulties, coercion, or intimidation (Williams &amp; Evans, 2013). The Social Services and Well-being (Wales) Act 2014 strongly emphasises the promotion of voice and control, requiring practitioners to ensure that adults who need care and support are fully involved in decisions affecting their lives. One of the key provisions of the Act is the duty placed on local authorities to provide access to independent advocacy for individuals who experience substantial difficulty engaging with the care and support process and who do not have an appropriate person to represent them (Welsh Government, 2014).</w:t>
            </w:r>
            <w:r w:rsidR="00BF25A0">
              <w:rPr>
                <w:rFonts w:ascii="Aptos" w:hAnsi="Aptos"/>
                <w:sz w:val="22"/>
                <w:szCs w:val="22"/>
              </w:rPr>
              <w:t xml:space="preserve">  </w:t>
            </w:r>
            <w:r w:rsidRPr="00B028FF">
              <w:rPr>
                <w:rFonts w:ascii="Aptos" w:hAnsi="Aptos"/>
                <w:sz w:val="22"/>
                <w:szCs w:val="22"/>
              </w:rPr>
              <w:t xml:space="preserve">In 1’s case, although he was able to communicate his wishes, the coercive behaviour exhibited by his father created a situation where both informal and independent advocacy were essential. The involvement of an advocate ensured that 1’s rights were protected and ensured his voice was heard despite the power imbalance within his family. Advocacy provided crucial support in interpreting complex information, facilitating communication, and enabling 1 to participate meaningfully in meetings and decisions that affected his care and living arrangements. This </w:t>
            </w:r>
            <w:r w:rsidRPr="00B028FF">
              <w:rPr>
                <w:rFonts w:ascii="Aptos" w:hAnsi="Aptos"/>
                <w:sz w:val="22"/>
                <w:szCs w:val="22"/>
              </w:rPr>
              <w:lastRenderedPageBreak/>
              <w:t>was particularly important during safeguarding meetings, where discussions could be intimidating due to their legal and formal complexity.</w:t>
            </w:r>
          </w:p>
          <w:p w14:paraId="108B759E" w14:textId="77777777" w:rsidR="00F153B1" w:rsidRPr="00B028FF" w:rsidRDefault="00F153B1" w:rsidP="00F153B1">
            <w:pPr>
              <w:spacing w:line="360" w:lineRule="auto"/>
              <w:jc w:val="both"/>
              <w:rPr>
                <w:rFonts w:ascii="Aptos" w:hAnsi="Aptos"/>
                <w:sz w:val="22"/>
                <w:szCs w:val="22"/>
              </w:rPr>
            </w:pPr>
          </w:p>
          <w:p w14:paraId="512BF37B"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This case highlighted the indispensable role of multi-agency working in safeguarding adults at risk. Each agency brings its unique expertise and perspective, enabling a comprehensive understanding of the adult’s needs, risks, and protective factors. This collaborative approach ensures that safeguarding interventions are more effective and person-centred (McCray, 2007). For instance, in 1’s situation, the police provided immediate protection through the imposition of bail conditions on the father, restricting any contact with 1 and thereby reducing the risk of further harm. Health professionals contributed towards ensuring 1’s emotional well-being and cognitive functioning, which informed both the capacity assessment and ongoing support plans. Legal advisors supported the local authority in managing the father’s legal challenges, helping to navigate complex procedural and judicial processes. Most importantly, 1’s independent advocate played a crucial role in ensuring that his views were clearly communicated and respected throughout the safeguarding process.</w:t>
            </w:r>
          </w:p>
          <w:p w14:paraId="1E28A1A8" w14:textId="77777777" w:rsidR="00F153B1" w:rsidRPr="00B028FF" w:rsidRDefault="00F153B1" w:rsidP="00F153B1">
            <w:pPr>
              <w:spacing w:line="360" w:lineRule="auto"/>
              <w:jc w:val="both"/>
              <w:rPr>
                <w:rFonts w:ascii="Aptos" w:hAnsi="Aptos"/>
                <w:sz w:val="22"/>
                <w:szCs w:val="22"/>
              </w:rPr>
            </w:pPr>
          </w:p>
          <w:p w14:paraId="17CE7A0F" w14:textId="1C3CD00A"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Systemic practice, based on systems theory, views individuals as part of wider networks, such as families, communities, and professional systems, where each part influences and is influenced by the others (Carr, 2012, </w:t>
            </w:r>
            <w:r w:rsidR="001F2C73">
              <w:rPr>
                <w:rFonts w:ascii="Aptos" w:hAnsi="Aptos"/>
                <w:sz w:val="22"/>
                <w:szCs w:val="22"/>
              </w:rPr>
              <w:t>Walker, 2019</w:t>
            </w:r>
            <w:r w:rsidRPr="00B028FF">
              <w:rPr>
                <w:rFonts w:ascii="Aptos" w:hAnsi="Aptos"/>
                <w:sz w:val="22"/>
                <w:szCs w:val="22"/>
              </w:rPr>
              <w:t xml:space="preserve">). In the context of collaborative working, systemic theory encourages professionals to recognise and value different perspectives, be aware of power imbalances, and consider how relationships and organisational structures influence practice. It promotes open communication and shared understanding, helping teams work together more effectively (Wilson, </w:t>
            </w:r>
            <w:r w:rsidR="00BC5DCE">
              <w:rPr>
                <w:rFonts w:ascii="Aptos" w:hAnsi="Aptos"/>
                <w:sz w:val="22"/>
                <w:szCs w:val="22"/>
              </w:rPr>
              <w:t xml:space="preserve">et al., </w:t>
            </w:r>
            <w:r w:rsidRPr="00B028FF">
              <w:rPr>
                <w:rFonts w:ascii="Aptos" w:hAnsi="Aptos"/>
                <w:sz w:val="22"/>
                <w:szCs w:val="22"/>
              </w:rPr>
              <w:t>2011).</w:t>
            </w:r>
          </w:p>
          <w:p w14:paraId="672D44A0" w14:textId="77777777" w:rsidR="00F153B1" w:rsidRPr="00B028FF" w:rsidRDefault="00F153B1" w:rsidP="00F153B1">
            <w:pPr>
              <w:spacing w:line="360" w:lineRule="auto"/>
              <w:jc w:val="both"/>
              <w:rPr>
                <w:rFonts w:ascii="Aptos" w:hAnsi="Aptos"/>
                <w:sz w:val="22"/>
                <w:szCs w:val="22"/>
              </w:rPr>
            </w:pPr>
          </w:p>
          <w:p w14:paraId="4EAE8A49"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 xml:space="preserve">The multi-agency safeguarding strategy meetings were central to this coordinated response. These meetings facilitated transparency, information sharing, and mutual support between agencies. They ensured that the safeguarding plan was coherent, that responsibilities were clearly defined, and that all parties remained focused on safeguarding 1’s welfare while respecting his autonomy. This collaboration reflected the principles outlined in the Social Services and Well-being (Wales) Act 2014, which advocates a person-centred, outcomes-focused approach to safeguarding and mandates that agencies work in partnership to protect adults at risk (Welsh Government, 2014). Research highlights that effective safeguarding depends on good inter-professional communication, shared understanding of roles, and mutual respect for each agency’s contribution (Dixon et al., 2022).  This case illustrated these principles </w:t>
            </w:r>
            <w:r w:rsidRPr="00B028FF">
              <w:rPr>
                <w:rFonts w:ascii="Aptos" w:hAnsi="Aptos"/>
                <w:sz w:val="22"/>
                <w:szCs w:val="22"/>
              </w:rPr>
              <w:lastRenderedPageBreak/>
              <w:t>in practice, showing how the combined efforts of different professionals could provide holistic protection and support, balancing safety and autonomy for a vulnerable adult.</w:t>
            </w:r>
          </w:p>
          <w:p w14:paraId="18FBFC65" w14:textId="77777777" w:rsidR="00F153B1" w:rsidRPr="00B028FF" w:rsidRDefault="00F153B1" w:rsidP="00F153B1">
            <w:pPr>
              <w:spacing w:line="360" w:lineRule="auto"/>
              <w:jc w:val="both"/>
              <w:rPr>
                <w:rFonts w:ascii="Aptos" w:hAnsi="Aptos"/>
                <w:sz w:val="22"/>
                <w:szCs w:val="22"/>
              </w:rPr>
            </w:pPr>
          </w:p>
          <w:p w14:paraId="160E7B6C"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In conclusion, this case exemplifies the complex challenges inherent in safeguarding adults with learning disabilities. It demonstrates how legal frameworks, professional judgment, and ethical considerations intersect in real-world practice. Social care professionals must carefully navigate these challenges to uphold the safety, rights, and dignity of vulnerable individuals, ensuring that safeguarding interventions are appropriate, respectful, and empowering.</w:t>
            </w:r>
          </w:p>
          <w:p w14:paraId="44A191B6" w14:textId="77777777" w:rsidR="00F153B1" w:rsidRPr="00B028FF" w:rsidRDefault="00F153B1" w:rsidP="00F153B1">
            <w:pPr>
              <w:spacing w:line="360" w:lineRule="auto"/>
              <w:jc w:val="both"/>
              <w:rPr>
                <w:rFonts w:ascii="Aptos" w:hAnsi="Aptos"/>
                <w:sz w:val="22"/>
                <w:szCs w:val="22"/>
              </w:rPr>
            </w:pPr>
          </w:p>
          <w:p w14:paraId="055FC4CB" w14:textId="77777777" w:rsidR="00F153B1" w:rsidRDefault="00F153B1" w:rsidP="00F153B1">
            <w:pPr>
              <w:spacing w:line="360" w:lineRule="auto"/>
              <w:jc w:val="both"/>
              <w:rPr>
                <w:rFonts w:ascii="Aptos" w:hAnsi="Aptos"/>
                <w:sz w:val="22"/>
                <w:szCs w:val="22"/>
              </w:rPr>
            </w:pPr>
            <w:r w:rsidRPr="00B028FF">
              <w:rPr>
                <w:rFonts w:ascii="Aptos" w:hAnsi="Aptos"/>
                <w:sz w:val="22"/>
                <w:szCs w:val="22"/>
              </w:rPr>
              <w:t>The MCA 2005 requires capacity assessments to be proportionate, respectful, and not conducted simply to address others’ concerns. However, in practice, safeguarding professionals often face pressures from legal challenges, ethical dilemmas, and complex family dynamics. In 1’s case, not assessing capacity could have led to legal challenges from his father, risking disruption to safeguarding plans. This highlights the complexity of safeguarding work, where professionals must balance individual rights, legal duties, and family relationships.</w:t>
            </w:r>
          </w:p>
          <w:p w14:paraId="3EE71FDC" w14:textId="77777777" w:rsidR="00B028FF" w:rsidRPr="00B028FF" w:rsidRDefault="00B028FF" w:rsidP="00F153B1">
            <w:pPr>
              <w:spacing w:line="360" w:lineRule="auto"/>
              <w:jc w:val="both"/>
              <w:rPr>
                <w:rFonts w:ascii="Aptos" w:hAnsi="Aptos"/>
                <w:sz w:val="22"/>
                <w:szCs w:val="22"/>
              </w:rPr>
            </w:pPr>
          </w:p>
          <w:p w14:paraId="460D52C6"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The case shows the importance of clear, ethical decision-making that protects individuals without undermining their autonomy. Safeguarding vulnerable adults involves more than simply following policies—it demands professional skill, ethical awareness, and a strong commitment to respecting each person’s rights and dignity. Furthermore, it brings to light the difficulties of managing family situations where power may be misused, the importance of advocacy in giving a voice to those at risk, and the need for different agencies to work together to create truly person-centred support. These lessons are essential for social workers and others involved in safeguarding adults with learning disabilities, reminding us of the importance of empathy, respect, and a commitment to ethical practice in every case.</w:t>
            </w:r>
          </w:p>
          <w:p w14:paraId="082D4429" w14:textId="77777777" w:rsidR="00F153B1" w:rsidRPr="00B028FF" w:rsidRDefault="00F153B1" w:rsidP="00F153B1">
            <w:pPr>
              <w:spacing w:line="360" w:lineRule="auto"/>
              <w:jc w:val="both"/>
              <w:rPr>
                <w:rFonts w:ascii="Aptos" w:hAnsi="Aptos"/>
                <w:vanish/>
                <w:sz w:val="22"/>
                <w:szCs w:val="22"/>
              </w:rPr>
            </w:pPr>
            <w:r w:rsidRPr="00B028FF">
              <w:rPr>
                <w:rFonts w:ascii="Aptos" w:hAnsi="Aptos"/>
                <w:vanish/>
                <w:sz w:val="22"/>
                <w:szCs w:val="22"/>
              </w:rPr>
              <w:t>Top of Form</w:t>
            </w:r>
          </w:p>
          <w:p w14:paraId="4B9C7E49" w14:textId="77777777" w:rsidR="00F153B1" w:rsidRPr="00B028FF" w:rsidRDefault="00F153B1" w:rsidP="00F153B1">
            <w:pPr>
              <w:spacing w:line="360" w:lineRule="auto"/>
              <w:jc w:val="both"/>
              <w:rPr>
                <w:rFonts w:ascii="Aptos" w:hAnsi="Aptos"/>
                <w:sz w:val="22"/>
                <w:szCs w:val="22"/>
              </w:rPr>
            </w:pPr>
          </w:p>
          <w:p w14:paraId="4DA5827F" w14:textId="7D8BF5EE" w:rsidR="00F153B1" w:rsidRPr="00B028FF" w:rsidRDefault="00F153B1" w:rsidP="00F153B1">
            <w:pPr>
              <w:spacing w:line="360" w:lineRule="auto"/>
              <w:jc w:val="both"/>
              <w:rPr>
                <w:rFonts w:ascii="Aptos" w:hAnsi="Aptos"/>
                <w:sz w:val="22"/>
                <w:szCs w:val="22"/>
              </w:rPr>
            </w:pPr>
            <w:r w:rsidRPr="00B028FF">
              <w:rPr>
                <w:rFonts w:ascii="Aptos" w:hAnsi="Aptos"/>
                <w:sz w:val="22"/>
                <w:szCs w:val="22"/>
              </w:rPr>
              <w:t>Social workers play a vital role in navigating complex legal systems, advocating for individual rights, and managing difficult family dynamics. In my role as 1’s social worker, I had to carefully balance my legal duties under the MCA 2005 and the Social Services and Well-being (Wales) Act 2014 with my ethical responsibility to support 1’s autonomy and informed decision-making. This was further complicated by ongoing family conflict and the looming threat of legal action.  Social Care Wales (20</w:t>
            </w:r>
            <w:r w:rsidR="00B457C7">
              <w:rPr>
                <w:rFonts w:ascii="Aptos" w:hAnsi="Aptos"/>
                <w:sz w:val="22"/>
                <w:szCs w:val="22"/>
              </w:rPr>
              <w:t>17</w:t>
            </w:r>
            <w:r w:rsidRPr="00B028FF">
              <w:rPr>
                <w:rFonts w:ascii="Aptos" w:hAnsi="Aptos"/>
                <w:sz w:val="22"/>
                <w:szCs w:val="22"/>
              </w:rPr>
              <w:t xml:space="preserve">) emphasises that social workers must act with integrity, challenge discrimination, and empower people to take control of their own lives. In practice, this meant respecting 1’s expressed wishes while also ensuring his safety and </w:t>
            </w:r>
            <w:r w:rsidRPr="00B028FF">
              <w:rPr>
                <w:rFonts w:ascii="Aptos" w:hAnsi="Aptos"/>
                <w:sz w:val="22"/>
                <w:szCs w:val="22"/>
              </w:rPr>
              <w:lastRenderedPageBreak/>
              <w:t>wellbeing. It required thorough documentation of decisions to show that both legal and ethical standards were being met. A key part of my role was also managing the impact of 1’s father’s coercive behaviour, acting as a safeguard to help 1 make choices free from pressure or influence.</w:t>
            </w:r>
          </w:p>
          <w:p w14:paraId="618C2304" w14:textId="77777777" w:rsidR="00F153B1" w:rsidRPr="00B028FF" w:rsidRDefault="00F153B1" w:rsidP="00F153B1">
            <w:pPr>
              <w:spacing w:line="360" w:lineRule="auto"/>
              <w:jc w:val="both"/>
              <w:rPr>
                <w:rFonts w:ascii="Aptos" w:hAnsi="Aptos"/>
                <w:sz w:val="22"/>
                <w:szCs w:val="22"/>
              </w:rPr>
            </w:pPr>
          </w:p>
          <w:p w14:paraId="58284B56"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The ethical challenge involved finding a balance between protecting 1 from potential harm and respecting his right to make his own decisions. Being overly restrictive could take away his dignity and independence, while insufficient safeguarding could leave him vulnerable to further abuse. The approach taken aimed to provide both protection and empowerment, guided by relevant legislation and ethical frameworks. This case highlighted how ethical reasoning, capacity assessments, and professional judgement are closely connected in safeguarding. It also reinforced the ongoing importance of upholding legal rights and ethical principles, particularly when family dynamics, risks, and vulnerabilities complicate decision-making.</w:t>
            </w:r>
          </w:p>
          <w:p w14:paraId="1CDEF7E3" w14:textId="77777777" w:rsidR="00F153B1" w:rsidRPr="00B028FF" w:rsidRDefault="00F153B1" w:rsidP="00F153B1">
            <w:pPr>
              <w:spacing w:line="360" w:lineRule="auto"/>
              <w:jc w:val="both"/>
              <w:rPr>
                <w:rFonts w:ascii="Aptos" w:hAnsi="Aptos"/>
                <w:sz w:val="22"/>
                <w:szCs w:val="22"/>
              </w:rPr>
            </w:pPr>
          </w:p>
          <w:p w14:paraId="30D88A8B" w14:textId="77777777" w:rsidR="00F153B1" w:rsidRPr="00B028FF" w:rsidRDefault="00F153B1" w:rsidP="00F153B1">
            <w:pPr>
              <w:spacing w:line="360" w:lineRule="auto"/>
              <w:jc w:val="both"/>
              <w:rPr>
                <w:rFonts w:ascii="Aptos" w:hAnsi="Aptos"/>
                <w:sz w:val="22"/>
                <w:szCs w:val="22"/>
              </w:rPr>
            </w:pPr>
            <w:r w:rsidRPr="00B028FF">
              <w:rPr>
                <w:rFonts w:ascii="Aptos" w:hAnsi="Aptos"/>
                <w:sz w:val="22"/>
                <w:szCs w:val="22"/>
              </w:rPr>
              <w:t>As the allocated social worker, my responsibilities went beyond coordinating the safeguarding process; I was also tasked with building a trusting relationship with 1 and advocating firmly for his rights. This meant creating a safe space where 1 could express his wishes freely, without fear of influence or pressure, particularly from his father. I took responsibility for arranging and conducting the mental capacity assessment, facilitating multi-agency communication, and ensuring that 1’s voice remained central throughout all decision-making processes. Importantly, I was required to fulfil two roles, both keeping 1 safe from harm while also supporting him to maintain as much control over his life as possible. This balancing act can be challenging both ethically and emotionally, especially when families question professional decisions or pursue legal action. In these situations, it’s essential for social workers to remain calm, base their actions on evidence, and remain committed to core values including respect, justice, and person-centred care.</w:t>
            </w:r>
          </w:p>
          <w:p w14:paraId="7E47D07B" w14:textId="77777777" w:rsidR="00F153B1" w:rsidRPr="00B028FF" w:rsidRDefault="00F153B1" w:rsidP="00F153B1">
            <w:pPr>
              <w:spacing w:line="360" w:lineRule="auto"/>
              <w:jc w:val="both"/>
              <w:rPr>
                <w:rFonts w:ascii="Aptos" w:hAnsi="Aptos"/>
                <w:sz w:val="22"/>
                <w:szCs w:val="22"/>
              </w:rPr>
            </w:pPr>
          </w:p>
          <w:p w14:paraId="6272C432" w14:textId="77777777" w:rsidR="00F153B1" w:rsidRPr="00B028FF" w:rsidRDefault="00F153B1" w:rsidP="00FF7EBB">
            <w:pPr>
              <w:jc w:val="both"/>
              <w:rPr>
                <w:rFonts w:ascii="Aptos" w:hAnsi="Aptos"/>
                <w:i/>
                <w:sz w:val="22"/>
                <w:szCs w:val="22"/>
              </w:rPr>
            </w:pPr>
          </w:p>
          <w:p w14:paraId="20370495" w14:textId="1B378CD5" w:rsidR="00D3203C" w:rsidRPr="00B028FF" w:rsidRDefault="00B028FF" w:rsidP="00FF7EBB">
            <w:pPr>
              <w:jc w:val="both"/>
              <w:rPr>
                <w:rFonts w:ascii="Aptos" w:hAnsi="Aptos"/>
                <w:i/>
                <w:sz w:val="22"/>
                <w:szCs w:val="22"/>
              </w:rPr>
            </w:pPr>
            <w:r>
              <w:rPr>
                <w:rFonts w:ascii="Aptos" w:hAnsi="Aptos"/>
                <w:i/>
                <w:sz w:val="22"/>
                <w:szCs w:val="22"/>
              </w:rPr>
              <w:t xml:space="preserve">Word Count </w:t>
            </w:r>
            <w:r w:rsidR="00D32407">
              <w:rPr>
                <w:rFonts w:ascii="Aptos" w:hAnsi="Aptos"/>
                <w:i/>
                <w:sz w:val="22"/>
                <w:szCs w:val="22"/>
              </w:rPr>
              <w:t>4145</w:t>
            </w:r>
          </w:p>
          <w:p w14:paraId="12DC2F24" w14:textId="24094196" w:rsidR="00D3203C" w:rsidRPr="00B028FF" w:rsidRDefault="00D3203C" w:rsidP="00FF7EBB">
            <w:pPr>
              <w:jc w:val="both"/>
              <w:rPr>
                <w:rFonts w:ascii="Aptos" w:hAnsi="Aptos"/>
                <w:i/>
                <w:sz w:val="22"/>
                <w:szCs w:val="22"/>
              </w:rPr>
            </w:pPr>
          </w:p>
          <w:p w14:paraId="1225D23D" w14:textId="4FFF3138" w:rsidR="00D3203C" w:rsidRPr="00B028FF" w:rsidRDefault="00D3203C" w:rsidP="00FF7EBB">
            <w:pPr>
              <w:jc w:val="both"/>
              <w:rPr>
                <w:rFonts w:ascii="Aptos" w:hAnsi="Aptos"/>
                <w:i/>
                <w:sz w:val="22"/>
                <w:szCs w:val="22"/>
              </w:rPr>
            </w:pPr>
          </w:p>
          <w:p w14:paraId="0C1020FE" w14:textId="61CE561C" w:rsidR="00D3203C" w:rsidRPr="00B028FF" w:rsidRDefault="00D3203C" w:rsidP="00FF7EBB">
            <w:pPr>
              <w:jc w:val="both"/>
              <w:rPr>
                <w:rFonts w:ascii="Aptos" w:hAnsi="Aptos"/>
                <w:i/>
                <w:sz w:val="22"/>
                <w:szCs w:val="22"/>
              </w:rPr>
            </w:pPr>
          </w:p>
          <w:p w14:paraId="43CA65F6" w14:textId="46B65686" w:rsidR="00D3203C" w:rsidRPr="00B028FF" w:rsidRDefault="00D3203C" w:rsidP="00FF7EBB">
            <w:pPr>
              <w:jc w:val="both"/>
              <w:rPr>
                <w:rFonts w:ascii="Aptos" w:hAnsi="Aptos"/>
                <w:i/>
                <w:sz w:val="22"/>
                <w:szCs w:val="22"/>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63A25" w14:textId="77777777" w:rsidR="003C0512" w:rsidRDefault="003C0512">
      <w:r>
        <w:separator/>
      </w:r>
    </w:p>
  </w:endnote>
  <w:endnote w:type="continuationSeparator" w:id="0">
    <w:p w14:paraId="39831A14" w14:textId="77777777" w:rsidR="003C0512" w:rsidRDefault="003C0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70461" w14:textId="77777777" w:rsidR="003C0512" w:rsidRDefault="003C0512">
      <w:r>
        <w:separator/>
      </w:r>
    </w:p>
  </w:footnote>
  <w:footnote w:type="continuationSeparator" w:id="0">
    <w:p w14:paraId="6114C685" w14:textId="77777777" w:rsidR="003C0512" w:rsidRDefault="003C0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2C73"/>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0512"/>
    <w:rsid w:val="003C19F1"/>
    <w:rsid w:val="003C3C67"/>
    <w:rsid w:val="003C4186"/>
    <w:rsid w:val="003C6185"/>
    <w:rsid w:val="003C6689"/>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BED"/>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7D86"/>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AEC"/>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8FF"/>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7C7"/>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DCE"/>
    <w:rsid w:val="00BD30B1"/>
    <w:rsid w:val="00BE0F7B"/>
    <w:rsid w:val="00BE10C2"/>
    <w:rsid w:val="00BF0D6C"/>
    <w:rsid w:val="00BF25A0"/>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2407"/>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3B1"/>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F153B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ontentpasted0">
    <w:name w:val="contentpasted0"/>
    <w:basedOn w:val="DefaultParagraphFont"/>
    <w:rsid w:val="00F15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4500</Words>
  <Characters>25655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Freckleton</cp:lastModifiedBy>
  <cp:revision>14</cp:revision>
  <cp:lastPrinted>2020-02-11T19:20:00Z</cp:lastPrinted>
  <dcterms:created xsi:type="dcterms:W3CDTF">2022-09-29T11:34:00Z</dcterms:created>
  <dcterms:modified xsi:type="dcterms:W3CDTF">2025-10-06T14:16:00Z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