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0C91C" w14:textId="65BF368A" w:rsidR="007D6E88" w:rsidRPr="002B1BB8" w:rsidRDefault="002D0B0B" w:rsidP="002B1BB8">
      <w:pPr>
        <w:spacing w:after="0" w:line="480" w:lineRule="auto"/>
        <w:jc w:val="center"/>
        <w:rPr>
          <w:rFonts w:ascii="Times New Roman" w:hAnsi="Times New Roman"/>
          <w:b/>
          <w:bCs/>
          <w:sz w:val="24"/>
          <w:szCs w:val="24"/>
          <w:lang w:val="en-GB"/>
        </w:rPr>
      </w:pPr>
      <w:r>
        <w:rPr>
          <w:noProof/>
        </w:rPr>
        <w:pict w14:anchorId="6ADAC4DD">
          <v:roundrect id="Rounded Rectangle 1" o:spid="_x0000_s2050" style="position:absolute;left:0;text-align:left;margin-left:-1.5pt;margin-top:24pt;width:455.25pt;height:231.75pt;z-index:1;visibility:visible;mso-wrap-style:square;mso-height-percent:0;mso-wrap-distance-left:9pt;mso-wrap-distance-top:0;mso-wrap-distance-right:9pt;mso-wrap-distance-bottom:0;mso-position-horizontal-relative:margin;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" fillcolor="#00b0f0" stroked="f" strokeweight="1pt">
            <v:stroke joinstyle="miter"/>
            <v:shadow on="t" color="black" opacity="20971f" offset="0,2.2pt"/>
            <v:textbox>
              <w:txbxContent>
                <w:p w14:paraId="1D532C8A" w14:textId="44CB2014" w:rsidR="007710C3" w:rsidRDefault="007710C3" w:rsidP="007710C3">
                  <w:pPr>
                    <w:jc w:val="center"/>
                    <w:rPr>
                      <w:b/>
                      <w:sz w:val="56"/>
                    </w:rPr>
                  </w:pPr>
                  <w:r>
                    <w:rPr>
                      <w:b/>
                      <w:sz w:val="56"/>
                    </w:rPr>
                    <w:t>Tort Law</w:t>
                  </w:r>
                </w:p>
                <w:p w14:paraId="1AE05C56" w14:textId="5202EC9A" w:rsidR="007710C3" w:rsidRPr="00B96F45" w:rsidRDefault="007710C3" w:rsidP="007710C3">
                  <w:pPr>
                    <w:spacing w:line="480" w:lineRule="auto"/>
                    <w:jc w:val="center"/>
                    <w:rPr>
                      <w:b/>
                      <w:bCs/>
                      <w:sz w:val="24"/>
                      <w:szCs w:val="24"/>
                    </w:rPr>
                  </w:pPr>
                  <w:r w:rsidRPr="008B6657">
                    <w:rPr>
                      <w:b/>
                      <w:color w:val="002060"/>
                      <w:sz w:val="56"/>
                    </w:rPr>
                    <w:t>Assignment</w:t>
                  </w:r>
                  <w:r>
                    <w:rPr>
                      <w:b/>
                      <w:color w:val="002060"/>
                      <w:sz w:val="56"/>
                    </w:rPr>
                    <w:t xml:space="preserve"> Title: Negligence</w:t>
                  </w:r>
                </w:p>
                <w:p w14:paraId="2C431D8B" w14:textId="77777777" w:rsidR="007710C3" w:rsidRPr="008B6657" w:rsidRDefault="007710C3" w:rsidP="007710C3">
                  <w:pPr>
                    <w:jc w:val="center"/>
                    <w:rPr>
                      <w:b/>
                      <w:color w:val="002060"/>
                      <w:sz w:val="56"/>
                    </w:rPr>
                  </w:pPr>
                </w:p>
                <w:p w14:paraId="25D13038" w14:textId="77777777" w:rsidR="007710C3" w:rsidRPr="008B6657" w:rsidRDefault="007710C3" w:rsidP="007710C3">
                  <w:pPr>
                    <w:jc w:val="center"/>
                    <w:rPr>
                      <w:b/>
                      <w:sz w:val="56"/>
                    </w:rPr>
                  </w:pPr>
                </w:p>
              </w:txbxContent>
            </v:textbox>
            <w10:wrap anchorx="margin"/>
          </v:roundrect>
        </w:pict>
      </w:r>
    </w:p>
    <w:p w14:paraId="4DD01B20" w14:textId="77777777" w:rsidR="007D6E88" w:rsidRPr="002B1BB8" w:rsidRDefault="007D6E88" w:rsidP="002B1BB8">
      <w:pPr>
        <w:spacing w:after="0" w:line="480" w:lineRule="auto"/>
        <w:jc w:val="center"/>
        <w:rPr>
          <w:rFonts w:ascii="Times New Roman" w:hAnsi="Times New Roman"/>
          <w:b/>
          <w:bCs/>
          <w:sz w:val="24"/>
          <w:szCs w:val="24"/>
          <w:lang w:val="en-GB"/>
        </w:rPr>
      </w:pPr>
    </w:p>
    <w:p w14:paraId="43AD804E" w14:textId="77777777" w:rsidR="007D6E88" w:rsidRPr="002B1BB8" w:rsidRDefault="007D6E88" w:rsidP="002B1BB8">
      <w:pPr>
        <w:spacing w:after="0" w:line="480" w:lineRule="auto"/>
        <w:jc w:val="center"/>
        <w:rPr>
          <w:rFonts w:ascii="Times New Roman" w:hAnsi="Times New Roman"/>
          <w:b/>
          <w:bCs/>
          <w:sz w:val="24"/>
          <w:szCs w:val="24"/>
          <w:lang w:val="en-GB"/>
        </w:rPr>
      </w:pPr>
    </w:p>
    <w:p w14:paraId="721FF677" w14:textId="77777777" w:rsidR="007D6E88" w:rsidRPr="002B1BB8" w:rsidRDefault="007D6E88" w:rsidP="002B1BB8">
      <w:pPr>
        <w:spacing w:after="0" w:line="480" w:lineRule="auto"/>
        <w:jc w:val="center"/>
        <w:rPr>
          <w:rFonts w:ascii="Times New Roman" w:hAnsi="Times New Roman"/>
          <w:b/>
          <w:bCs/>
          <w:sz w:val="24"/>
          <w:szCs w:val="24"/>
          <w:lang w:val="en-GB"/>
        </w:rPr>
      </w:pPr>
    </w:p>
    <w:p w14:paraId="4F3F3408" w14:textId="77777777" w:rsidR="00EE6270" w:rsidRPr="002B1BB8" w:rsidRDefault="00EE6270" w:rsidP="002B1BB8">
      <w:pPr>
        <w:spacing w:after="0" w:line="480" w:lineRule="auto"/>
        <w:jc w:val="center"/>
        <w:rPr>
          <w:rFonts w:ascii="Times New Roman" w:hAnsi="Times New Roman"/>
          <w:b/>
          <w:bCs/>
          <w:sz w:val="24"/>
          <w:szCs w:val="24"/>
          <w:lang w:val="en-GB"/>
        </w:rPr>
      </w:pPr>
    </w:p>
    <w:p w14:paraId="46BBFA09" w14:textId="77777777" w:rsidR="00EE6270" w:rsidRPr="002B1BB8" w:rsidRDefault="00EE6270" w:rsidP="002B1BB8">
      <w:pPr>
        <w:spacing w:after="0" w:line="480" w:lineRule="auto"/>
        <w:jc w:val="center"/>
        <w:rPr>
          <w:rFonts w:ascii="Times New Roman" w:hAnsi="Times New Roman"/>
          <w:b/>
          <w:bCs/>
          <w:sz w:val="24"/>
          <w:szCs w:val="24"/>
          <w:lang w:val="en-GB"/>
        </w:rPr>
      </w:pPr>
    </w:p>
    <w:p w14:paraId="34741106" w14:textId="77777777" w:rsidR="007D6E88" w:rsidRPr="002B1BB8" w:rsidRDefault="007D6E88" w:rsidP="002B1BB8">
      <w:pPr>
        <w:spacing w:after="0" w:line="480" w:lineRule="auto"/>
        <w:jc w:val="center"/>
        <w:rPr>
          <w:rFonts w:ascii="Times New Roman" w:hAnsi="Times New Roman"/>
          <w:b/>
          <w:bCs/>
          <w:sz w:val="24"/>
          <w:szCs w:val="24"/>
          <w:lang w:val="en-GB"/>
        </w:rPr>
      </w:pPr>
    </w:p>
    <w:p w14:paraId="63BDE047" w14:textId="77777777" w:rsidR="007D6E88" w:rsidRPr="002B1BB8" w:rsidRDefault="007D6E88" w:rsidP="002B1BB8">
      <w:pPr>
        <w:spacing w:after="0" w:line="480" w:lineRule="auto"/>
        <w:jc w:val="center"/>
        <w:rPr>
          <w:rFonts w:ascii="Times New Roman" w:hAnsi="Times New Roman"/>
          <w:b/>
          <w:bCs/>
          <w:sz w:val="24"/>
          <w:szCs w:val="24"/>
          <w:lang w:val="en-GB"/>
        </w:rPr>
      </w:pPr>
    </w:p>
    <w:p w14:paraId="0652007A" w14:textId="77777777" w:rsidR="007D6E88" w:rsidRPr="002B1BB8" w:rsidRDefault="007D6E88" w:rsidP="002B1BB8">
      <w:pPr>
        <w:spacing w:after="0" w:line="480" w:lineRule="auto"/>
        <w:jc w:val="center"/>
        <w:rPr>
          <w:rFonts w:ascii="Times New Roman" w:hAnsi="Times New Roman"/>
          <w:b/>
          <w:bCs/>
          <w:sz w:val="24"/>
          <w:szCs w:val="24"/>
          <w:lang w:val="en-GB"/>
        </w:rPr>
      </w:pPr>
    </w:p>
    <w:p w14:paraId="12E90564" w14:textId="77777777" w:rsidR="007D6E88" w:rsidRPr="002B1BB8" w:rsidRDefault="007D6E88" w:rsidP="002B1BB8">
      <w:pPr>
        <w:spacing w:after="0" w:line="480" w:lineRule="auto"/>
        <w:jc w:val="center"/>
        <w:rPr>
          <w:rFonts w:ascii="Times New Roman" w:hAnsi="Times New Roman"/>
          <w:b/>
          <w:bCs/>
          <w:sz w:val="24"/>
          <w:szCs w:val="24"/>
          <w:lang w:val="en-GB"/>
        </w:rPr>
      </w:pPr>
    </w:p>
    <w:p w14:paraId="1080823B" w14:textId="77777777" w:rsidR="007D6E88" w:rsidRPr="002B1BB8" w:rsidRDefault="007D6E88" w:rsidP="002B1BB8">
      <w:pPr>
        <w:spacing w:after="0" w:line="480" w:lineRule="auto"/>
        <w:jc w:val="center"/>
        <w:rPr>
          <w:rFonts w:ascii="Times New Roman" w:hAnsi="Times New Roman"/>
          <w:b/>
          <w:bCs/>
          <w:sz w:val="24"/>
          <w:szCs w:val="24"/>
          <w:lang w:val="en-GB"/>
        </w:rPr>
      </w:pPr>
    </w:p>
    <w:p w14:paraId="2D10CE0D" w14:textId="13D555FE" w:rsidR="00372182" w:rsidRPr="002B1BB8" w:rsidRDefault="00372182" w:rsidP="007710C3">
      <w:pPr>
        <w:spacing w:after="0" w:line="480" w:lineRule="auto"/>
        <w:rPr>
          <w:rFonts w:ascii="Times New Roman" w:hAnsi="Times New Roman"/>
          <w:b/>
          <w:bCs/>
          <w:sz w:val="24"/>
          <w:szCs w:val="24"/>
          <w:lang w:val="en-GB"/>
        </w:rPr>
      </w:pPr>
    </w:p>
    <w:p w14:paraId="7BAB301B" w14:textId="2C6958AF" w:rsidR="00945D91" w:rsidRPr="00B566E2" w:rsidRDefault="002D0B0B" w:rsidP="00945D91">
      <w:pPr>
        <w:spacing w:after="0" w:line="480" w:lineRule="auto"/>
        <w:jc w:val="both"/>
        <w:rPr>
          <w:rFonts w:ascii="Times New Roman" w:eastAsia="Calibri" w:hAnsi="Times New Roman"/>
          <w:sz w:val="28"/>
          <w:szCs w:val="28"/>
          <w:lang w:val="en-GB" w:eastAsia="en-US" w:bidi="hi-IN"/>
        </w:rPr>
      </w:pPr>
      <w:r>
        <w:rPr>
          <w:rFonts w:ascii="Calibri Light" w:hAnsi="Calibri Light"/>
          <w:noProof/>
          <w:sz w:val="32"/>
          <w:szCs w:val="32"/>
        </w:rPr>
        <w:pict w14:anchorId="324ACF92">
          <v:rect id="Rectangle 3" o:spid="_x0000_s2051" style="position:absolute;left:0;text-align:left;margin-left:6.75pt;margin-top:7.85pt;width:461.25pt;height:244.5pt;z-index:2;visibility:visible;mso-wrap-style:square;mso-height-percent:0;mso-wrap-distance-left:9pt;mso-wrap-distance-top:0;mso-wrap-distance-right:9pt;mso-wrap-distance-bottom:0;mso-position-horizontal-relative:margin;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" fillcolor="#ffd966" stroked="f" strokeweight=".5pt">
            <v:shadow on="t" color="black" opacity="20971f" offset="0,2.2pt"/>
            <v:textbox>
              <w:txbxContent>
                <w:p w14:paraId="029307B8" w14:textId="77777777" w:rsidR="007710C3" w:rsidRPr="008D6921" w:rsidRDefault="007710C3" w:rsidP="007710C3">
                  <w:pPr>
                    <w:jc w:val="both"/>
                    <w:rPr>
                      <w:b/>
                      <w:sz w:val="40"/>
                    </w:rPr>
                  </w:pPr>
                  <w:r w:rsidRPr="008D6921">
                    <w:rPr>
                      <w:b/>
                      <w:sz w:val="40"/>
                    </w:rPr>
                    <w:t>Student Name:</w:t>
                  </w:r>
                  <w:r>
                    <w:rPr>
                      <w:b/>
                      <w:sz w:val="40"/>
                    </w:rPr>
                    <w:t xml:space="preserve"> MD ROSHID AHMED</w:t>
                  </w:r>
                </w:p>
                <w:p w14:paraId="5D9BC7BA" w14:textId="77777777" w:rsidR="007710C3" w:rsidRPr="008D6921" w:rsidRDefault="007710C3" w:rsidP="007710C3">
                  <w:pPr>
                    <w:jc w:val="both"/>
                    <w:rPr>
                      <w:b/>
                      <w:sz w:val="40"/>
                    </w:rPr>
                  </w:pPr>
                  <w:r>
                    <w:rPr>
                      <w:b/>
                      <w:sz w:val="40"/>
                    </w:rPr>
                    <w:t xml:space="preserve">Student </w:t>
                  </w:r>
                  <w:r w:rsidRPr="008D6921">
                    <w:rPr>
                      <w:b/>
                      <w:sz w:val="40"/>
                    </w:rPr>
                    <w:t xml:space="preserve">ID: </w:t>
                  </w:r>
                  <w:r>
                    <w:rPr>
                      <w:b/>
                      <w:sz w:val="40"/>
                    </w:rPr>
                    <w:t>1922561</w:t>
                  </w:r>
                </w:p>
                <w:p w14:paraId="3C4A1904" w14:textId="1A11317F" w:rsidR="007710C3" w:rsidRPr="008D6921" w:rsidRDefault="007710C3" w:rsidP="007710C3">
                  <w:pPr>
                    <w:jc w:val="both"/>
                    <w:rPr>
                      <w:b/>
                      <w:sz w:val="40"/>
                    </w:rPr>
                  </w:pPr>
                  <w:r w:rsidRPr="008D6921">
                    <w:rPr>
                      <w:b/>
                      <w:sz w:val="40"/>
                    </w:rPr>
                    <w:t>Course Le</w:t>
                  </w:r>
                  <w:r>
                    <w:rPr>
                      <w:b/>
                      <w:sz w:val="40"/>
                    </w:rPr>
                    <w:t>cturer</w:t>
                  </w:r>
                  <w:r w:rsidRPr="008D6921">
                    <w:rPr>
                      <w:b/>
                      <w:sz w:val="40"/>
                    </w:rPr>
                    <w:t>:</w:t>
                  </w:r>
                  <w:r>
                    <w:rPr>
                      <w:b/>
                      <w:sz w:val="40"/>
                    </w:rPr>
                    <w:t xml:space="preserve"> Louise Holmes</w:t>
                  </w:r>
                </w:p>
                <w:p w14:paraId="01AE9542" w14:textId="0D8D1140" w:rsidR="007710C3" w:rsidRPr="008D6921" w:rsidRDefault="007710C3" w:rsidP="007710C3">
                  <w:pPr>
                    <w:jc w:val="both"/>
                    <w:rPr>
                      <w:b/>
                      <w:sz w:val="40"/>
                    </w:rPr>
                  </w:pPr>
                  <w:r w:rsidRPr="008D6921">
                    <w:rPr>
                      <w:b/>
                      <w:sz w:val="40"/>
                    </w:rPr>
                    <w:t>Course Module:</w:t>
                  </w:r>
                  <w:r>
                    <w:rPr>
                      <w:b/>
                      <w:sz w:val="40"/>
                    </w:rPr>
                    <w:t xml:space="preserve"> Tort Law</w:t>
                  </w:r>
                </w:p>
                <w:p w14:paraId="21A0C08C" w14:textId="7C2B7FBF" w:rsidR="007710C3" w:rsidRDefault="007710C3" w:rsidP="007710C3">
                  <w:pPr>
                    <w:jc w:val="both"/>
                    <w:rPr>
                      <w:b/>
                      <w:sz w:val="40"/>
                    </w:rPr>
                  </w:pPr>
                  <w:r w:rsidRPr="008D6921">
                    <w:rPr>
                      <w:b/>
                      <w:sz w:val="40"/>
                    </w:rPr>
                    <w:t>Course Code:</w:t>
                  </w:r>
                  <w:r>
                    <w:rPr>
                      <w:b/>
                      <w:sz w:val="40"/>
                    </w:rPr>
                    <w:t xml:space="preserve"> BMLW5008</w:t>
                  </w:r>
                </w:p>
                <w:p w14:paraId="2F077DD9" w14:textId="29A8A6DA" w:rsidR="007710C3" w:rsidRPr="008D6921" w:rsidRDefault="007710C3" w:rsidP="007710C3">
                  <w:pPr>
                    <w:jc w:val="both"/>
                    <w:rPr>
                      <w:b/>
                      <w:sz w:val="40"/>
                    </w:rPr>
                  </w:pPr>
                  <w:r>
                    <w:rPr>
                      <w:b/>
                      <w:sz w:val="40"/>
                    </w:rPr>
                    <w:t>Submission deadline: 5</w:t>
                  </w:r>
                  <w:r w:rsidRPr="00D7740D">
                    <w:rPr>
                      <w:b/>
                      <w:sz w:val="40"/>
                      <w:vertAlign w:val="superscript"/>
                    </w:rPr>
                    <w:t>th</w:t>
                  </w:r>
                  <w:r>
                    <w:rPr>
                      <w:b/>
                      <w:sz w:val="40"/>
                    </w:rPr>
                    <w:t xml:space="preserve"> November 2021.</w:t>
                  </w:r>
                </w:p>
              </w:txbxContent>
            </v:textbox>
            <w10:wrap anchorx="margin"/>
          </v:rect>
        </w:pict>
      </w:r>
      <w:r w:rsidR="007D6E88" w:rsidRPr="002B1BB8">
        <w:rPr>
          <w:rFonts w:ascii="Times New Roman" w:hAnsi="Times New Roman"/>
          <w:sz w:val="24"/>
          <w:szCs w:val="24"/>
          <w:lang w:val="en-GB"/>
        </w:rPr>
        <w:br w:type="page"/>
      </w:r>
      <w:r w:rsidR="00945D91" w:rsidRPr="00B566E2">
        <w:rPr>
          <w:rFonts w:ascii="Times New Roman" w:eastAsia="Calibri" w:hAnsi="Times New Roman"/>
          <w:sz w:val="28"/>
          <w:szCs w:val="28"/>
          <w:lang w:val="en-GB" w:eastAsia="en-US" w:bidi="hi-IN"/>
        </w:rPr>
        <w:lastRenderedPageBreak/>
        <w:t xml:space="preserve">Tort law defines the standard of care as the particular degree of caution as well as prudence needed to be undertaken by a reasonable person who is assigned the duty of care. Negligence refers to the failure of an individual to offer reasonable standard means of care that is required being undertaken within the same kind of circumstances </w:t>
      </w:r>
      <w:r w:rsidR="00945D91" w:rsidRPr="00200B41">
        <w:rPr>
          <w:rFonts w:ascii="Times New Roman" w:eastAsia="Calibri" w:hAnsi="Times New Roman"/>
          <w:i/>
          <w:iCs/>
          <w:sz w:val="28"/>
          <w:szCs w:val="28"/>
          <w:lang w:val="en-GB" w:eastAsia="en-US" w:bidi="hi-IN"/>
        </w:rPr>
        <w:t>(Turner, 2013).</w:t>
      </w:r>
      <w:r w:rsidR="00945D91" w:rsidRPr="00B566E2">
        <w:rPr>
          <w:rFonts w:ascii="Times New Roman" w:hAnsi="Times New Roman"/>
          <w:bCs/>
          <w:sz w:val="28"/>
          <w:szCs w:val="28"/>
          <w:lang w:val="en-GB"/>
        </w:rPr>
        <w:t xml:space="preserve"> </w:t>
      </w:r>
      <w:r w:rsidR="00945D91" w:rsidRPr="00B566E2">
        <w:rPr>
          <w:rFonts w:ascii="Times New Roman" w:eastAsia="Calibri" w:hAnsi="Times New Roman"/>
          <w:sz w:val="28"/>
          <w:szCs w:val="28"/>
          <w:lang w:val="en-GB" w:eastAsia="en-US" w:bidi="hi-IN"/>
        </w:rPr>
        <w:t xml:space="preserve">Standard of care is the part of breach of duty. Determination of breach of duty includes application of the </w:t>
      </w:r>
      <w:r w:rsidR="00493B5C" w:rsidRPr="00B566E2">
        <w:rPr>
          <w:rFonts w:ascii="Times New Roman" w:eastAsia="Calibri" w:hAnsi="Times New Roman"/>
          <w:sz w:val="28"/>
          <w:szCs w:val="28"/>
          <w:lang w:val="en-GB" w:eastAsia="en-US" w:bidi="hi-IN"/>
        </w:rPr>
        <w:t>two-stage</w:t>
      </w:r>
      <w:r w:rsidR="00945D91" w:rsidRPr="00B566E2">
        <w:rPr>
          <w:rFonts w:ascii="Times New Roman" w:eastAsia="Calibri" w:hAnsi="Times New Roman"/>
          <w:sz w:val="28"/>
          <w:szCs w:val="28"/>
          <w:lang w:val="en-GB" w:eastAsia="en-US" w:bidi="hi-IN"/>
        </w:rPr>
        <w:t xml:space="preserve"> test. </w:t>
      </w:r>
      <w:r w:rsidR="00945D91" w:rsidRPr="00B566E2">
        <w:rPr>
          <w:rFonts w:ascii="Times New Roman" w:hAnsi="Times New Roman"/>
          <w:sz w:val="28"/>
          <w:szCs w:val="28"/>
          <w:shd w:val="clear" w:color="auto" w:fill="FFFFFF"/>
          <w:lang w:val="en-GB"/>
        </w:rPr>
        <w:t>First is that the court needs to decide on the extent of care required being taken by the reasonable person in the circumstances. Secondly, the court is needed to assess whether the conducts of defendant fell below the set standard</w:t>
      </w:r>
      <w:r w:rsidR="00945D91" w:rsidRPr="00200B41">
        <w:rPr>
          <w:rFonts w:ascii="Times New Roman" w:hAnsi="Times New Roman"/>
          <w:i/>
          <w:iCs/>
          <w:sz w:val="28"/>
          <w:szCs w:val="28"/>
          <w:shd w:val="clear" w:color="auto" w:fill="FFFFFF"/>
          <w:lang w:val="en-GB"/>
        </w:rPr>
        <w:t xml:space="preserve"> </w:t>
      </w:r>
      <w:r w:rsidR="00945D91" w:rsidRPr="00200B41">
        <w:rPr>
          <w:rFonts w:ascii="Times New Roman" w:eastAsia="Calibri" w:hAnsi="Times New Roman"/>
          <w:i/>
          <w:iCs/>
          <w:sz w:val="28"/>
          <w:szCs w:val="28"/>
          <w:lang w:val="en-GB" w:eastAsia="en-US" w:bidi="hi-IN"/>
        </w:rPr>
        <w:t>(Moffett and Moore, 2011)</w:t>
      </w:r>
      <w:r w:rsidR="00945D91" w:rsidRPr="00B566E2">
        <w:rPr>
          <w:rFonts w:ascii="Times New Roman" w:eastAsia="Calibri" w:hAnsi="Times New Roman"/>
          <w:sz w:val="28"/>
          <w:szCs w:val="28"/>
          <w:lang w:val="en-GB" w:eastAsia="en-US" w:bidi="hi-IN"/>
        </w:rPr>
        <w:t xml:space="preserve">. Hence, the standard of care relates to the requirement for breach of duty in regard to the negligence concept. In relation to the above, the breach of duty can be defined as the negligence shown in taking proper care that results in undesirable damage from the defendant's end to the claimant. </w:t>
      </w:r>
    </w:p>
    <w:p w14:paraId="7161683A" w14:textId="77777777" w:rsidR="00945D91" w:rsidRPr="00B566E2" w:rsidRDefault="00945D91" w:rsidP="00945D91">
      <w:pPr>
        <w:spacing w:after="0" w:line="480" w:lineRule="auto"/>
        <w:jc w:val="both"/>
        <w:rPr>
          <w:rFonts w:ascii="Times New Roman" w:eastAsia="Calibri" w:hAnsi="Times New Roman"/>
          <w:sz w:val="28"/>
          <w:szCs w:val="28"/>
          <w:lang w:val="en-GB" w:eastAsia="en-US" w:bidi="hi-IN"/>
        </w:rPr>
      </w:pPr>
      <w:r w:rsidRPr="00B566E2">
        <w:rPr>
          <w:rFonts w:ascii="Times New Roman" w:eastAsia="Calibri" w:hAnsi="Times New Roman"/>
          <w:sz w:val="28"/>
          <w:szCs w:val="28"/>
          <w:lang w:val="en-GB" w:eastAsia="en-US" w:bidi="hi-IN"/>
        </w:rPr>
        <w:tab/>
        <w:t xml:space="preserve">In addition to the above, the fulfilment of the standard of care can be tested in accordance with the decisions whether or not the prevalence of a breach of duty is observed. This is performed in the light of the objective test named the reasonable man test </w:t>
      </w:r>
      <w:r w:rsidRPr="00200B41">
        <w:rPr>
          <w:rFonts w:ascii="Times New Roman" w:eastAsia="Calibri" w:hAnsi="Times New Roman"/>
          <w:i/>
          <w:iCs/>
          <w:sz w:val="28"/>
          <w:szCs w:val="28"/>
          <w:lang w:val="en-GB" w:eastAsia="en-US" w:bidi="hi-IN"/>
        </w:rPr>
        <w:t>(Harpwood, 2005).</w:t>
      </w:r>
      <w:r w:rsidRPr="00B566E2">
        <w:rPr>
          <w:rFonts w:ascii="Times New Roman" w:eastAsia="Calibri" w:hAnsi="Times New Roman"/>
          <w:sz w:val="28"/>
          <w:szCs w:val="28"/>
          <w:lang w:val="en-GB" w:eastAsia="en-US" w:bidi="hi-IN"/>
        </w:rPr>
        <w:t xml:space="preserve"> The application of this test is observed in the case of </w:t>
      </w:r>
      <w:r w:rsidRPr="00B566E2">
        <w:rPr>
          <w:rFonts w:ascii="Times New Roman" w:eastAsia="Calibri" w:hAnsi="Times New Roman"/>
          <w:i/>
          <w:iCs/>
          <w:sz w:val="28"/>
          <w:szCs w:val="28"/>
          <w:lang w:val="en-GB" w:eastAsia="en-US" w:bidi="hi-IN"/>
        </w:rPr>
        <w:t>Blyth v Birmingham waterworks co</w:t>
      </w:r>
      <w:r w:rsidRPr="00B566E2">
        <w:rPr>
          <w:rFonts w:ascii="Times New Roman" w:eastAsia="Calibri" w:hAnsi="Times New Roman"/>
          <w:sz w:val="28"/>
          <w:szCs w:val="28"/>
          <w:lang w:val="en-GB" w:eastAsia="en-US" w:bidi="hi-IN"/>
        </w:rPr>
        <w:t xml:space="preserve"> [1856] where it is held that the defendant might be responsible for negligence if he or she omitted to perform the </w:t>
      </w:r>
      <w:r w:rsidRPr="00B566E2">
        <w:rPr>
          <w:rFonts w:ascii="Times New Roman" w:eastAsia="Calibri" w:hAnsi="Times New Roman"/>
          <w:sz w:val="28"/>
          <w:szCs w:val="28"/>
          <w:lang w:val="en-GB" w:eastAsia="en-US" w:bidi="hi-IN"/>
        </w:rPr>
        <w:lastRenderedPageBreak/>
        <w:t xml:space="preserve">duties as obligated to a reasonable person by mistake. The breach of the standard of care occurs if the defendant committed a task that would have not been committed by a person taking reasonable safety measures </w:t>
      </w:r>
      <w:r w:rsidRPr="00200B41">
        <w:rPr>
          <w:rFonts w:ascii="Times New Roman" w:eastAsia="Calibri" w:hAnsi="Times New Roman"/>
          <w:i/>
          <w:iCs/>
          <w:sz w:val="28"/>
          <w:szCs w:val="28"/>
          <w:lang w:val="en-GB" w:eastAsia="en-US" w:bidi="hi-IN"/>
        </w:rPr>
        <w:t>(Pritchard and Reeves, 2013)</w:t>
      </w:r>
      <w:r w:rsidRPr="00B566E2">
        <w:rPr>
          <w:rFonts w:ascii="Times New Roman" w:eastAsia="Calibri" w:hAnsi="Times New Roman"/>
          <w:sz w:val="28"/>
          <w:szCs w:val="28"/>
          <w:lang w:val="en-GB" w:eastAsia="en-US" w:bidi="hi-IN"/>
        </w:rPr>
        <w:t xml:space="preserve">. Hence, on the basis of the reasonable man test, the standard of care can be defined as objective. It is because; it does not consider the defendants’ personal characteristics </w:t>
      </w:r>
      <w:r w:rsidRPr="00200B41">
        <w:rPr>
          <w:rFonts w:ascii="Times New Roman" w:eastAsia="Calibri" w:hAnsi="Times New Roman"/>
          <w:i/>
          <w:iCs/>
          <w:sz w:val="28"/>
          <w:szCs w:val="28"/>
          <w:lang w:val="en-GB" w:eastAsia="en-US" w:bidi="hi-IN"/>
        </w:rPr>
        <w:t>(Harpwood, 2005; Pritchard and Reeves, 2013)</w:t>
      </w:r>
      <w:r w:rsidRPr="00B566E2">
        <w:rPr>
          <w:rFonts w:ascii="Times New Roman" w:eastAsia="Calibri" w:hAnsi="Times New Roman"/>
          <w:sz w:val="28"/>
          <w:szCs w:val="28"/>
          <w:lang w:val="en-GB" w:eastAsia="en-US" w:bidi="hi-IN"/>
        </w:rPr>
        <w:t xml:space="preserve">. In this relation, some cases are outline wherein the standard of care has been treated as objective. One of such cases is </w:t>
      </w:r>
      <w:r w:rsidRPr="00B566E2">
        <w:rPr>
          <w:rFonts w:ascii="Times New Roman" w:eastAsia="Calibri" w:hAnsi="Times New Roman"/>
          <w:i/>
          <w:iCs/>
          <w:sz w:val="28"/>
          <w:szCs w:val="28"/>
          <w:lang w:val="en-GB" w:eastAsia="en-US" w:bidi="hi-IN"/>
        </w:rPr>
        <w:t>Nettleship v Weston</w:t>
      </w:r>
      <w:r w:rsidRPr="00B566E2">
        <w:rPr>
          <w:rFonts w:ascii="Times New Roman" w:eastAsia="Calibri" w:hAnsi="Times New Roman"/>
          <w:sz w:val="28"/>
          <w:szCs w:val="28"/>
          <w:lang w:val="en-GB" w:eastAsia="en-US" w:bidi="hi-IN"/>
        </w:rPr>
        <w:t xml:space="preserve"> [1971], it can be analysed that the standard of care was raised by the aid of the factor named reasonable man. Under this case, it was held that the standard of care cannot be lowered on the grounds of the reasonable man or an experienced driver as the defendant learner driver was not permitted to risk others' lives because of having less driving experience. The civil grants no excuse for the defendant and raises the prevalence of standard of care by considering a breach of duty by the defendant and comparing the defendant with the reasonable and skilled driver </w:t>
      </w:r>
      <w:r w:rsidRPr="00602CF1">
        <w:rPr>
          <w:rFonts w:ascii="Times New Roman" w:eastAsia="Calibri" w:hAnsi="Times New Roman"/>
          <w:i/>
          <w:iCs/>
          <w:sz w:val="28"/>
          <w:szCs w:val="28"/>
          <w:lang w:val="en-GB" w:eastAsia="en-US" w:bidi="hi-IN"/>
        </w:rPr>
        <w:t>(McBride and Bagshaw, 2018; Cornock, 2021).</w:t>
      </w:r>
      <w:r w:rsidRPr="00B566E2">
        <w:rPr>
          <w:rFonts w:ascii="Times New Roman" w:eastAsia="Calibri" w:hAnsi="Times New Roman"/>
          <w:sz w:val="28"/>
          <w:szCs w:val="28"/>
          <w:lang w:val="en-GB" w:eastAsia="en-US" w:bidi="hi-IN"/>
        </w:rPr>
        <w:t xml:space="preserve"> </w:t>
      </w:r>
    </w:p>
    <w:p w14:paraId="40E872FB" w14:textId="77777777" w:rsidR="00945D91" w:rsidRPr="00B566E2" w:rsidRDefault="00945D91" w:rsidP="00945D91">
      <w:pPr>
        <w:spacing w:after="0" w:line="480" w:lineRule="auto"/>
        <w:jc w:val="both"/>
        <w:rPr>
          <w:rFonts w:ascii="Times New Roman" w:eastAsia="Calibri" w:hAnsi="Times New Roman"/>
          <w:sz w:val="28"/>
          <w:szCs w:val="28"/>
          <w:lang w:val="en-GB" w:eastAsia="en-US" w:bidi="hi-IN"/>
        </w:rPr>
      </w:pPr>
      <w:r w:rsidRPr="00B566E2">
        <w:rPr>
          <w:rFonts w:ascii="Times New Roman" w:eastAsia="Calibri" w:hAnsi="Times New Roman"/>
          <w:sz w:val="28"/>
          <w:szCs w:val="28"/>
          <w:lang w:val="en-GB" w:eastAsia="en-US" w:bidi="hi-IN"/>
        </w:rPr>
        <w:tab/>
      </w:r>
      <w:r w:rsidRPr="00B566E2">
        <w:rPr>
          <w:rFonts w:ascii="Times New Roman" w:hAnsi="Times New Roman"/>
          <w:sz w:val="28"/>
          <w:szCs w:val="28"/>
          <w:lang w:val="en-GB"/>
        </w:rPr>
        <w:t>In support of the above, it is analysed by the case of </w:t>
      </w:r>
      <w:r w:rsidRPr="00B566E2">
        <w:rPr>
          <w:rStyle w:val="Emphasis"/>
          <w:rFonts w:ascii="Times New Roman" w:hAnsi="Times New Roman"/>
          <w:sz w:val="28"/>
          <w:szCs w:val="28"/>
          <w:lang w:val="en-GB"/>
        </w:rPr>
        <w:t>Blake v Galloway</w:t>
      </w:r>
      <w:r w:rsidRPr="00B566E2">
        <w:rPr>
          <w:rFonts w:ascii="Times New Roman" w:hAnsi="Times New Roman"/>
          <w:sz w:val="28"/>
          <w:szCs w:val="28"/>
          <w:lang w:val="en-GB"/>
        </w:rPr>
        <w:t xml:space="preserve"> [2004] that in the cases surrounding horseplay the breach of duty is identified only in the case where the conduct, as well as the behaviour of an individual, tend to be highly </w:t>
      </w:r>
      <w:r w:rsidRPr="00B566E2">
        <w:rPr>
          <w:rFonts w:ascii="Times New Roman" w:hAnsi="Times New Roman"/>
          <w:sz w:val="28"/>
          <w:szCs w:val="28"/>
          <w:lang w:val="en-GB"/>
        </w:rPr>
        <w:lastRenderedPageBreak/>
        <w:t xml:space="preserve">careless. Duty is identified to be owed in the cases of rough play. During the situation of the horseplay, the participants of the sports, as well as other contact-oriented games, are identified to acquire consent for the establishment of any contact with each other. An un-consented contact is regarded to be a case of negligence </w:t>
      </w:r>
      <w:r w:rsidRPr="00602CF1">
        <w:rPr>
          <w:rFonts w:ascii="Times New Roman" w:hAnsi="Times New Roman"/>
          <w:i/>
          <w:iCs/>
          <w:sz w:val="28"/>
          <w:szCs w:val="28"/>
          <w:lang w:val="en-GB"/>
        </w:rPr>
        <w:t>(Mulheron, 2020).</w:t>
      </w:r>
    </w:p>
    <w:p w14:paraId="308FCF0B" w14:textId="77777777" w:rsidR="00945D91" w:rsidRPr="00B566E2" w:rsidRDefault="00945D91" w:rsidP="00945D91">
      <w:pPr>
        <w:spacing w:after="0" w:line="480" w:lineRule="auto"/>
        <w:ind w:firstLine="720"/>
        <w:jc w:val="both"/>
        <w:rPr>
          <w:rFonts w:ascii="Times New Roman" w:eastAsia="Calibri" w:hAnsi="Times New Roman"/>
          <w:sz w:val="28"/>
          <w:szCs w:val="28"/>
          <w:lang w:val="en-GB" w:eastAsia="en-US" w:bidi="hi-IN"/>
        </w:rPr>
      </w:pPr>
      <w:r w:rsidRPr="00B566E2">
        <w:rPr>
          <w:rFonts w:ascii="Times New Roman" w:eastAsia="Calibri" w:hAnsi="Times New Roman"/>
          <w:sz w:val="28"/>
          <w:szCs w:val="28"/>
          <w:lang w:val="en-GB" w:eastAsia="en-US" w:bidi="hi-IN"/>
        </w:rPr>
        <w:t xml:space="preserve">On the other hand, as per the case of </w:t>
      </w:r>
      <w:r w:rsidRPr="00B566E2">
        <w:rPr>
          <w:rFonts w:ascii="Times New Roman" w:eastAsia="Calibri" w:hAnsi="Times New Roman"/>
          <w:i/>
          <w:iCs/>
          <w:sz w:val="28"/>
          <w:szCs w:val="28"/>
          <w:lang w:val="en-GB" w:eastAsia="en-US" w:bidi="hi-IN"/>
        </w:rPr>
        <w:t>Mansfield v Weetabix</w:t>
      </w:r>
      <w:r w:rsidRPr="00B566E2">
        <w:rPr>
          <w:rFonts w:ascii="Times New Roman" w:eastAsia="Calibri" w:hAnsi="Times New Roman"/>
          <w:sz w:val="28"/>
          <w:szCs w:val="28"/>
          <w:lang w:val="en-GB" w:eastAsia="en-US" w:bidi="hi-IN"/>
        </w:rPr>
        <w:t xml:space="preserve"> [1998], it is analysed that the standard of care is lowered in the cases when the breach of duty tends to occur in accordance with the physical as well as mental characteristics of an individual. This case lowered the standard of care through the factor related to consideration of the personal situation or personal characteristics of an individual </w:t>
      </w:r>
      <w:r w:rsidRPr="00602CF1">
        <w:rPr>
          <w:rFonts w:ascii="Times New Roman" w:eastAsia="Calibri" w:hAnsi="Times New Roman"/>
          <w:i/>
          <w:iCs/>
          <w:sz w:val="28"/>
          <w:szCs w:val="28"/>
          <w:lang w:val="en-GB" w:eastAsia="en-US" w:bidi="hi-IN"/>
        </w:rPr>
        <w:t>(Steele, 2007).</w:t>
      </w:r>
      <w:r w:rsidRPr="00B566E2">
        <w:rPr>
          <w:rFonts w:ascii="Times New Roman" w:eastAsia="Calibri" w:hAnsi="Times New Roman"/>
          <w:sz w:val="28"/>
          <w:szCs w:val="28"/>
          <w:lang w:val="en-GB" w:eastAsia="en-US" w:bidi="hi-IN"/>
        </w:rPr>
        <w:t xml:space="preserve"> </w:t>
      </w:r>
    </w:p>
    <w:p w14:paraId="180693E4" w14:textId="68421D8A" w:rsidR="00945D91" w:rsidRDefault="00945D91" w:rsidP="00945D91">
      <w:pPr>
        <w:spacing w:after="0" w:line="480" w:lineRule="auto"/>
        <w:ind w:firstLine="720"/>
        <w:jc w:val="both"/>
        <w:rPr>
          <w:rFonts w:ascii="Times New Roman" w:eastAsia="Calibri" w:hAnsi="Times New Roman"/>
          <w:sz w:val="28"/>
          <w:szCs w:val="28"/>
          <w:lang w:val="en-GB" w:eastAsia="en-US" w:bidi="hi-IN"/>
        </w:rPr>
      </w:pPr>
      <w:r w:rsidRPr="00B566E2">
        <w:rPr>
          <w:rFonts w:ascii="Times New Roman" w:eastAsia="Calibri" w:hAnsi="Times New Roman"/>
          <w:sz w:val="28"/>
          <w:szCs w:val="28"/>
          <w:lang w:val="en-GB" w:eastAsia="en-US" w:bidi="hi-IN"/>
        </w:rPr>
        <w:t xml:space="preserve">It is further analysed from the issue identified in the case of </w:t>
      </w:r>
      <w:r w:rsidRPr="00CF44E9">
        <w:rPr>
          <w:rFonts w:ascii="Times New Roman" w:eastAsia="Calibri" w:hAnsi="Times New Roman"/>
          <w:i/>
          <w:iCs/>
          <w:sz w:val="28"/>
          <w:szCs w:val="28"/>
          <w:lang w:val="en-GB" w:eastAsia="en-US" w:bidi="hi-IN"/>
        </w:rPr>
        <w:t>Mansfield v Weetabix</w:t>
      </w:r>
      <w:r w:rsidRPr="00B566E2">
        <w:rPr>
          <w:rFonts w:ascii="Times New Roman" w:eastAsia="Calibri" w:hAnsi="Times New Roman"/>
          <w:sz w:val="28"/>
          <w:szCs w:val="28"/>
          <w:lang w:val="en-GB" w:eastAsia="en-US" w:bidi="hi-IN"/>
        </w:rPr>
        <w:t xml:space="preserve"> that when a driver suffers from the condition of </w:t>
      </w:r>
      <w:r w:rsidR="00602CF1" w:rsidRPr="00B566E2">
        <w:rPr>
          <w:rFonts w:ascii="Times New Roman" w:eastAsia="Calibri" w:hAnsi="Times New Roman"/>
          <w:sz w:val="28"/>
          <w:szCs w:val="28"/>
          <w:lang w:val="en-GB" w:eastAsia="en-US" w:bidi="hi-IN"/>
        </w:rPr>
        <w:t>impairment,</w:t>
      </w:r>
      <w:r w:rsidRPr="00B566E2">
        <w:rPr>
          <w:rFonts w:ascii="Times New Roman" w:eastAsia="Calibri" w:hAnsi="Times New Roman"/>
          <w:sz w:val="28"/>
          <w:szCs w:val="28"/>
          <w:lang w:val="en-GB" w:eastAsia="en-US" w:bidi="hi-IN"/>
        </w:rPr>
        <w:t xml:space="preserve"> he is not considered to be liable for breaching the standard of care and is considered different from the reasonably competent driver travelling on the road. Judgements of this case helped in analysing that the claimant was not able to eat </w:t>
      </w:r>
      <w:r w:rsidR="001468A5" w:rsidRPr="00B566E2">
        <w:rPr>
          <w:rFonts w:ascii="Times New Roman" w:eastAsia="Calibri" w:hAnsi="Times New Roman"/>
          <w:sz w:val="28"/>
          <w:szCs w:val="28"/>
          <w:lang w:val="en-GB" w:eastAsia="en-US" w:bidi="hi-IN"/>
        </w:rPr>
        <w:t>much,</w:t>
      </w:r>
      <w:r w:rsidRPr="00B566E2">
        <w:rPr>
          <w:rFonts w:ascii="Times New Roman" w:eastAsia="Calibri" w:hAnsi="Times New Roman"/>
          <w:sz w:val="28"/>
          <w:szCs w:val="28"/>
          <w:lang w:val="en-GB" w:eastAsia="en-US" w:bidi="hi-IN"/>
        </w:rPr>
        <w:t xml:space="preserve"> and he was not physically fit for driving. However, on proving the physical capability to drive, the driver was identified to be negligent and has failed to take reasonable care </w:t>
      </w:r>
      <w:r w:rsidRPr="001468A5">
        <w:rPr>
          <w:rFonts w:ascii="Times New Roman" w:eastAsia="Calibri" w:hAnsi="Times New Roman"/>
          <w:i/>
          <w:iCs/>
          <w:sz w:val="28"/>
          <w:szCs w:val="28"/>
          <w:lang w:val="en-GB" w:eastAsia="en-US" w:bidi="hi-IN"/>
        </w:rPr>
        <w:t>(</w:t>
      </w:r>
      <w:r w:rsidRPr="001468A5">
        <w:rPr>
          <w:rFonts w:ascii="Times New Roman" w:hAnsi="Times New Roman"/>
          <w:i/>
          <w:iCs/>
          <w:sz w:val="28"/>
          <w:szCs w:val="28"/>
          <w:lang w:val="en-GB"/>
        </w:rPr>
        <w:t>Horsey and Rackley, 2013</w:t>
      </w:r>
      <w:r w:rsidRPr="001468A5">
        <w:rPr>
          <w:rFonts w:ascii="Times New Roman" w:eastAsia="Calibri" w:hAnsi="Times New Roman"/>
          <w:i/>
          <w:iCs/>
          <w:sz w:val="28"/>
          <w:szCs w:val="28"/>
          <w:lang w:val="en-GB" w:eastAsia="en-US" w:bidi="hi-IN"/>
        </w:rPr>
        <w:t>).</w:t>
      </w:r>
      <w:r w:rsidRPr="00B566E2">
        <w:rPr>
          <w:rFonts w:ascii="Times New Roman" w:eastAsia="Calibri" w:hAnsi="Times New Roman"/>
          <w:sz w:val="28"/>
          <w:szCs w:val="28"/>
          <w:lang w:val="en-GB" w:eastAsia="en-US" w:bidi="hi-IN"/>
        </w:rPr>
        <w:t xml:space="preserve">  This confirms the objectivity of the standard of </w:t>
      </w:r>
      <w:r w:rsidRPr="00B566E2">
        <w:rPr>
          <w:rFonts w:ascii="Times New Roman" w:eastAsia="Calibri" w:hAnsi="Times New Roman"/>
          <w:sz w:val="28"/>
          <w:szCs w:val="28"/>
          <w:lang w:val="en-GB" w:eastAsia="en-US" w:bidi="hi-IN"/>
        </w:rPr>
        <w:lastRenderedPageBreak/>
        <w:t>care as it can be analysed that the physical insufficiencies can be considered during the assignment of liabilities surrounding the standard of care.</w:t>
      </w:r>
    </w:p>
    <w:p w14:paraId="4B74279A" w14:textId="77777777" w:rsidR="00215D13" w:rsidRPr="00215D13" w:rsidRDefault="00215D13" w:rsidP="00215D13">
      <w:pPr>
        <w:jc w:val="right"/>
        <w:rPr>
          <w:rFonts w:ascii="Times New Roman" w:eastAsia="Calibri" w:hAnsi="Times New Roman"/>
          <w:sz w:val="28"/>
          <w:szCs w:val="28"/>
          <w:lang w:val="en-GB" w:eastAsia="en-US" w:bidi="hi-IN"/>
        </w:rPr>
      </w:pPr>
    </w:p>
    <w:p w14:paraId="4F6462D3" w14:textId="77777777" w:rsidR="00945D91" w:rsidRPr="000E4A9C" w:rsidRDefault="00945D91" w:rsidP="00945D91">
      <w:pPr>
        <w:spacing w:after="0" w:line="480" w:lineRule="auto"/>
        <w:ind w:firstLine="720"/>
        <w:jc w:val="both"/>
        <w:rPr>
          <w:rFonts w:ascii="Times New Roman" w:eastAsia="Calibri" w:hAnsi="Times New Roman"/>
          <w:i/>
          <w:iCs/>
          <w:sz w:val="28"/>
          <w:szCs w:val="28"/>
          <w:lang w:val="en-GB" w:eastAsia="en-US" w:bidi="hi-IN"/>
        </w:rPr>
      </w:pPr>
      <w:r w:rsidRPr="00B566E2">
        <w:rPr>
          <w:rFonts w:ascii="Times New Roman" w:eastAsia="Calibri" w:hAnsi="Times New Roman"/>
          <w:sz w:val="28"/>
          <w:szCs w:val="28"/>
          <w:lang w:val="en-GB" w:eastAsia="en-US" w:bidi="hi-IN"/>
        </w:rPr>
        <w:t xml:space="preserve">The case overturned judgements made under </w:t>
      </w:r>
      <w:r w:rsidRPr="00B566E2">
        <w:rPr>
          <w:rFonts w:ascii="Times New Roman" w:eastAsia="Calibri" w:hAnsi="Times New Roman"/>
          <w:i/>
          <w:iCs/>
          <w:sz w:val="28"/>
          <w:szCs w:val="28"/>
          <w:lang w:val="en-GB" w:eastAsia="en-US" w:bidi="hi-IN"/>
        </w:rPr>
        <w:t>Roberts v Ramsbottom</w:t>
      </w:r>
      <w:r w:rsidRPr="00B566E2">
        <w:rPr>
          <w:rFonts w:ascii="Times New Roman" w:eastAsia="Calibri" w:hAnsi="Times New Roman"/>
          <w:sz w:val="28"/>
          <w:szCs w:val="28"/>
          <w:lang w:val="en-GB" w:eastAsia="en-US" w:bidi="hi-IN"/>
        </w:rPr>
        <w:t xml:space="preserve"> [1980] and described that the personal characteristics or situation must be taken into account while offering regards to reasonable standards. This condition might be considered into account because the personal characteristics are required to be compared with that of the reasonable men for the prohibition of liability </w:t>
      </w:r>
      <w:r w:rsidRPr="000E4A9C">
        <w:rPr>
          <w:rFonts w:ascii="Times New Roman" w:eastAsia="Calibri" w:hAnsi="Times New Roman"/>
          <w:i/>
          <w:iCs/>
          <w:sz w:val="28"/>
          <w:szCs w:val="28"/>
          <w:lang w:val="en-GB" w:eastAsia="en-US" w:bidi="hi-IN"/>
        </w:rPr>
        <w:t>(Lunney and Oliphant, 2013).</w:t>
      </w:r>
    </w:p>
    <w:p w14:paraId="5930200D" w14:textId="77777777" w:rsidR="00945D91" w:rsidRPr="00B566E2" w:rsidRDefault="00945D91" w:rsidP="00945D91">
      <w:pPr>
        <w:spacing w:after="0" w:line="480" w:lineRule="auto"/>
        <w:ind w:firstLine="720"/>
        <w:jc w:val="both"/>
        <w:rPr>
          <w:rStyle w:val="Emphasis"/>
          <w:rFonts w:ascii="Times New Roman" w:hAnsi="Times New Roman"/>
          <w:i w:val="0"/>
          <w:sz w:val="28"/>
          <w:szCs w:val="28"/>
          <w:shd w:val="clear" w:color="auto" w:fill="FFFFFF"/>
          <w:lang w:val="en-GB"/>
        </w:rPr>
      </w:pPr>
      <w:r w:rsidRPr="00B566E2">
        <w:rPr>
          <w:rFonts w:ascii="Times New Roman" w:eastAsia="Calibri" w:hAnsi="Times New Roman"/>
          <w:sz w:val="28"/>
          <w:szCs w:val="28"/>
          <w:lang w:val="en-GB" w:eastAsia="en-US" w:bidi="hi-IN"/>
        </w:rPr>
        <w:t xml:space="preserve">However, in the case of </w:t>
      </w:r>
      <w:r w:rsidRPr="00B566E2">
        <w:rPr>
          <w:rStyle w:val="Emphasis"/>
          <w:rFonts w:ascii="Times New Roman" w:hAnsi="Times New Roman"/>
          <w:sz w:val="28"/>
          <w:szCs w:val="28"/>
          <w:shd w:val="clear" w:color="auto" w:fill="FFFFFF"/>
          <w:lang w:val="en-GB"/>
        </w:rPr>
        <w:t>Wilsher v Essex Area Health Authority</w:t>
      </w:r>
      <w:r w:rsidRPr="00B566E2">
        <w:rPr>
          <w:rStyle w:val="Emphasis"/>
          <w:rFonts w:ascii="Times New Roman" w:hAnsi="Times New Roman"/>
          <w:i w:val="0"/>
          <w:sz w:val="28"/>
          <w:szCs w:val="28"/>
          <w:shd w:val="clear" w:color="auto" w:fill="FFFFFF"/>
          <w:lang w:val="en-GB"/>
        </w:rPr>
        <w:t xml:space="preserve">, excess amount of oxygen has been administered by the junior doctor to the child amid post-natal care. The court in this case determined that it is required by the junior doctors to exercise and use same type of standard of care that is followed by the senior experts or senior colleagues as well as use their suggestions while needed </w:t>
      </w:r>
      <w:r w:rsidRPr="00A01D71">
        <w:rPr>
          <w:rStyle w:val="Emphasis"/>
          <w:rFonts w:ascii="Times New Roman" w:hAnsi="Times New Roman"/>
          <w:i w:val="0"/>
          <w:sz w:val="28"/>
          <w:szCs w:val="28"/>
          <w:shd w:val="clear" w:color="auto" w:fill="FFFFFF"/>
          <w:lang w:val="en-GB"/>
        </w:rPr>
        <w:t>(</w:t>
      </w:r>
      <w:r w:rsidRPr="00A01D71">
        <w:rPr>
          <w:rFonts w:ascii="Times New Roman" w:eastAsia="Calibri" w:hAnsi="Times New Roman"/>
          <w:i/>
          <w:sz w:val="28"/>
          <w:szCs w:val="28"/>
          <w:lang w:val="en-GB" w:eastAsia="en-US" w:bidi="hi-IN"/>
        </w:rPr>
        <w:t>Jerjes, Mahil and Upile, 2011)</w:t>
      </w:r>
      <w:r w:rsidRPr="00A01D71">
        <w:rPr>
          <w:rStyle w:val="Emphasis"/>
          <w:rFonts w:ascii="Times New Roman" w:hAnsi="Times New Roman"/>
          <w:i w:val="0"/>
          <w:sz w:val="28"/>
          <w:szCs w:val="28"/>
          <w:shd w:val="clear" w:color="auto" w:fill="FFFFFF"/>
          <w:lang w:val="en-GB"/>
        </w:rPr>
        <w:t>.</w:t>
      </w:r>
    </w:p>
    <w:p w14:paraId="264A860A" w14:textId="77777777" w:rsidR="00945D91" w:rsidRPr="00B566E2" w:rsidRDefault="00945D91" w:rsidP="00945D91">
      <w:pPr>
        <w:spacing w:after="0" w:line="480" w:lineRule="auto"/>
        <w:ind w:firstLine="720"/>
        <w:jc w:val="both"/>
        <w:rPr>
          <w:rFonts w:ascii="Times New Roman" w:hAnsi="Times New Roman"/>
          <w:sz w:val="28"/>
          <w:szCs w:val="28"/>
          <w:lang w:val="en-GB"/>
        </w:rPr>
      </w:pPr>
      <w:r w:rsidRPr="00B566E2">
        <w:rPr>
          <w:rFonts w:ascii="Times New Roman" w:hAnsi="Times New Roman"/>
          <w:sz w:val="28"/>
          <w:szCs w:val="28"/>
          <w:lang w:val="en-GB"/>
        </w:rPr>
        <w:t xml:space="preserve">It is further analysed that the mental illness or incapacities of an individual are not identified as a justified excuse for the negligence of an individual. From the case of Mansfield, it can be analysed that the defendant is not considered to be responsible for causing any type of injury and is not regarded to be liable for adhering to the standard of care if he or she is identified to perform any sort of </w:t>
      </w:r>
      <w:r w:rsidRPr="00B566E2">
        <w:rPr>
          <w:rFonts w:ascii="Times New Roman" w:hAnsi="Times New Roman"/>
          <w:sz w:val="28"/>
          <w:szCs w:val="28"/>
          <w:lang w:val="en-GB"/>
        </w:rPr>
        <w:lastRenderedPageBreak/>
        <w:t>involuntary action. However, the decisions taken in the Mansfield case are not recognised to help in analysing the corrective justice. Decisions taken in Mansfield are considered to reduce the potential of the </w:t>
      </w:r>
      <w:r w:rsidRPr="00B566E2">
        <w:rPr>
          <w:rStyle w:val="Emphasis"/>
          <w:rFonts w:ascii="Times New Roman" w:hAnsi="Times New Roman"/>
          <w:sz w:val="28"/>
          <w:szCs w:val="28"/>
          <w:lang w:val="en-GB"/>
        </w:rPr>
        <w:t>Corrective Justice Theory</w:t>
      </w:r>
      <w:r w:rsidRPr="00B566E2">
        <w:rPr>
          <w:rFonts w:ascii="Times New Roman" w:hAnsi="Times New Roman"/>
          <w:sz w:val="28"/>
          <w:szCs w:val="28"/>
          <w:lang w:val="en-GB"/>
        </w:rPr>
        <w:t xml:space="preserve">. It is inferred from Mansfield's case that under some circumstances the court tends to displace the corrective functionality of the negligence where the lack of attentiveness of the defendant can cause damage to others </w:t>
      </w:r>
      <w:r w:rsidRPr="000A25DB">
        <w:rPr>
          <w:rFonts w:ascii="Times New Roman" w:hAnsi="Times New Roman"/>
          <w:i/>
          <w:iCs/>
          <w:sz w:val="28"/>
          <w:szCs w:val="28"/>
          <w:lang w:val="en-GB"/>
        </w:rPr>
        <w:t>(Fanning, 2017).</w:t>
      </w:r>
    </w:p>
    <w:p w14:paraId="1404F604" w14:textId="77777777" w:rsidR="00945D91" w:rsidRPr="00B566E2" w:rsidRDefault="00945D91" w:rsidP="00945D91">
      <w:pPr>
        <w:spacing w:after="0" w:line="480" w:lineRule="auto"/>
        <w:ind w:firstLine="720"/>
        <w:jc w:val="both"/>
        <w:rPr>
          <w:rFonts w:ascii="Times New Roman" w:eastAsia="Calibri" w:hAnsi="Times New Roman"/>
          <w:sz w:val="28"/>
          <w:szCs w:val="28"/>
          <w:lang w:val="en-GB" w:eastAsia="en-US" w:bidi="hi-IN"/>
        </w:rPr>
      </w:pPr>
      <w:r w:rsidRPr="00B566E2">
        <w:rPr>
          <w:rFonts w:ascii="Times New Roman" w:hAnsi="Times New Roman"/>
          <w:sz w:val="28"/>
          <w:szCs w:val="28"/>
          <w:lang w:val="en-GB"/>
        </w:rPr>
        <w:t xml:space="preserve">Hence, the decisions undertaken in Mansfield's case are inconsistent with the decisions of the case named </w:t>
      </w:r>
      <w:r w:rsidRPr="00B566E2">
        <w:rPr>
          <w:rFonts w:ascii="Times New Roman" w:hAnsi="Times New Roman"/>
          <w:i/>
          <w:iCs/>
          <w:sz w:val="28"/>
          <w:szCs w:val="28"/>
          <w:lang w:val="en-GB"/>
        </w:rPr>
        <w:t>Nettleship v Weston</w:t>
      </w:r>
      <w:r w:rsidRPr="00B566E2">
        <w:rPr>
          <w:rFonts w:ascii="Times New Roman" w:hAnsi="Times New Roman"/>
          <w:sz w:val="28"/>
          <w:szCs w:val="28"/>
          <w:lang w:val="en-GB"/>
        </w:rPr>
        <w:t xml:space="preserve">. In the case of the Nettleship, the lower standard of care is applicable to the driver that is identified to be in his or her learning phase as the instructor tends to be aware of the incompetence of the driver. The standard of care for the learner driver would be the same as the experienced driver. Hence, in this case, there is no chance of any damage imposed by an inexperienced or incompetent person on the other individual due to the lack of competence in performing a specific task </w:t>
      </w:r>
      <w:r w:rsidRPr="00A01D71">
        <w:rPr>
          <w:rFonts w:ascii="Times New Roman" w:hAnsi="Times New Roman"/>
          <w:i/>
          <w:iCs/>
          <w:sz w:val="28"/>
          <w:szCs w:val="28"/>
          <w:lang w:val="en-GB"/>
        </w:rPr>
        <w:t>(Steele, 2007).</w:t>
      </w:r>
      <w:r w:rsidRPr="00B566E2">
        <w:rPr>
          <w:rFonts w:ascii="Times New Roman" w:hAnsi="Times New Roman"/>
          <w:sz w:val="28"/>
          <w:szCs w:val="28"/>
          <w:lang w:val="en-GB"/>
        </w:rPr>
        <w:t xml:space="preserve"> The decisions adopted in Nettleship's case are identified to be more justified in issuing liabilities for the standard of care in comparison to the case of Mansfield.  </w:t>
      </w:r>
    </w:p>
    <w:p w14:paraId="1D5EBCC4" w14:textId="77777777" w:rsidR="00945D91" w:rsidRPr="00A01D71" w:rsidRDefault="00945D91" w:rsidP="00945D91">
      <w:pPr>
        <w:spacing w:after="0" w:line="480" w:lineRule="auto"/>
        <w:jc w:val="both"/>
        <w:rPr>
          <w:rFonts w:ascii="Times New Roman" w:hAnsi="Times New Roman"/>
          <w:i/>
          <w:iCs/>
          <w:sz w:val="28"/>
          <w:szCs w:val="28"/>
          <w:shd w:val="clear" w:color="auto" w:fill="FFFFFF"/>
          <w:lang w:val="en-GB"/>
        </w:rPr>
      </w:pPr>
      <w:r w:rsidRPr="00B566E2">
        <w:rPr>
          <w:rFonts w:ascii="Times New Roman" w:hAnsi="Times New Roman"/>
          <w:bCs/>
          <w:sz w:val="28"/>
          <w:szCs w:val="28"/>
          <w:lang w:val="en-GB"/>
        </w:rPr>
        <w:tab/>
        <w:t xml:space="preserve">Moreover, in regard to establishing the standards of care, it is crucial to determine the extent to which the care needs to be taken by the reasonable individual in distinct circumstances. Here, the clause is that the standard of care </w:t>
      </w:r>
      <w:r w:rsidRPr="00B566E2">
        <w:rPr>
          <w:rFonts w:ascii="Times New Roman" w:hAnsi="Times New Roman"/>
          <w:bCs/>
          <w:sz w:val="28"/>
          <w:szCs w:val="28"/>
          <w:lang w:val="en-GB"/>
        </w:rPr>
        <w:lastRenderedPageBreak/>
        <w:t xml:space="preserve">might vary according to distinct situations and resultants of the case laws. </w:t>
      </w:r>
      <w:r w:rsidRPr="00B566E2">
        <w:rPr>
          <w:rFonts w:ascii="Times New Roman" w:hAnsi="Times New Roman"/>
          <w:sz w:val="28"/>
          <w:szCs w:val="28"/>
          <w:shd w:val="clear" w:color="auto" w:fill="FFFFFF"/>
          <w:lang w:val="en-GB"/>
        </w:rPr>
        <w:t xml:space="preserve">According to this definition, the standard of care is the one which is performed customarily along with any reasonable activity to reduce any harm to the patients even while it is not typically utilised and performed </w:t>
      </w:r>
      <w:r w:rsidRPr="00A01D71">
        <w:rPr>
          <w:rFonts w:ascii="Times New Roman" w:hAnsi="Times New Roman"/>
          <w:i/>
          <w:iCs/>
          <w:sz w:val="28"/>
          <w:szCs w:val="28"/>
          <w:shd w:val="clear" w:color="auto" w:fill="FFFFFF"/>
          <w:lang w:val="en-GB"/>
        </w:rPr>
        <w:t xml:space="preserve">(Moffett and Moore, 2011; </w:t>
      </w:r>
      <w:r w:rsidRPr="00A01D71">
        <w:rPr>
          <w:rFonts w:ascii="Times New Roman" w:hAnsi="Times New Roman"/>
          <w:i/>
          <w:iCs/>
          <w:sz w:val="28"/>
          <w:szCs w:val="28"/>
          <w:lang w:val="en-GB"/>
        </w:rPr>
        <w:t>LexisNexis, 2021</w:t>
      </w:r>
      <w:r w:rsidRPr="00A01D71">
        <w:rPr>
          <w:rFonts w:ascii="Times New Roman" w:hAnsi="Times New Roman"/>
          <w:i/>
          <w:iCs/>
          <w:sz w:val="28"/>
          <w:szCs w:val="28"/>
          <w:shd w:val="clear" w:color="auto" w:fill="FFFFFF"/>
          <w:lang w:val="en-GB"/>
        </w:rPr>
        <w:t xml:space="preserve">). </w:t>
      </w:r>
    </w:p>
    <w:p w14:paraId="567C5F5A" w14:textId="7537E63A" w:rsidR="00945D91" w:rsidRPr="00B566E2" w:rsidRDefault="00945D91" w:rsidP="00945D91">
      <w:pPr>
        <w:spacing w:after="0" w:line="480" w:lineRule="auto"/>
        <w:ind w:firstLine="720"/>
        <w:jc w:val="both"/>
        <w:rPr>
          <w:rStyle w:val="Emphasis"/>
          <w:rFonts w:ascii="Times New Roman" w:hAnsi="Times New Roman"/>
          <w:i w:val="0"/>
          <w:sz w:val="28"/>
          <w:szCs w:val="28"/>
          <w:shd w:val="clear" w:color="auto" w:fill="FFFFFF"/>
          <w:lang w:val="en-GB"/>
        </w:rPr>
      </w:pPr>
      <w:r w:rsidRPr="00B566E2">
        <w:rPr>
          <w:rFonts w:ascii="Times New Roman" w:hAnsi="Times New Roman"/>
          <w:sz w:val="28"/>
          <w:szCs w:val="28"/>
          <w:shd w:val="clear" w:color="auto" w:fill="FFFFFF"/>
          <w:lang w:val="en-GB"/>
        </w:rPr>
        <w:t xml:space="preserve">However, in contrast to the above case, in the case of </w:t>
      </w:r>
      <w:r w:rsidRPr="00B566E2">
        <w:rPr>
          <w:rFonts w:ascii="Times New Roman" w:hAnsi="Times New Roman"/>
          <w:i/>
          <w:sz w:val="28"/>
          <w:szCs w:val="28"/>
          <w:shd w:val="clear" w:color="auto" w:fill="FFFFFF"/>
          <w:lang w:val="en-GB"/>
        </w:rPr>
        <w:t xml:space="preserve">Johnston v St. Francis Medical </w:t>
      </w:r>
      <w:r w:rsidR="007C10DD" w:rsidRPr="00B566E2">
        <w:rPr>
          <w:rFonts w:ascii="Times New Roman" w:hAnsi="Times New Roman"/>
          <w:i/>
          <w:sz w:val="28"/>
          <w:szCs w:val="28"/>
          <w:shd w:val="clear" w:color="auto" w:fill="FFFFFF"/>
          <w:lang w:val="en-GB"/>
        </w:rPr>
        <w:t>Centre</w:t>
      </w:r>
      <w:r w:rsidRPr="00B566E2">
        <w:rPr>
          <w:rFonts w:ascii="Times New Roman" w:hAnsi="Times New Roman"/>
          <w:sz w:val="28"/>
          <w:szCs w:val="28"/>
          <w:shd w:val="clear" w:color="auto" w:fill="FFFFFF"/>
          <w:lang w:val="en-GB"/>
        </w:rPr>
        <w:t xml:space="preserve">, a different decision has been taken by the court based on the modern definition of standard of care as per which the standard of care is the care practice followed by a minimally competent and experienced junior physician under the same type of situations. In this case of </w:t>
      </w:r>
      <w:r w:rsidRPr="00B566E2">
        <w:rPr>
          <w:rFonts w:ascii="Times New Roman" w:hAnsi="Times New Roman"/>
          <w:i/>
          <w:sz w:val="28"/>
          <w:szCs w:val="28"/>
          <w:shd w:val="clear" w:color="auto" w:fill="FFFFFF"/>
          <w:lang w:val="en-GB"/>
        </w:rPr>
        <w:t xml:space="preserve">Johnston v St. Francis Medical </w:t>
      </w:r>
      <w:r w:rsidR="007C10DD" w:rsidRPr="00B566E2">
        <w:rPr>
          <w:rFonts w:ascii="Times New Roman" w:hAnsi="Times New Roman"/>
          <w:i/>
          <w:sz w:val="28"/>
          <w:szCs w:val="28"/>
          <w:shd w:val="clear" w:color="auto" w:fill="FFFFFF"/>
          <w:lang w:val="en-GB"/>
        </w:rPr>
        <w:t>Centre</w:t>
      </w:r>
      <w:r w:rsidRPr="00B566E2">
        <w:rPr>
          <w:rFonts w:ascii="Times New Roman" w:hAnsi="Times New Roman"/>
          <w:sz w:val="28"/>
          <w:szCs w:val="28"/>
          <w:shd w:val="clear" w:color="auto" w:fill="FFFFFF"/>
          <w:lang w:val="en-GB"/>
        </w:rPr>
        <w:t xml:space="preserve">, due to abdominal complaints of the plaintiff, ultrasound and tomography have been considered for patient's examination; however, aneurysm's diagnosis was not considered due to which patient got died. The judgment, in this case, was made that although there was a possibility of an aneurysm's diagnosis; however, it could not be established that the absence of this diagnosis ensured the absence of a standard of care provided to the patient. The case involved the aspect that the minimal competence required by the physicians was shown by them; hindsight's utilisation has not been permitted to assess this conduct for making a judgment about the physicians. In this way, it is clarified that in case the junior physicians </w:t>
      </w:r>
      <w:r w:rsidRPr="00B566E2">
        <w:rPr>
          <w:rFonts w:ascii="Times New Roman" w:hAnsi="Times New Roman"/>
          <w:sz w:val="28"/>
          <w:szCs w:val="28"/>
          <w:shd w:val="clear" w:color="auto" w:fill="FFFFFF"/>
          <w:lang w:val="en-GB"/>
        </w:rPr>
        <w:lastRenderedPageBreak/>
        <w:t>show minimal competence in the duty of care, they are not liable for any negligence as they are following minimal set out standard of care.</w:t>
      </w:r>
    </w:p>
    <w:p w14:paraId="7C62E9B7" w14:textId="437FC361" w:rsidR="00945D91" w:rsidRPr="00B566E2" w:rsidRDefault="00945D91" w:rsidP="00945D91">
      <w:pPr>
        <w:spacing w:after="0" w:line="480" w:lineRule="auto"/>
        <w:jc w:val="both"/>
        <w:rPr>
          <w:rStyle w:val="Emphasis"/>
          <w:rFonts w:ascii="Times New Roman" w:hAnsi="Times New Roman"/>
          <w:i w:val="0"/>
          <w:sz w:val="28"/>
          <w:szCs w:val="28"/>
          <w:lang w:val="en-GB"/>
        </w:rPr>
      </w:pPr>
      <w:r w:rsidRPr="00B566E2">
        <w:rPr>
          <w:rStyle w:val="Emphasis"/>
          <w:rFonts w:ascii="Times New Roman" w:hAnsi="Times New Roman"/>
          <w:i w:val="0"/>
          <w:sz w:val="28"/>
          <w:szCs w:val="28"/>
          <w:shd w:val="clear" w:color="auto" w:fill="FFFFFF"/>
          <w:lang w:val="en-GB"/>
        </w:rPr>
        <w:tab/>
        <w:t xml:space="preserve">On the other hand, in the case of </w:t>
      </w:r>
      <w:r w:rsidRPr="00B566E2">
        <w:rPr>
          <w:rStyle w:val="Emphasis"/>
          <w:rFonts w:ascii="Times New Roman" w:hAnsi="Times New Roman"/>
          <w:sz w:val="28"/>
          <w:szCs w:val="28"/>
          <w:shd w:val="clear" w:color="auto" w:fill="FFFFFF"/>
          <w:lang w:val="en-GB"/>
        </w:rPr>
        <w:t>Roe v Minister of Health [1954]</w:t>
      </w:r>
      <w:r w:rsidRPr="00B566E2">
        <w:rPr>
          <w:rStyle w:val="Emphasis"/>
          <w:rFonts w:ascii="Times New Roman" w:hAnsi="Times New Roman"/>
          <w:i w:val="0"/>
          <w:sz w:val="28"/>
          <w:szCs w:val="28"/>
          <w:shd w:val="clear" w:color="auto" w:fill="FFFFFF"/>
          <w:lang w:val="en-GB"/>
        </w:rPr>
        <w:t xml:space="preserve">, an anaesthetic was given to the two claimants for the operations. However, the anaesthetic was infected with some sterilising solution due to which the claimants were paralysed permanently. The infection has been spread in the anaesthetic while storing it. Anaesthetic had been contained within a glass along with sterilising fluid. The ampoules of glass had some cracks which were not visible. It could not be identified that the anaesthetic might get infected in such as way. In the court, it was held that the defendant did not breach of duty. The standard of care has not been compromised because the risk could not be foreseeable because of being unknown and unidentifiable </w:t>
      </w:r>
      <w:r w:rsidRPr="007C10DD">
        <w:rPr>
          <w:rStyle w:val="Emphasis"/>
          <w:rFonts w:ascii="Times New Roman" w:hAnsi="Times New Roman"/>
          <w:i w:val="0"/>
          <w:sz w:val="28"/>
          <w:szCs w:val="28"/>
          <w:shd w:val="clear" w:color="auto" w:fill="FFFFFF"/>
          <w:lang w:val="en-GB"/>
        </w:rPr>
        <w:t>(</w:t>
      </w:r>
      <w:r w:rsidRPr="007C10DD">
        <w:rPr>
          <w:rFonts w:ascii="Times New Roman" w:hAnsi="Times New Roman"/>
          <w:i/>
          <w:sz w:val="28"/>
          <w:szCs w:val="28"/>
          <w:shd w:val="clear" w:color="auto" w:fill="FFFFFF"/>
          <w:lang w:val="en-GB"/>
        </w:rPr>
        <w:t>Dowie, 2020; Reekie, 2017)</w:t>
      </w:r>
      <w:r w:rsidRPr="007C10DD">
        <w:rPr>
          <w:rStyle w:val="Emphasis"/>
          <w:rFonts w:ascii="Times New Roman" w:hAnsi="Times New Roman"/>
          <w:i w:val="0"/>
          <w:sz w:val="28"/>
          <w:szCs w:val="28"/>
          <w:shd w:val="clear" w:color="auto" w:fill="FFFFFF"/>
          <w:lang w:val="en-GB"/>
        </w:rPr>
        <w:t>.</w:t>
      </w:r>
      <w:r w:rsidRPr="00B566E2">
        <w:rPr>
          <w:rStyle w:val="Emphasis"/>
          <w:rFonts w:ascii="Times New Roman" w:hAnsi="Times New Roman"/>
          <w:i w:val="0"/>
          <w:sz w:val="28"/>
          <w:szCs w:val="28"/>
          <w:shd w:val="clear" w:color="auto" w:fill="FFFFFF"/>
          <w:lang w:val="en-GB"/>
        </w:rPr>
        <w:t xml:space="preserve"> Moreover, in the case of </w:t>
      </w:r>
      <w:r w:rsidRPr="00B566E2">
        <w:rPr>
          <w:rStyle w:val="Emphasis"/>
          <w:rFonts w:ascii="Times New Roman" w:hAnsi="Times New Roman"/>
          <w:sz w:val="28"/>
          <w:szCs w:val="28"/>
          <w:shd w:val="clear" w:color="auto" w:fill="FFFFFF"/>
          <w:lang w:val="en-GB"/>
        </w:rPr>
        <w:t>Bolam v Friern HMC (1957)</w:t>
      </w:r>
      <w:r w:rsidRPr="00B566E2">
        <w:rPr>
          <w:rStyle w:val="Emphasis"/>
          <w:rFonts w:ascii="Times New Roman" w:hAnsi="Times New Roman"/>
          <w:i w:val="0"/>
          <w:sz w:val="28"/>
          <w:szCs w:val="28"/>
          <w:shd w:val="clear" w:color="auto" w:fill="FFFFFF"/>
          <w:lang w:val="en-GB"/>
        </w:rPr>
        <w:t xml:space="preserve">, the court made the judgment that the professional was not liable for violating the duty of care in case he or she performed actions in the same way that is perceived as adequate by some other responsible healthcare professionals who have expertise within the potential medical area </w:t>
      </w:r>
      <w:r w:rsidRPr="007C10DD">
        <w:rPr>
          <w:rStyle w:val="Emphasis"/>
          <w:rFonts w:ascii="Times New Roman" w:hAnsi="Times New Roman"/>
          <w:i w:val="0"/>
          <w:sz w:val="28"/>
          <w:szCs w:val="28"/>
          <w:shd w:val="clear" w:color="auto" w:fill="FFFFFF"/>
          <w:lang w:val="en-GB"/>
        </w:rPr>
        <w:t>(</w:t>
      </w:r>
      <w:r w:rsidRPr="007C10DD">
        <w:rPr>
          <w:rFonts w:ascii="Times New Roman" w:hAnsi="Times New Roman"/>
          <w:i/>
          <w:sz w:val="28"/>
          <w:szCs w:val="28"/>
          <w:shd w:val="clear" w:color="auto" w:fill="FFFFFF"/>
          <w:lang w:val="en-GB"/>
        </w:rPr>
        <w:t>Griffith, 2020; Peters et al., 2020)</w:t>
      </w:r>
      <w:r w:rsidRPr="007C10DD">
        <w:rPr>
          <w:rStyle w:val="Emphasis"/>
          <w:rFonts w:ascii="Times New Roman" w:hAnsi="Times New Roman"/>
          <w:i w:val="0"/>
          <w:sz w:val="28"/>
          <w:szCs w:val="28"/>
          <w:shd w:val="clear" w:color="auto" w:fill="FFFFFF"/>
          <w:lang w:val="en-GB"/>
        </w:rPr>
        <w:t>.</w:t>
      </w:r>
      <w:r w:rsidRPr="00B566E2">
        <w:rPr>
          <w:rStyle w:val="Emphasis"/>
          <w:rFonts w:ascii="Times New Roman" w:hAnsi="Times New Roman"/>
          <w:i w:val="0"/>
          <w:sz w:val="28"/>
          <w:szCs w:val="28"/>
          <w:shd w:val="clear" w:color="auto" w:fill="FFFFFF"/>
          <w:lang w:val="en-GB"/>
        </w:rPr>
        <w:t xml:space="preserve"> </w:t>
      </w:r>
      <w:r w:rsidRPr="00B566E2">
        <w:rPr>
          <w:rStyle w:val="Emphasis"/>
          <w:rFonts w:ascii="Times New Roman" w:hAnsi="Times New Roman"/>
          <w:i w:val="0"/>
          <w:sz w:val="28"/>
          <w:szCs w:val="28"/>
          <w:lang w:val="en-GB"/>
        </w:rPr>
        <w:t xml:space="preserve">However, the query has been raised here whether it is permitted for professionals to maintain their own standards in care provision. This might hamper the flexible and fair balance maintained between defendant and </w:t>
      </w:r>
      <w:r w:rsidRPr="00B566E2">
        <w:rPr>
          <w:rStyle w:val="Emphasis"/>
          <w:rFonts w:ascii="Times New Roman" w:hAnsi="Times New Roman"/>
          <w:i w:val="0"/>
          <w:sz w:val="28"/>
          <w:szCs w:val="28"/>
          <w:lang w:val="en-GB"/>
        </w:rPr>
        <w:lastRenderedPageBreak/>
        <w:t xml:space="preserve">claimant by the legal provision of the standard of care. In this support, the case of </w:t>
      </w:r>
      <w:r w:rsidRPr="00B566E2">
        <w:rPr>
          <w:rStyle w:val="Emphasis"/>
          <w:rFonts w:ascii="Times New Roman" w:hAnsi="Times New Roman"/>
          <w:sz w:val="28"/>
          <w:szCs w:val="28"/>
          <w:lang w:val="en-GB"/>
        </w:rPr>
        <w:t>Bolitho v City and Hackney Health Authority</w:t>
      </w:r>
      <w:r w:rsidRPr="00B566E2">
        <w:rPr>
          <w:rStyle w:val="Emphasis"/>
          <w:rFonts w:ascii="Times New Roman" w:hAnsi="Times New Roman"/>
          <w:i w:val="0"/>
          <w:sz w:val="28"/>
          <w:szCs w:val="28"/>
          <w:lang w:val="en-GB"/>
        </w:rPr>
        <w:t xml:space="preserve"> has been explored. In this case, it was claimed that the doctor failed in attending the child who experienced respiratory failure which further led to a cardiac arrest resulting in the death of the child </w:t>
      </w:r>
      <w:r w:rsidRPr="00A01948">
        <w:rPr>
          <w:rStyle w:val="Emphasis"/>
          <w:rFonts w:ascii="Times New Roman" w:hAnsi="Times New Roman"/>
          <w:i w:val="0"/>
          <w:sz w:val="28"/>
          <w:szCs w:val="28"/>
          <w:lang w:val="en-GB"/>
        </w:rPr>
        <w:t>(</w:t>
      </w:r>
      <w:r w:rsidRPr="00A01948">
        <w:rPr>
          <w:rFonts w:ascii="Times New Roman" w:eastAsia="Calibri" w:hAnsi="Times New Roman"/>
          <w:i/>
          <w:sz w:val="28"/>
          <w:szCs w:val="28"/>
          <w:lang w:val="en-GB" w:eastAsia="en-US" w:bidi="hi-IN"/>
        </w:rPr>
        <w:t>Ipsaloquitur, 2021; Jerjes, Mahil and Upile, 2011)</w:t>
      </w:r>
      <w:r w:rsidRPr="00A01948">
        <w:rPr>
          <w:rStyle w:val="Emphasis"/>
          <w:rFonts w:ascii="Times New Roman" w:hAnsi="Times New Roman"/>
          <w:i w:val="0"/>
          <w:sz w:val="28"/>
          <w:szCs w:val="28"/>
          <w:lang w:val="en-GB"/>
        </w:rPr>
        <w:t>.</w:t>
      </w:r>
      <w:r w:rsidRPr="00B566E2">
        <w:rPr>
          <w:rStyle w:val="Emphasis"/>
          <w:rFonts w:ascii="Times New Roman" w:hAnsi="Times New Roman"/>
          <w:i w:val="0"/>
          <w:sz w:val="28"/>
          <w:szCs w:val="28"/>
          <w:lang w:val="en-GB"/>
        </w:rPr>
        <w:t xml:space="preserve"> However, while reflecting on the application of the Bolam test, it is seen that the court requires being satisfied with the professional opinion of the expert body to approve the undertaken practice of the defendant in the given circumstances to consider this practice as correct, </w:t>
      </w:r>
      <w:r w:rsidR="00D9194C" w:rsidRPr="00B566E2">
        <w:rPr>
          <w:rStyle w:val="Emphasis"/>
          <w:rFonts w:ascii="Times New Roman" w:hAnsi="Times New Roman"/>
          <w:i w:val="0"/>
          <w:sz w:val="28"/>
          <w:szCs w:val="28"/>
          <w:lang w:val="en-GB"/>
        </w:rPr>
        <w:t>defensible,</w:t>
      </w:r>
      <w:r w:rsidRPr="00B566E2">
        <w:rPr>
          <w:rStyle w:val="Emphasis"/>
          <w:rFonts w:ascii="Times New Roman" w:hAnsi="Times New Roman"/>
          <w:i w:val="0"/>
          <w:sz w:val="28"/>
          <w:szCs w:val="28"/>
          <w:lang w:val="en-GB"/>
        </w:rPr>
        <w:t xml:space="preserve"> and logical </w:t>
      </w:r>
      <w:r w:rsidRPr="00D9194C">
        <w:rPr>
          <w:rStyle w:val="Emphasis"/>
          <w:rFonts w:ascii="Times New Roman" w:hAnsi="Times New Roman"/>
          <w:i w:val="0"/>
          <w:sz w:val="28"/>
          <w:szCs w:val="28"/>
          <w:lang w:val="en-GB"/>
        </w:rPr>
        <w:t>(</w:t>
      </w:r>
      <w:r w:rsidRPr="00D9194C">
        <w:rPr>
          <w:rFonts w:ascii="Times New Roman" w:eastAsia="Calibri" w:hAnsi="Times New Roman"/>
          <w:i/>
          <w:sz w:val="28"/>
          <w:szCs w:val="28"/>
          <w:lang w:val="en-GB" w:eastAsia="en-US" w:bidi="hi-IN"/>
        </w:rPr>
        <w:t>Ipsaloquitur, 2021).</w:t>
      </w:r>
      <w:r w:rsidRPr="00D9194C">
        <w:rPr>
          <w:rStyle w:val="Emphasis"/>
          <w:rFonts w:ascii="Times New Roman" w:hAnsi="Times New Roman"/>
          <w:iCs w:val="0"/>
          <w:sz w:val="28"/>
          <w:szCs w:val="28"/>
          <w:lang w:val="en-GB"/>
        </w:rPr>
        <w:t xml:space="preserve"> </w:t>
      </w:r>
    </w:p>
    <w:p w14:paraId="79AD1281" w14:textId="51BFDCAC" w:rsidR="00945D91" w:rsidRPr="00D9194C" w:rsidRDefault="00945D91" w:rsidP="00945D91">
      <w:pPr>
        <w:spacing w:after="0" w:line="480" w:lineRule="auto"/>
        <w:ind w:firstLine="720"/>
        <w:jc w:val="both"/>
        <w:rPr>
          <w:rStyle w:val="Emphasis"/>
          <w:rFonts w:ascii="Times New Roman" w:hAnsi="Times New Roman"/>
          <w:i w:val="0"/>
          <w:sz w:val="28"/>
          <w:szCs w:val="28"/>
          <w:lang w:val="en-GB"/>
        </w:rPr>
      </w:pPr>
      <w:r w:rsidRPr="00B566E2">
        <w:rPr>
          <w:rStyle w:val="Emphasis"/>
          <w:rFonts w:ascii="Times New Roman" w:hAnsi="Times New Roman"/>
          <w:i w:val="0"/>
          <w:sz w:val="28"/>
          <w:szCs w:val="28"/>
          <w:lang w:val="en-GB"/>
        </w:rPr>
        <w:t xml:space="preserve">However, in Bolitho’s case, it is held by the court that the liability </w:t>
      </w:r>
      <w:r w:rsidR="00D9194C" w:rsidRPr="00B566E2">
        <w:rPr>
          <w:rStyle w:val="Emphasis"/>
          <w:rFonts w:ascii="Times New Roman" w:hAnsi="Times New Roman"/>
          <w:i w:val="0"/>
          <w:sz w:val="28"/>
          <w:szCs w:val="28"/>
          <w:lang w:val="en-GB"/>
        </w:rPr>
        <w:t>cannot</w:t>
      </w:r>
      <w:r w:rsidRPr="00B566E2">
        <w:rPr>
          <w:rStyle w:val="Emphasis"/>
          <w:rFonts w:ascii="Times New Roman" w:hAnsi="Times New Roman"/>
          <w:i w:val="0"/>
          <w:sz w:val="28"/>
          <w:szCs w:val="28"/>
          <w:lang w:val="en-GB"/>
        </w:rPr>
        <w:t xml:space="preserve"> be escaped by the defendant by justifying that the harm has been taken place within any circumstance as he might have performed some different breach of his duty. Still, the court’s decision was in the defendant’s favour because no reason was identified to challenge the evidence of experts as although the defendant performed a breach of duty; still, this breach is not justified as the causation of the child’s death. As per the House of Lord, courts require identifying practices that are no defensible and logical in exceptional cases. It is also said that defendants are not supposed to say that the harm did not cause by the breach of duty as they might </w:t>
      </w:r>
      <w:r w:rsidRPr="00B566E2">
        <w:rPr>
          <w:rStyle w:val="Emphasis"/>
          <w:rFonts w:ascii="Times New Roman" w:hAnsi="Times New Roman"/>
          <w:i w:val="0"/>
          <w:sz w:val="28"/>
          <w:szCs w:val="28"/>
          <w:lang w:val="en-GB"/>
        </w:rPr>
        <w:lastRenderedPageBreak/>
        <w:t xml:space="preserve">have committed another breach </w:t>
      </w:r>
      <w:r w:rsidRPr="00D9194C">
        <w:rPr>
          <w:rStyle w:val="Emphasis"/>
          <w:rFonts w:ascii="Times New Roman" w:hAnsi="Times New Roman"/>
          <w:i w:val="0"/>
          <w:sz w:val="28"/>
          <w:szCs w:val="28"/>
          <w:lang w:val="en-GB"/>
        </w:rPr>
        <w:t>(</w:t>
      </w:r>
      <w:r w:rsidRPr="00D9194C">
        <w:rPr>
          <w:rFonts w:ascii="Times New Roman" w:eastAsia="Calibri" w:hAnsi="Times New Roman"/>
          <w:i/>
          <w:sz w:val="28"/>
          <w:szCs w:val="28"/>
          <w:lang w:val="en-GB" w:eastAsia="en-US" w:bidi="hi-IN"/>
        </w:rPr>
        <w:t>Ipsaloquitur, 2021; Jerjes, Mahil and Upile, 2011)</w:t>
      </w:r>
      <w:r w:rsidRPr="00D9194C">
        <w:rPr>
          <w:rStyle w:val="Emphasis"/>
          <w:rFonts w:ascii="Times New Roman" w:hAnsi="Times New Roman"/>
          <w:i w:val="0"/>
          <w:sz w:val="28"/>
          <w:szCs w:val="28"/>
          <w:lang w:val="en-GB"/>
        </w:rPr>
        <w:t>.</w:t>
      </w:r>
    </w:p>
    <w:p w14:paraId="0E83716E" w14:textId="6B7D6723" w:rsidR="00B07EF9" w:rsidRPr="00B566E2" w:rsidRDefault="00945D91" w:rsidP="00945D91">
      <w:pPr>
        <w:spacing w:after="0" w:line="480" w:lineRule="auto"/>
        <w:jc w:val="both"/>
        <w:rPr>
          <w:rStyle w:val="Emphasis"/>
          <w:rFonts w:ascii="Times New Roman" w:hAnsi="Times New Roman"/>
          <w:i w:val="0"/>
          <w:sz w:val="28"/>
          <w:szCs w:val="28"/>
          <w:shd w:val="clear" w:color="auto" w:fill="FFFFFF"/>
          <w:lang w:val="en-GB"/>
        </w:rPr>
      </w:pPr>
      <w:r w:rsidRPr="00B566E2">
        <w:rPr>
          <w:rStyle w:val="Emphasis"/>
          <w:rFonts w:ascii="Times New Roman" w:hAnsi="Times New Roman"/>
          <w:i w:val="0"/>
          <w:sz w:val="28"/>
          <w:szCs w:val="28"/>
          <w:shd w:val="clear" w:color="auto" w:fill="FFFFFF"/>
          <w:lang w:val="en-GB"/>
        </w:rPr>
        <w:tab/>
        <w:t>However, it is also observed that the standard of care principle works differently in case the defendant is involved within the risk</w:t>
      </w:r>
      <w:r w:rsidR="00D9194C">
        <w:rPr>
          <w:rStyle w:val="Emphasis"/>
          <w:rFonts w:ascii="Times New Roman" w:hAnsi="Times New Roman"/>
          <w:i w:val="0"/>
          <w:sz w:val="28"/>
          <w:szCs w:val="28"/>
          <w:shd w:val="clear" w:color="auto" w:fill="FFFFFF"/>
          <w:lang w:val="en-GB"/>
        </w:rPr>
        <w:t>-</w:t>
      </w:r>
      <w:r w:rsidR="00D9194C" w:rsidRPr="00B566E2">
        <w:rPr>
          <w:rStyle w:val="Emphasis"/>
          <w:rFonts w:ascii="Times New Roman" w:hAnsi="Times New Roman"/>
          <w:i w:val="0"/>
          <w:sz w:val="28"/>
          <w:szCs w:val="28"/>
          <w:shd w:val="clear" w:color="auto" w:fill="FFFFFF"/>
          <w:lang w:val="en-GB"/>
        </w:rPr>
        <w:t>full</w:t>
      </w:r>
      <w:r w:rsidRPr="00B566E2">
        <w:rPr>
          <w:rStyle w:val="Emphasis"/>
          <w:rFonts w:ascii="Times New Roman" w:hAnsi="Times New Roman"/>
          <w:i w:val="0"/>
          <w:sz w:val="28"/>
          <w:szCs w:val="28"/>
          <w:shd w:val="clear" w:color="auto" w:fill="FFFFFF"/>
          <w:lang w:val="en-GB"/>
        </w:rPr>
        <w:t xml:space="preserve"> actions wherein the damage-related risks are high as well as victimhood of the claimants are clearly predictable or foreseeable. While supporting the case law, it is noted that in the case of </w:t>
      </w:r>
      <w:r w:rsidRPr="00B566E2">
        <w:rPr>
          <w:rStyle w:val="Emphasis"/>
          <w:rFonts w:ascii="Times New Roman" w:hAnsi="Times New Roman"/>
          <w:sz w:val="28"/>
          <w:szCs w:val="28"/>
          <w:shd w:val="clear" w:color="auto" w:fill="FFFFFF"/>
          <w:lang w:val="en-GB"/>
        </w:rPr>
        <w:t>Watt v Hertfordshire County Council [1954]</w:t>
      </w:r>
      <w:r w:rsidRPr="00B566E2">
        <w:rPr>
          <w:rStyle w:val="Emphasis"/>
          <w:rFonts w:ascii="Times New Roman" w:hAnsi="Times New Roman"/>
          <w:i w:val="0"/>
          <w:sz w:val="28"/>
          <w:szCs w:val="28"/>
          <w:shd w:val="clear" w:color="auto" w:fill="FFFFFF"/>
          <w:lang w:val="en-GB"/>
        </w:rPr>
        <w:t xml:space="preserve">, the claimant has been working within the fire department as well as was attending the call with a lady </w:t>
      </w:r>
    </w:p>
    <w:p w14:paraId="7FABD6F8" w14:textId="343FCC0A" w:rsidR="00945D91" w:rsidRPr="002C29E4" w:rsidRDefault="00945D91" w:rsidP="00945D91">
      <w:pPr>
        <w:spacing w:after="0" w:line="480" w:lineRule="auto"/>
        <w:jc w:val="both"/>
        <w:rPr>
          <w:rStyle w:val="Emphasis"/>
          <w:rFonts w:ascii="Times New Roman" w:hAnsi="Times New Roman"/>
          <w:i w:val="0"/>
          <w:sz w:val="28"/>
          <w:szCs w:val="28"/>
          <w:shd w:val="clear" w:color="auto" w:fill="FFFFFF"/>
          <w:lang w:val="en-GB"/>
        </w:rPr>
      </w:pPr>
      <w:r w:rsidRPr="00B566E2">
        <w:rPr>
          <w:rStyle w:val="Emphasis"/>
          <w:rFonts w:ascii="Times New Roman" w:hAnsi="Times New Roman"/>
          <w:i w:val="0"/>
          <w:sz w:val="28"/>
          <w:szCs w:val="28"/>
          <w:shd w:val="clear" w:color="auto" w:fill="FFFFFF"/>
          <w:lang w:val="en-GB"/>
        </w:rPr>
        <w:t xml:space="preserve">who got stuck beneath the lorry close to the fire centre. It required heavy sized equipment for lifting the lorry. The transportation vehicle generally utilised for travelling the equipment was not available due to which this equipment was placed unsafely on the backside of the truck. For avoiding its downfall from the truck, the equipment was to hold on by the claimant throughout the journey. On a red light, the claimant suffered an injury because of falling of the equipment due to which he posed a claim of negligence against the employer that he breached the duty-of-care towards him </w:t>
      </w:r>
      <w:r w:rsidRPr="002C29E4">
        <w:rPr>
          <w:rStyle w:val="Emphasis"/>
          <w:rFonts w:ascii="Times New Roman" w:hAnsi="Times New Roman"/>
          <w:i w:val="0"/>
          <w:sz w:val="28"/>
          <w:szCs w:val="28"/>
          <w:shd w:val="clear" w:color="auto" w:fill="FFFFFF"/>
          <w:lang w:val="en-GB"/>
        </w:rPr>
        <w:t>(</w:t>
      </w:r>
      <w:r w:rsidRPr="002C29E4">
        <w:rPr>
          <w:rFonts w:ascii="Times New Roman" w:hAnsi="Times New Roman"/>
          <w:i/>
          <w:sz w:val="28"/>
          <w:szCs w:val="28"/>
          <w:shd w:val="clear" w:color="auto" w:fill="FFFFFF"/>
          <w:lang w:val="en-GB"/>
        </w:rPr>
        <w:t>Riley-Smith, Heppinstall and Foster, 2020).</w:t>
      </w:r>
      <w:r w:rsidRPr="002C29E4">
        <w:rPr>
          <w:rStyle w:val="Emphasis"/>
          <w:rFonts w:ascii="Times New Roman" w:hAnsi="Times New Roman"/>
          <w:i w:val="0"/>
          <w:sz w:val="28"/>
          <w:szCs w:val="28"/>
          <w:shd w:val="clear" w:color="auto" w:fill="FFFFFF"/>
          <w:lang w:val="en-GB"/>
        </w:rPr>
        <w:t xml:space="preserve"> </w:t>
      </w:r>
    </w:p>
    <w:p w14:paraId="7E62EEE3" w14:textId="77777777" w:rsidR="00945D91" w:rsidRPr="00C14B66" w:rsidRDefault="00945D91" w:rsidP="00945D91">
      <w:pPr>
        <w:spacing w:after="0" w:line="480" w:lineRule="auto"/>
        <w:ind w:firstLine="720"/>
        <w:jc w:val="both"/>
        <w:rPr>
          <w:rStyle w:val="Emphasis"/>
          <w:rFonts w:ascii="Times New Roman" w:hAnsi="Times New Roman"/>
          <w:i w:val="0"/>
          <w:sz w:val="28"/>
          <w:szCs w:val="28"/>
          <w:shd w:val="clear" w:color="auto" w:fill="FFFFFF"/>
          <w:lang w:val="en-GB"/>
        </w:rPr>
      </w:pPr>
      <w:r w:rsidRPr="00B566E2">
        <w:rPr>
          <w:rStyle w:val="Emphasis"/>
          <w:rFonts w:ascii="Times New Roman" w:hAnsi="Times New Roman"/>
          <w:i w:val="0"/>
          <w:sz w:val="28"/>
          <w:szCs w:val="28"/>
          <w:shd w:val="clear" w:color="auto" w:fill="FFFFFF"/>
          <w:lang w:val="en-GB"/>
        </w:rPr>
        <w:t xml:space="preserve">However, the court in the above case established that there was an emergency situation wherein the equipment had social utility of a high level for the assurance of saving the lady's life. The risk to the lady has been higher as </w:t>
      </w:r>
      <w:r w:rsidRPr="00B566E2">
        <w:rPr>
          <w:rStyle w:val="Emphasis"/>
          <w:rFonts w:ascii="Times New Roman" w:hAnsi="Times New Roman"/>
          <w:i w:val="0"/>
          <w:sz w:val="28"/>
          <w:szCs w:val="28"/>
          <w:shd w:val="clear" w:color="auto" w:fill="FFFFFF"/>
          <w:lang w:val="en-GB"/>
        </w:rPr>
        <w:lastRenderedPageBreak/>
        <w:t xml:space="preserve">compared to the risk regarding the claimant's injury. It inferred that the department of fire was not supposed to retrieve precautionary measures to protect the claimant from injury in such a situation of emergency </w:t>
      </w:r>
      <w:r w:rsidRPr="002C29E4">
        <w:rPr>
          <w:rStyle w:val="Emphasis"/>
          <w:rFonts w:ascii="Times New Roman" w:hAnsi="Times New Roman"/>
          <w:i w:val="0"/>
          <w:sz w:val="28"/>
          <w:szCs w:val="28"/>
          <w:shd w:val="clear" w:color="auto" w:fill="FFFFFF"/>
          <w:lang w:val="en-GB"/>
        </w:rPr>
        <w:t>(</w:t>
      </w:r>
      <w:r w:rsidRPr="002C29E4">
        <w:rPr>
          <w:rFonts w:ascii="Times New Roman" w:hAnsi="Times New Roman"/>
          <w:i/>
          <w:sz w:val="28"/>
          <w:szCs w:val="28"/>
          <w:shd w:val="clear" w:color="auto" w:fill="FFFFFF"/>
          <w:lang w:val="en-GB"/>
        </w:rPr>
        <w:t>Riley-Smith, Heppinstall and Foster, 2020)</w:t>
      </w:r>
      <w:r w:rsidRPr="002C29E4">
        <w:rPr>
          <w:rStyle w:val="Emphasis"/>
          <w:rFonts w:ascii="Times New Roman" w:hAnsi="Times New Roman"/>
          <w:i w:val="0"/>
          <w:sz w:val="28"/>
          <w:szCs w:val="28"/>
          <w:shd w:val="clear" w:color="auto" w:fill="FFFFFF"/>
          <w:lang w:val="en-GB"/>
        </w:rPr>
        <w:t>.</w:t>
      </w:r>
      <w:r w:rsidRPr="00B566E2">
        <w:rPr>
          <w:rStyle w:val="Emphasis"/>
          <w:rFonts w:ascii="Times New Roman" w:hAnsi="Times New Roman"/>
          <w:i w:val="0"/>
          <w:sz w:val="28"/>
          <w:szCs w:val="28"/>
          <w:shd w:val="clear" w:color="auto" w:fill="FFFFFF"/>
          <w:lang w:val="en-GB"/>
        </w:rPr>
        <w:t xml:space="preserve"> Thus, this case law assists the professionals that the standard of care is not fully the liability of the defendant while he assigns workers to get into some riskful tasks for resolving certain emergency situations for saving someone’s life. The higher standard of care set out for the professionals is to safeguard the social people in an emergency situation than preventing themselves from the risks of injury while tacking such situation. This aspect is also assisted by the Social Action, Responsibility and Heroism </w:t>
      </w:r>
      <w:r w:rsidRPr="00184DD0">
        <w:rPr>
          <w:rStyle w:val="Emphasis"/>
          <w:rFonts w:ascii="Times New Roman" w:hAnsi="Times New Roman"/>
          <w:iCs w:val="0"/>
          <w:sz w:val="28"/>
          <w:szCs w:val="28"/>
          <w:shd w:val="clear" w:color="auto" w:fill="FFFFFF"/>
          <w:lang w:val="en-GB"/>
        </w:rPr>
        <w:t>Act 2015</w:t>
      </w:r>
      <w:r w:rsidRPr="00B566E2">
        <w:rPr>
          <w:rStyle w:val="Emphasis"/>
          <w:rFonts w:ascii="Times New Roman" w:hAnsi="Times New Roman"/>
          <w:i w:val="0"/>
          <w:sz w:val="28"/>
          <w:szCs w:val="28"/>
          <w:shd w:val="clear" w:color="auto" w:fill="FFFFFF"/>
          <w:lang w:val="en-GB"/>
        </w:rPr>
        <w:t xml:space="preserve">. In this act, it is mentioned that the courts need to consider the aspect of whether the statutory duty's breach took place during the time while the individual was performing some tasks for offering social benefits or welfare of the society. It is also considered in this act that the court well regards the situation wherein the negligence is performed during the heroic action of an individual to help social people in emergency situations </w:t>
      </w:r>
      <w:r w:rsidRPr="00184DD0">
        <w:rPr>
          <w:rStyle w:val="Emphasis"/>
          <w:rFonts w:ascii="Times New Roman" w:hAnsi="Times New Roman"/>
          <w:i w:val="0"/>
          <w:sz w:val="28"/>
          <w:szCs w:val="28"/>
          <w:shd w:val="clear" w:color="auto" w:fill="FFFFFF"/>
          <w:lang w:val="en-GB"/>
        </w:rPr>
        <w:t>(</w:t>
      </w:r>
      <w:r w:rsidRPr="00184DD0">
        <w:rPr>
          <w:rFonts w:ascii="Times New Roman" w:hAnsi="Times New Roman"/>
          <w:i/>
          <w:sz w:val="28"/>
          <w:szCs w:val="28"/>
          <w:shd w:val="clear" w:color="auto" w:fill="FFFFFF"/>
          <w:lang w:val="en-GB"/>
        </w:rPr>
        <w:t>Legislation.gov.uk, 2021)</w:t>
      </w:r>
      <w:r w:rsidRPr="00184DD0">
        <w:rPr>
          <w:rStyle w:val="Emphasis"/>
          <w:rFonts w:ascii="Times New Roman" w:hAnsi="Times New Roman"/>
          <w:i w:val="0"/>
          <w:sz w:val="28"/>
          <w:szCs w:val="28"/>
          <w:shd w:val="clear" w:color="auto" w:fill="FFFFFF"/>
          <w:lang w:val="en-GB"/>
        </w:rPr>
        <w:t>.</w:t>
      </w:r>
      <w:r w:rsidRPr="00B566E2">
        <w:rPr>
          <w:rStyle w:val="Emphasis"/>
          <w:rFonts w:ascii="Times New Roman" w:hAnsi="Times New Roman"/>
          <w:i w:val="0"/>
          <w:sz w:val="28"/>
          <w:szCs w:val="28"/>
          <w:shd w:val="clear" w:color="auto" w:fill="FFFFFF"/>
          <w:lang w:val="en-GB"/>
        </w:rPr>
        <w:t xml:space="preserve"> However, while referring to the case of </w:t>
      </w:r>
      <w:r w:rsidRPr="00B566E2">
        <w:rPr>
          <w:rStyle w:val="Emphasis"/>
          <w:rFonts w:ascii="Times New Roman" w:hAnsi="Times New Roman"/>
          <w:sz w:val="28"/>
          <w:szCs w:val="28"/>
          <w:shd w:val="clear" w:color="auto" w:fill="FFFFFF"/>
          <w:lang w:val="en-GB"/>
        </w:rPr>
        <w:t>Watt v Hertfordshire County Council [1954]</w:t>
      </w:r>
      <w:r w:rsidRPr="00B566E2">
        <w:rPr>
          <w:rStyle w:val="Emphasis"/>
          <w:rFonts w:ascii="Times New Roman" w:hAnsi="Times New Roman"/>
          <w:i w:val="0"/>
          <w:sz w:val="28"/>
          <w:szCs w:val="28"/>
          <w:shd w:val="clear" w:color="auto" w:fill="FFFFFF"/>
          <w:lang w:val="en-GB"/>
        </w:rPr>
        <w:t xml:space="preserve">, the professional person requires following standard of care at the risk of harms that might be suffered by him or her in regard to handling the </w:t>
      </w:r>
      <w:r w:rsidRPr="00B566E2">
        <w:rPr>
          <w:rStyle w:val="Emphasis"/>
          <w:rFonts w:ascii="Times New Roman" w:hAnsi="Times New Roman"/>
          <w:i w:val="0"/>
          <w:sz w:val="28"/>
          <w:szCs w:val="28"/>
          <w:shd w:val="clear" w:color="auto" w:fill="FFFFFF"/>
          <w:lang w:val="en-GB"/>
        </w:rPr>
        <w:lastRenderedPageBreak/>
        <w:t xml:space="preserve">emergency situation for protecting the society </w:t>
      </w:r>
      <w:r w:rsidRPr="00C14B66">
        <w:rPr>
          <w:rStyle w:val="Emphasis"/>
          <w:rFonts w:ascii="Times New Roman" w:hAnsi="Times New Roman"/>
          <w:i w:val="0"/>
          <w:sz w:val="28"/>
          <w:szCs w:val="28"/>
          <w:shd w:val="clear" w:color="auto" w:fill="FFFFFF"/>
          <w:lang w:val="en-GB"/>
        </w:rPr>
        <w:t>(</w:t>
      </w:r>
      <w:r w:rsidRPr="00C14B66">
        <w:rPr>
          <w:rFonts w:ascii="Times New Roman" w:hAnsi="Times New Roman"/>
          <w:i/>
          <w:sz w:val="28"/>
          <w:szCs w:val="28"/>
          <w:shd w:val="clear" w:color="auto" w:fill="FFFFFF"/>
          <w:lang w:val="en-GB"/>
        </w:rPr>
        <w:t>Riley-Smith, Heppinstall and Foster, 2020)</w:t>
      </w:r>
      <w:r w:rsidRPr="00C14B66">
        <w:rPr>
          <w:rStyle w:val="Emphasis"/>
          <w:rFonts w:ascii="Times New Roman" w:hAnsi="Times New Roman"/>
          <w:i w:val="0"/>
          <w:sz w:val="28"/>
          <w:szCs w:val="28"/>
          <w:shd w:val="clear" w:color="auto" w:fill="FFFFFF"/>
          <w:lang w:val="en-GB"/>
        </w:rPr>
        <w:t>.</w:t>
      </w:r>
    </w:p>
    <w:p w14:paraId="347371FA" w14:textId="77777777" w:rsidR="00945D91" w:rsidRPr="00B566E2" w:rsidRDefault="00945D91" w:rsidP="00945D91">
      <w:pPr>
        <w:spacing w:after="0" w:line="480" w:lineRule="auto"/>
        <w:ind w:firstLine="720"/>
        <w:jc w:val="both"/>
        <w:rPr>
          <w:rStyle w:val="Emphasis"/>
          <w:rFonts w:ascii="Times New Roman" w:eastAsia="Calibri" w:hAnsi="Times New Roman"/>
          <w:i w:val="0"/>
          <w:iCs w:val="0"/>
          <w:sz w:val="28"/>
          <w:szCs w:val="28"/>
          <w:lang w:val="en-GB" w:eastAsia="en-US" w:bidi="hi-IN"/>
        </w:rPr>
      </w:pPr>
      <w:r w:rsidRPr="00B566E2">
        <w:rPr>
          <w:rFonts w:ascii="Times New Roman" w:eastAsia="Calibri" w:hAnsi="Times New Roman"/>
          <w:sz w:val="28"/>
          <w:szCs w:val="28"/>
          <w:lang w:val="en-GB" w:eastAsia="en-US" w:bidi="hi-IN"/>
        </w:rPr>
        <w:t xml:space="preserve">Further, section 1defined in Compensation Act 2006 also helps in raising the standard of care by helping to determine whether or not an act can be stated as negligent. It allows the court to take strict actions by discouraging the individuals to perform the undertaking functions in relationship with the desirable activity </w:t>
      </w:r>
      <w:r w:rsidRPr="009073D9">
        <w:rPr>
          <w:rFonts w:ascii="Times New Roman" w:eastAsia="Calibri" w:hAnsi="Times New Roman"/>
          <w:i/>
          <w:iCs/>
          <w:sz w:val="28"/>
          <w:szCs w:val="28"/>
          <w:lang w:val="en-GB" w:eastAsia="en-US" w:bidi="hi-IN"/>
        </w:rPr>
        <w:t>(Williams, 2006).</w:t>
      </w:r>
      <w:r w:rsidRPr="00B566E2">
        <w:rPr>
          <w:rFonts w:ascii="Times New Roman" w:eastAsia="Calibri" w:hAnsi="Times New Roman"/>
          <w:sz w:val="28"/>
          <w:szCs w:val="28"/>
          <w:lang w:val="en-GB" w:eastAsia="en-US" w:bidi="hi-IN"/>
        </w:rPr>
        <w:t xml:space="preserve"> Furthermore, in regard to sporting activities, the standard of care is applied by means of the skills and level of proficiency of the sports players. This can be affirmed by the case of </w:t>
      </w:r>
      <w:r w:rsidRPr="00B566E2">
        <w:rPr>
          <w:rFonts w:ascii="Times New Roman" w:eastAsia="Calibri" w:hAnsi="Times New Roman"/>
          <w:i/>
          <w:iCs/>
          <w:sz w:val="28"/>
          <w:szCs w:val="28"/>
          <w:lang w:val="en-GB" w:eastAsia="en-US" w:bidi="hi-IN"/>
        </w:rPr>
        <w:t>Condon v Basi</w:t>
      </w:r>
      <w:r w:rsidRPr="00B566E2">
        <w:rPr>
          <w:rFonts w:ascii="Times New Roman" w:eastAsia="Calibri" w:hAnsi="Times New Roman"/>
          <w:sz w:val="28"/>
          <w:szCs w:val="28"/>
          <w:lang w:val="en-GB" w:eastAsia="en-US" w:bidi="hi-IN"/>
        </w:rPr>
        <w:t xml:space="preserve"> [1985] which involved a football match where the claimant broke his leg after receiving a challenge from the side of the defendant. The competing football clubs in the match were a part of the Leamington Local League </w:t>
      </w:r>
      <w:r w:rsidRPr="00EB71E6">
        <w:rPr>
          <w:rFonts w:ascii="Times New Roman" w:eastAsia="Calibri" w:hAnsi="Times New Roman"/>
          <w:i/>
          <w:iCs/>
          <w:sz w:val="28"/>
          <w:szCs w:val="28"/>
          <w:lang w:val="en-GB" w:eastAsia="en-US" w:bidi="hi-IN"/>
        </w:rPr>
        <w:t>(Steele, 2010).</w:t>
      </w:r>
      <w:r w:rsidRPr="00B566E2">
        <w:rPr>
          <w:rFonts w:ascii="Times New Roman" w:eastAsia="Calibri" w:hAnsi="Times New Roman"/>
          <w:sz w:val="28"/>
          <w:szCs w:val="28"/>
          <w:lang w:val="en-GB" w:eastAsia="en-US" w:bidi="hi-IN"/>
        </w:rPr>
        <w:t xml:space="preserve"> Under this case, the Court was confused in regard to the prevalence of the standard of care that was expected from the football player. Finally, the Court reached the judgment that the standard of care is applicable between the two competitive sports teams as per the expertise attained by the sports player. In this context, the defendant is identified to show a breach of duty. The Court also found that for applying the standard of care in competitive sports, the associated participants are required to hold the duty of care for their </w:t>
      </w:r>
      <w:r w:rsidRPr="00B566E2">
        <w:rPr>
          <w:rFonts w:ascii="Times New Roman" w:eastAsia="Calibri" w:hAnsi="Times New Roman"/>
          <w:sz w:val="28"/>
          <w:szCs w:val="28"/>
          <w:lang w:val="en-GB" w:eastAsia="en-US" w:bidi="hi-IN"/>
        </w:rPr>
        <w:lastRenderedPageBreak/>
        <w:t xml:space="preserve">fellow teammates. The player is liable for negligence in showing a low standard of care </w:t>
      </w:r>
      <w:r w:rsidRPr="00EB71E6">
        <w:rPr>
          <w:rFonts w:ascii="Times New Roman" w:eastAsia="Calibri" w:hAnsi="Times New Roman"/>
          <w:i/>
          <w:iCs/>
          <w:sz w:val="28"/>
          <w:szCs w:val="28"/>
          <w:lang w:val="en-GB" w:eastAsia="en-US" w:bidi="hi-IN"/>
        </w:rPr>
        <w:t>(Howarth, 2016).</w:t>
      </w:r>
    </w:p>
    <w:p w14:paraId="4BE852DF" w14:textId="399AAAC8" w:rsidR="00945D91" w:rsidRPr="00B566E2" w:rsidRDefault="00945D91" w:rsidP="00945D91">
      <w:pPr>
        <w:spacing w:after="0" w:line="480" w:lineRule="auto"/>
        <w:jc w:val="both"/>
        <w:rPr>
          <w:rStyle w:val="Emphasis"/>
          <w:rFonts w:ascii="Times New Roman" w:hAnsi="Times New Roman"/>
          <w:i w:val="0"/>
          <w:sz w:val="28"/>
          <w:szCs w:val="28"/>
          <w:shd w:val="clear" w:color="auto" w:fill="FFFFFF"/>
          <w:lang w:val="en-GB"/>
        </w:rPr>
      </w:pPr>
      <w:r w:rsidRPr="00B566E2">
        <w:rPr>
          <w:rStyle w:val="Emphasis"/>
          <w:rFonts w:ascii="Times New Roman" w:hAnsi="Times New Roman"/>
          <w:i w:val="0"/>
          <w:sz w:val="28"/>
          <w:szCs w:val="28"/>
          <w:shd w:val="clear" w:color="auto" w:fill="FFFFFF"/>
          <w:lang w:val="en-GB"/>
        </w:rPr>
        <w:tab/>
        <w:t>In this way, it is identified that the standard of care has balanced flexibility and fairness for defendants and claimants. It is because the standard of care involves customs that are usually considered by the professionals like other expert professionals to perform their tasks successfully. These customs might vary according to the nature of requirements but in professionalism, these customs must be accepted by other experts and professionals in the same field. Thus, on the defendants' and claimants' part, the standard of care related customs are flexible but fair in all manners. If the defendants are engaged in risk</w:t>
      </w:r>
      <w:r w:rsidR="00A66903" w:rsidRPr="00B566E2">
        <w:rPr>
          <w:rStyle w:val="Emphasis"/>
          <w:rFonts w:ascii="Times New Roman" w:hAnsi="Times New Roman"/>
          <w:i w:val="0"/>
          <w:sz w:val="28"/>
          <w:szCs w:val="28"/>
          <w:shd w:val="clear" w:color="auto" w:fill="FFFFFF"/>
          <w:lang w:val="en-GB"/>
        </w:rPr>
        <w:t>-</w:t>
      </w:r>
      <w:r w:rsidRPr="00B566E2">
        <w:rPr>
          <w:rStyle w:val="Emphasis"/>
          <w:rFonts w:ascii="Times New Roman" w:hAnsi="Times New Roman"/>
          <w:i w:val="0"/>
          <w:sz w:val="28"/>
          <w:szCs w:val="28"/>
          <w:shd w:val="clear" w:color="auto" w:fill="FFFFFF"/>
          <w:lang w:val="en-GB"/>
        </w:rPr>
        <w:t>ful</w:t>
      </w:r>
      <w:r w:rsidR="00A66903" w:rsidRPr="00B566E2">
        <w:rPr>
          <w:rStyle w:val="Emphasis"/>
          <w:rFonts w:ascii="Times New Roman" w:hAnsi="Times New Roman"/>
          <w:i w:val="0"/>
          <w:sz w:val="28"/>
          <w:szCs w:val="28"/>
          <w:shd w:val="clear" w:color="auto" w:fill="FFFFFF"/>
          <w:lang w:val="en-GB"/>
        </w:rPr>
        <w:t>l</w:t>
      </w:r>
      <w:r w:rsidRPr="00B566E2">
        <w:rPr>
          <w:rStyle w:val="Emphasis"/>
          <w:rFonts w:ascii="Times New Roman" w:hAnsi="Times New Roman"/>
          <w:i w:val="0"/>
          <w:sz w:val="28"/>
          <w:szCs w:val="28"/>
          <w:shd w:val="clear" w:color="auto" w:fill="FFFFFF"/>
          <w:lang w:val="en-GB"/>
        </w:rPr>
        <w:t xml:space="preserve"> activities as found in the case of </w:t>
      </w:r>
      <w:r w:rsidRPr="00B566E2">
        <w:rPr>
          <w:rStyle w:val="Emphasis"/>
          <w:rFonts w:ascii="Times New Roman" w:hAnsi="Times New Roman"/>
          <w:sz w:val="28"/>
          <w:szCs w:val="28"/>
          <w:shd w:val="clear" w:color="auto" w:fill="FFFFFF"/>
          <w:lang w:val="en-GB"/>
        </w:rPr>
        <w:t>Watt v Hertfordshire County Council [1954]</w:t>
      </w:r>
      <w:r w:rsidRPr="00B566E2">
        <w:rPr>
          <w:rStyle w:val="Emphasis"/>
          <w:rFonts w:ascii="Times New Roman" w:hAnsi="Times New Roman"/>
          <w:i w:val="0"/>
          <w:sz w:val="28"/>
          <w:szCs w:val="28"/>
          <w:shd w:val="clear" w:color="auto" w:fill="FFFFFF"/>
          <w:lang w:val="en-GB"/>
        </w:rPr>
        <w:t xml:space="preserve">, it is fair to them because they are supposed to handle the emergency situation while it is also fair for providing value to the society by safeguarding the people from the vulnerable emergency situation. Besides exceptional cases like unforeseeable risks, the standard of care is found to be flexible as well as fair in all ways for claimants and defendants because the defendants including professionals are following standard customs with some flexibility according to the situational need to serve their duties and claimants including patients and the general public are gaining benefits of </w:t>
      </w:r>
      <w:r w:rsidRPr="00B566E2">
        <w:rPr>
          <w:rStyle w:val="Emphasis"/>
          <w:rFonts w:ascii="Times New Roman" w:hAnsi="Times New Roman"/>
          <w:i w:val="0"/>
          <w:sz w:val="28"/>
          <w:szCs w:val="28"/>
          <w:shd w:val="clear" w:color="auto" w:fill="FFFFFF"/>
          <w:lang w:val="en-GB"/>
        </w:rPr>
        <w:lastRenderedPageBreak/>
        <w:t>standard care with proper consent and they has the right of suing the professional in the court in case of downfall of standard care practices.</w:t>
      </w:r>
    </w:p>
    <w:p w14:paraId="2AC000B1" w14:textId="77777777" w:rsidR="00945D91" w:rsidRPr="00B566E2" w:rsidRDefault="00945D91" w:rsidP="00945D91">
      <w:pPr>
        <w:spacing w:after="0" w:line="480" w:lineRule="auto"/>
        <w:jc w:val="both"/>
        <w:rPr>
          <w:rStyle w:val="Emphasis"/>
          <w:rFonts w:ascii="Times New Roman" w:hAnsi="Times New Roman"/>
          <w:i w:val="0"/>
          <w:sz w:val="28"/>
          <w:szCs w:val="28"/>
          <w:shd w:val="clear" w:color="auto" w:fill="FFFFFF"/>
          <w:lang w:val="en-GB"/>
        </w:rPr>
      </w:pPr>
      <w:r w:rsidRPr="00B566E2">
        <w:rPr>
          <w:rFonts w:ascii="Times New Roman" w:hAnsi="Times New Roman"/>
          <w:sz w:val="28"/>
          <w:szCs w:val="28"/>
          <w:shd w:val="clear" w:color="auto" w:fill="FFFFFF"/>
          <w:lang w:val="en-GB"/>
        </w:rPr>
        <w:t> </w:t>
      </w:r>
    </w:p>
    <w:p w14:paraId="22E74B50" w14:textId="77777777" w:rsidR="00945D91" w:rsidRPr="00B566E2" w:rsidRDefault="00945D91" w:rsidP="00945D91">
      <w:pPr>
        <w:spacing w:after="0" w:line="480" w:lineRule="auto"/>
        <w:jc w:val="both"/>
        <w:rPr>
          <w:rStyle w:val="Emphasis"/>
          <w:rFonts w:ascii="Times New Roman" w:hAnsi="Times New Roman"/>
          <w:i w:val="0"/>
          <w:sz w:val="28"/>
          <w:szCs w:val="28"/>
          <w:shd w:val="clear" w:color="auto" w:fill="FFFFFF"/>
          <w:lang w:val="en-GB"/>
        </w:rPr>
      </w:pPr>
    </w:p>
    <w:p w14:paraId="1E40FAB4" w14:textId="77777777" w:rsidR="00945D91" w:rsidRPr="00B566E2" w:rsidRDefault="00945D91" w:rsidP="00945D91">
      <w:pPr>
        <w:spacing w:after="0" w:line="480" w:lineRule="auto"/>
        <w:rPr>
          <w:rFonts w:ascii="Times New Roman" w:hAnsi="Times New Roman"/>
          <w:bCs/>
          <w:sz w:val="28"/>
          <w:szCs w:val="28"/>
          <w:lang w:val="en-GB"/>
        </w:rPr>
      </w:pPr>
    </w:p>
    <w:p w14:paraId="3DDE9F89" w14:textId="77777777" w:rsidR="00945D91" w:rsidRPr="00215D13" w:rsidRDefault="00945D91" w:rsidP="00945D91">
      <w:pPr>
        <w:pStyle w:val="Heading1"/>
        <w:spacing w:before="0" w:after="0" w:line="480" w:lineRule="auto"/>
        <w:rPr>
          <w:rFonts w:ascii="Times New Roman" w:hAnsi="Times New Roman"/>
          <w:color w:val="1F497D"/>
          <w:sz w:val="28"/>
          <w:szCs w:val="28"/>
          <w:lang w:val="en-GB"/>
        </w:rPr>
      </w:pPr>
      <w:r w:rsidRPr="00B566E2">
        <w:rPr>
          <w:rFonts w:ascii="Times New Roman" w:hAnsi="Times New Roman"/>
          <w:sz w:val="28"/>
          <w:szCs w:val="28"/>
          <w:lang w:val="en-GB"/>
        </w:rPr>
        <w:br w:type="page"/>
      </w:r>
      <w:r w:rsidRPr="00215D13">
        <w:rPr>
          <w:rFonts w:ascii="Times New Roman" w:hAnsi="Times New Roman"/>
          <w:color w:val="1F497D"/>
          <w:sz w:val="28"/>
          <w:szCs w:val="28"/>
          <w:lang w:val="en-GB"/>
        </w:rPr>
        <w:lastRenderedPageBreak/>
        <w:t>References</w:t>
      </w:r>
    </w:p>
    <w:p w14:paraId="209B23F0"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Bailey, S.H., Jones, B.L. and Mowbray, A.R. 2005. </w:t>
      </w:r>
      <w:r w:rsidRPr="006F5DEC">
        <w:rPr>
          <w:rFonts w:ascii="Times New Roman" w:eastAsia="Calibri" w:hAnsi="Times New Roman"/>
          <w:i/>
          <w:iCs/>
          <w:sz w:val="24"/>
          <w:szCs w:val="24"/>
          <w:lang w:val="en-GB" w:eastAsia="en-US" w:bidi="hi-IN"/>
        </w:rPr>
        <w:t>Cases, materials and commentary on administrative law</w:t>
      </w:r>
      <w:r w:rsidRPr="006F5DEC">
        <w:rPr>
          <w:rFonts w:ascii="Times New Roman" w:eastAsia="Calibri" w:hAnsi="Times New Roman"/>
          <w:sz w:val="24"/>
          <w:szCs w:val="24"/>
          <w:lang w:val="en-GB" w:eastAsia="en-US" w:bidi="hi-IN"/>
        </w:rPr>
        <w:t>. Mytholmroyd: Sweet &amp; Maxwell.</w:t>
      </w:r>
    </w:p>
    <w:p w14:paraId="7ABE6781" w14:textId="07872AE1" w:rsidR="00945D91" w:rsidRPr="006F5DEC" w:rsidRDefault="00945D91" w:rsidP="00945D91">
      <w:pPr>
        <w:spacing w:after="0" w:line="480" w:lineRule="auto"/>
        <w:ind w:left="720" w:hanging="720"/>
        <w:rPr>
          <w:rFonts w:ascii="Times New Roman" w:hAnsi="Times New Roman"/>
          <w:sz w:val="24"/>
          <w:szCs w:val="24"/>
          <w:lang w:val="en-GB"/>
        </w:rPr>
      </w:pPr>
      <w:r w:rsidRPr="006F5DEC">
        <w:rPr>
          <w:rFonts w:ascii="Times New Roman" w:hAnsi="Times New Roman"/>
          <w:sz w:val="24"/>
          <w:szCs w:val="24"/>
          <w:lang w:val="en-GB"/>
        </w:rPr>
        <w:t xml:space="preserve">Cappellino, A. 2021. The Standard of Care for Medical Malpractice: What You Need to Know. [Online]. Available at: </w:t>
      </w:r>
      <w:hyperlink r:id="rId7" w:history="1">
        <w:r w:rsidRPr="006F5DEC">
          <w:rPr>
            <w:rStyle w:val="Hyperlink"/>
            <w:rFonts w:ascii="Times New Roman" w:hAnsi="Times New Roman"/>
            <w:color w:val="auto"/>
            <w:sz w:val="24"/>
            <w:szCs w:val="24"/>
            <w:lang w:val="en-GB"/>
          </w:rPr>
          <w:t>https://www.expertinstitute.com/resources/insights/standard-care-medical-malpractice-need-know/</w:t>
        </w:r>
      </w:hyperlink>
      <w:r w:rsidRPr="006F5DEC">
        <w:rPr>
          <w:rFonts w:ascii="Times New Roman" w:hAnsi="Times New Roman"/>
          <w:sz w:val="24"/>
          <w:szCs w:val="24"/>
          <w:lang w:val="en-GB"/>
        </w:rPr>
        <w:t xml:space="preserve"> [Accessed on: 2</w:t>
      </w:r>
      <w:r w:rsidR="00EB71E6" w:rsidRPr="006F5DEC">
        <w:rPr>
          <w:rFonts w:ascii="Times New Roman" w:hAnsi="Times New Roman"/>
          <w:sz w:val="24"/>
          <w:szCs w:val="24"/>
          <w:vertAlign w:val="superscript"/>
          <w:lang w:val="en-GB"/>
        </w:rPr>
        <w:t>nd</w:t>
      </w:r>
      <w:r w:rsidR="00EB71E6" w:rsidRPr="006F5DEC">
        <w:rPr>
          <w:rFonts w:ascii="Times New Roman" w:hAnsi="Times New Roman"/>
          <w:sz w:val="24"/>
          <w:szCs w:val="24"/>
          <w:lang w:val="en-GB"/>
        </w:rPr>
        <w:t xml:space="preserve"> November</w:t>
      </w:r>
      <w:r w:rsidRPr="006F5DEC">
        <w:rPr>
          <w:rFonts w:ascii="Times New Roman" w:hAnsi="Times New Roman"/>
          <w:sz w:val="24"/>
          <w:szCs w:val="24"/>
          <w:lang w:val="en-GB"/>
        </w:rPr>
        <w:t xml:space="preserve"> 2021].</w:t>
      </w:r>
    </w:p>
    <w:p w14:paraId="7595BE57"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Cornock, M. 2021. </w:t>
      </w:r>
      <w:r w:rsidRPr="006F5DEC">
        <w:rPr>
          <w:rFonts w:ascii="Times New Roman" w:eastAsia="Calibri" w:hAnsi="Times New Roman"/>
          <w:i/>
          <w:iCs/>
          <w:sz w:val="24"/>
          <w:szCs w:val="24"/>
          <w:lang w:val="en-GB" w:eastAsia="en-US" w:bidi="hi-IN"/>
        </w:rPr>
        <w:t>Key Questions in Healthcare Law and Ethics</w:t>
      </w:r>
      <w:r w:rsidRPr="006F5DEC">
        <w:rPr>
          <w:rFonts w:ascii="Times New Roman" w:eastAsia="Calibri" w:hAnsi="Times New Roman"/>
          <w:sz w:val="24"/>
          <w:szCs w:val="24"/>
          <w:lang w:val="en-GB" w:eastAsia="en-US" w:bidi="hi-IN"/>
        </w:rPr>
        <w:t>. Sage: California.</w:t>
      </w:r>
    </w:p>
    <w:p w14:paraId="0CB400D3" w14:textId="77777777" w:rsidR="00945D91" w:rsidRPr="006F5DEC" w:rsidRDefault="00945D91" w:rsidP="00945D91">
      <w:pPr>
        <w:spacing w:after="0" w:line="480" w:lineRule="auto"/>
        <w:ind w:left="720" w:hanging="720"/>
        <w:rPr>
          <w:rFonts w:ascii="Times New Roman" w:hAnsi="Times New Roman"/>
          <w:sz w:val="24"/>
          <w:szCs w:val="24"/>
          <w:shd w:val="clear" w:color="auto" w:fill="FFFFFF"/>
          <w:lang w:val="en-GB"/>
        </w:rPr>
      </w:pPr>
      <w:r w:rsidRPr="006F5DEC">
        <w:rPr>
          <w:rFonts w:ascii="Times New Roman" w:hAnsi="Times New Roman"/>
          <w:sz w:val="24"/>
          <w:szCs w:val="24"/>
          <w:shd w:val="clear" w:color="auto" w:fill="FFFFFF"/>
          <w:lang w:val="en-GB"/>
        </w:rPr>
        <w:t>Dowie, I. 2020. Understanding the standard of care required by nurses. </w:t>
      </w:r>
      <w:r w:rsidRPr="006F5DEC">
        <w:rPr>
          <w:rFonts w:ascii="Times New Roman" w:hAnsi="Times New Roman"/>
          <w:i/>
          <w:iCs/>
          <w:sz w:val="24"/>
          <w:szCs w:val="24"/>
          <w:shd w:val="clear" w:color="auto" w:fill="FFFFFF"/>
          <w:lang w:val="en-GB"/>
        </w:rPr>
        <w:t>Nursing standard (Royal College of Nursing (Great Britain): 1987)</w:t>
      </w:r>
      <w:r w:rsidRPr="006F5DEC">
        <w:rPr>
          <w:rFonts w:ascii="Times New Roman" w:hAnsi="Times New Roman"/>
          <w:sz w:val="24"/>
          <w:szCs w:val="24"/>
          <w:shd w:val="clear" w:color="auto" w:fill="FFFFFF"/>
          <w:lang w:val="en-GB"/>
        </w:rPr>
        <w:t xml:space="preserve"> </w:t>
      </w:r>
      <w:r w:rsidRPr="006F5DEC">
        <w:rPr>
          <w:rFonts w:ascii="Times New Roman" w:hAnsi="Times New Roman"/>
          <w:iCs/>
          <w:sz w:val="24"/>
          <w:szCs w:val="24"/>
          <w:shd w:val="clear" w:color="auto" w:fill="FFFFFF"/>
          <w:lang w:val="en-GB"/>
        </w:rPr>
        <w:t>35</w:t>
      </w:r>
      <w:r w:rsidRPr="006F5DEC">
        <w:rPr>
          <w:rFonts w:ascii="Times New Roman" w:hAnsi="Times New Roman"/>
          <w:sz w:val="24"/>
          <w:szCs w:val="24"/>
          <w:shd w:val="clear" w:color="auto" w:fill="FFFFFF"/>
          <w:lang w:val="en-GB"/>
        </w:rPr>
        <w:t>(4), pp. 29-34.</w:t>
      </w:r>
    </w:p>
    <w:p w14:paraId="709063CF"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Fanning, J. 2017. Mental Capacity as a Concept in Negligence: Against an Insanity Defence. </w:t>
      </w:r>
      <w:r w:rsidRPr="006F5DEC">
        <w:rPr>
          <w:rFonts w:ascii="Times New Roman" w:eastAsia="Calibri" w:hAnsi="Times New Roman"/>
          <w:i/>
          <w:iCs/>
          <w:sz w:val="24"/>
          <w:szCs w:val="24"/>
          <w:lang w:val="en-GB" w:eastAsia="en-US" w:bidi="hi-IN"/>
        </w:rPr>
        <w:t>Psychiatry, Psychology and Law</w:t>
      </w:r>
      <w:r w:rsidRPr="006F5DEC">
        <w:rPr>
          <w:rFonts w:ascii="Times New Roman" w:eastAsia="Calibri" w:hAnsi="Times New Roman"/>
          <w:sz w:val="24"/>
          <w:szCs w:val="24"/>
          <w:lang w:val="en-GB" w:eastAsia="en-US" w:bidi="hi-IN"/>
        </w:rPr>
        <w:t xml:space="preserve"> 24(5), pp.694-714.</w:t>
      </w:r>
    </w:p>
    <w:p w14:paraId="6E51EF23" w14:textId="77777777" w:rsidR="00945D91" w:rsidRPr="006F5DEC" w:rsidRDefault="00945D91" w:rsidP="00945D91">
      <w:pPr>
        <w:spacing w:after="0" w:line="480" w:lineRule="auto"/>
        <w:ind w:left="720" w:hanging="720"/>
        <w:rPr>
          <w:rFonts w:ascii="Times New Roman" w:hAnsi="Times New Roman"/>
          <w:sz w:val="24"/>
          <w:szCs w:val="24"/>
          <w:shd w:val="clear" w:color="auto" w:fill="FFFFFF"/>
          <w:lang w:val="en-GB"/>
        </w:rPr>
      </w:pPr>
      <w:r w:rsidRPr="006F5DEC">
        <w:rPr>
          <w:rFonts w:ascii="Times New Roman" w:hAnsi="Times New Roman"/>
          <w:sz w:val="24"/>
          <w:szCs w:val="24"/>
          <w:shd w:val="clear" w:color="auto" w:fill="FFFFFF"/>
          <w:lang w:val="en-GB"/>
        </w:rPr>
        <w:t>Gafurova, N., Khidoyatov, B. and Sunnatov, V. 2020. Criminal responsibility of medical workers: national and foreign experience. </w:t>
      </w:r>
      <w:r w:rsidRPr="006F5DEC">
        <w:rPr>
          <w:rFonts w:ascii="Times New Roman" w:hAnsi="Times New Roman"/>
          <w:i/>
          <w:iCs/>
          <w:sz w:val="24"/>
          <w:szCs w:val="24"/>
          <w:shd w:val="clear" w:color="auto" w:fill="FFFFFF"/>
          <w:lang w:val="en-GB"/>
        </w:rPr>
        <w:t>International Journal of Pharmaceutical Research</w:t>
      </w:r>
      <w:r w:rsidRPr="006F5DEC">
        <w:rPr>
          <w:rFonts w:ascii="Times New Roman" w:hAnsi="Times New Roman"/>
          <w:sz w:val="24"/>
          <w:szCs w:val="24"/>
          <w:shd w:val="clear" w:color="auto" w:fill="FFFFFF"/>
          <w:lang w:val="en-GB"/>
        </w:rPr>
        <w:t> </w:t>
      </w:r>
      <w:r w:rsidRPr="006F5DEC">
        <w:rPr>
          <w:rFonts w:ascii="Times New Roman" w:hAnsi="Times New Roman"/>
          <w:iCs/>
          <w:sz w:val="24"/>
          <w:szCs w:val="24"/>
          <w:shd w:val="clear" w:color="auto" w:fill="FFFFFF"/>
          <w:lang w:val="en-GB"/>
        </w:rPr>
        <w:t>12</w:t>
      </w:r>
      <w:r w:rsidRPr="006F5DEC">
        <w:rPr>
          <w:rFonts w:ascii="Times New Roman" w:hAnsi="Times New Roman"/>
          <w:sz w:val="24"/>
          <w:szCs w:val="24"/>
          <w:shd w:val="clear" w:color="auto" w:fill="FFFFFF"/>
          <w:lang w:val="en-GB"/>
        </w:rPr>
        <w:t>(2), p. 157.</w:t>
      </w:r>
    </w:p>
    <w:p w14:paraId="58500421" w14:textId="77777777" w:rsidR="00945D91" w:rsidRPr="006F5DEC" w:rsidRDefault="00945D91" w:rsidP="00945D91">
      <w:pPr>
        <w:spacing w:after="0" w:line="480" w:lineRule="auto"/>
        <w:ind w:left="720" w:hanging="720"/>
        <w:rPr>
          <w:rFonts w:ascii="Times New Roman" w:hAnsi="Times New Roman"/>
          <w:sz w:val="24"/>
          <w:szCs w:val="24"/>
          <w:lang w:val="en-GB"/>
        </w:rPr>
      </w:pPr>
      <w:r w:rsidRPr="006F5DEC">
        <w:rPr>
          <w:rFonts w:ascii="Times New Roman" w:hAnsi="Times New Roman"/>
          <w:sz w:val="24"/>
          <w:szCs w:val="24"/>
          <w:shd w:val="clear" w:color="auto" w:fill="FFFFFF"/>
          <w:lang w:val="en-GB"/>
        </w:rPr>
        <w:t>Griffith, R. 2020. Duty, indemnity and immunity during the COVID-19 pandemic. </w:t>
      </w:r>
      <w:r w:rsidRPr="006F5DEC">
        <w:rPr>
          <w:rFonts w:ascii="Times New Roman" w:hAnsi="Times New Roman"/>
          <w:i/>
          <w:iCs/>
          <w:sz w:val="24"/>
          <w:szCs w:val="24"/>
          <w:shd w:val="clear" w:color="auto" w:fill="FFFFFF"/>
          <w:lang w:val="en-GB"/>
        </w:rPr>
        <w:t>British Journal of Nursing</w:t>
      </w:r>
      <w:r w:rsidRPr="006F5DEC">
        <w:rPr>
          <w:rFonts w:ascii="Times New Roman" w:hAnsi="Times New Roman"/>
          <w:sz w:val="24"/>
          <w:szCs w:val="24"/>
          <w:shd w:val="clear" w:color="auto" w:fill="FFFFFF"/>
          <w:lang w:val="en-GB"/>
        </w:rPr>
        <w:t xml:space="preserve"> </w:t>
      </w:r>
      <w:r w:rsidRPr="006F5DEC">
        <w:rPr>
          <w:rFonts w:ascii="Times New Roman" w:hAnsi="Times New Roman"/>
          <w:iCs/>
          <w:sz w:val="24"/>
          <w:szCs w:val="24"/>
          <w:shd w:val="clear" w:color="auto" w:fill="FFFFFF"/>
          <w:lang w:val="en-GB"/>
        </w:rPr>
        <w:t>29</w:t>
      </w:r>
      <w:r w:rsidRPr="006F5DEC">
        <w:rPr>
          <w:rFonts w:ascii="Times New Roman" w:hAnsi="Times New Roman"/>
          <w:sz w:val="24"/>
          <w:szCs w:val="24"/>
          <w:shd w:val="clear" w:color="auto" w:fill="FFFFFF"/>
          <w:lang w:val="en-GB"/>
        </w:rPr>
        <w:t>(9), pp. 537-538.</w:t>
      </w:r>
    </w:p>
    <w:p w14:paraId="10BB4DEB"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Harlow, C. 2005. </w:t>
      </w:r>
      <w:r w:rsidRPr="006F5DEC">
        <w:rPr>
          <w:rFonts w:ascii="Times New Roman" w:eastAsia="Calibri" w:hAnsi="Times New Roman"/>
          <w:i/>
          <w:iCs/>
          <w:sz w:val="24"/>
          <w:szCs w:val="24"/>
          <w:lang w:val="en-GB" w:eastAsia="en-US" w:bidi="hi-IN"/>
        </w:rPr>
        <w:t>Understanding Tort Law</w:t>
      </w:r>
      <w:r w:rsidRPr="006F5DEC">
        <w:rPr>
          <w:rFonts w:ascii="Times New Roman" w:eastAsia="Calibri" w:hAnsi="Times New Roman"/>
          <w:sz w:val="24"/>
          <w:szCs w:val="24"/>
          <w:lang w:val="en-GB" w:eastAsia="en-US" w:bidi="hi-IN"/>
        </w:rPr>
        <w:t xml:space="preserve">. Mytholmroyd: Sweet &amp; Maxwell. </w:t>
      </w:r>
    </w:p>
    <w:p w14:paraId="7CA8E15F"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Harpwood, V.H. 2005. </w:t>
      </w:r>
      <w:r w:rsidRPr="006F5DEC">
        <w:rPr>
          <w:rFonts w:ascii="Times New Roman" w:eastAsia="Calibri" w:hAnsi="Times New Roman"/>
          <w:i/>
          <w:iCs/>
          <w:sz w:val="24"/>
          <w:szCs w:val="24"/>
          <w:lang w:val="en-GB" w:eastAsia="en-US" w:bidi="hi-IN"/>
        </w:rPr>
        <w:t>Modern Tort Law 6/e</w:t>
      </w:r>
      <w:r w:rsidRPr="006F5DEC">
        <w:rPr>
          <w:rFonts w:ascii="Times New Roman" w:eastAsia="Calibri" w:hAnsi="Times New Roman"/>
          <w:sz w:val="24"/>
          <w:szCs w:val="24"/>
          <w:lang w:val="en-GB" w:eastAsia="en-US" w:bidi="hi-IN"/>
        </w:rPr>
        <w:t>. England: Taylor &amp; Francis Group.</w:t>
      </w:r>
    </w:p>
    <w:p w14:paraId="75DAF1C5"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Horsey, K. and Rackley, E. 2013. </w:t>
      </w:r>
      <w:r w:rsidRPr="006F5DEC">
        <w:rPr>
          <w:rFonts w:ascii="Times New Roman" w:eastAsia="Calibri" w:hAnsi="Times New Roman"/>
          <w:i/>
          <w:iCs/>
          <w:sz w:val="24"/>
          <w:szCs w:val="24"/>
          <w:lang w:val="en-GB" w:eastAsia="en-US" w:bidi="hi-IN"/>
        </w:rPr>
        <w:t>Tort Law</w:t>
      </w:r>
      <w:r w:rsidRPr="006F5DEC">
        <w:rPr>
          <w:rFonts w:ascii="Times New Roman" w:eastAsia="Calibri" w:hAnsi="Times New Roman"/>
          <w:sz w:val="24"/>
          <w:szCs w:val="24"/>
          <w:lang w:val="en-GB" w:eastAsia="en-US" w:bidi="hi-IN"/>
        </w:rPr>
        <w:t>. OUP Oxford.</w:t>
      </w:r>
    </w:p>
    <w:p w14:paraId="6B7A00EF"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Horsey, K. and Rackley, E. 2021. </w:t>
      </w:r>
      <w:r w:rsidRPr="006F5DEC">
        <w:rPr>
          <w:rFonts w:ascii="Times New Roman" w:eastAsia="Calibri" w:hAnsi="Times New Roman"/>
          <w:i/>
          <w:iCs/>
          <w:sz w:val="24"/>
          <w:szCs w:val="24"/>
          <w:lang w:val="en-GB" w:eastAsia="en-US" w:bidi="hi-IN"/>
        </w:rPr>
        <w:t>Tort Law</w:t>
      </w:r>
      <w:r w:rsidRPr="006F5DEC">
        <w:rPr>
          <w:rFonts w:ascii="Times New Roman" w:eastAsia="Calibri" w:hAnsi="Times New Roman"/>
          <w:sz w:val="24"/>
          <w:szCs w:val="24"/>
          <w:lang w:val="en-GB" w:eastAsia="en-US" w:bidi="hi-IN"/>
        </w:rPr>
        <w:t>. Oxford: Oxford University Press.</w:t>
      </w:r>
    </w:p>
    <w:p w14:paraId="4282C018"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Howarth, D., Matthews, M., Morgan, J., O'Sullivan, J. and Tofaris, S. 2016. </w:t>
      </w:r>
      <w:r w:rsidRPr="006F5DEC">
        <w:rPr>
          <w:rFonts w:ascii="Times New Roman" w:eastAsia="Calibri" w:hAnsi="Times New Roman"/>
          <w:i/>
          <w:iCs/>
          <w:sz w:val="24"/>
          <w:szCs w:val="24"/>
          <w:lang w:val="en-GB" w:eastAsia="en-US" w:bidi="hi-IN"/>
        </w:rPr>
        <w:t>Hepple and Matthews' Tort Law: Cases and Materials</w:t>
      </w:r>
      <w:r w:rsidRPr="006F5DEC">
        <w:rPr>
          <w:rFonts w:ascii="Times New Roman" w:eastAsia="Calibri" w:hAnsi="Times New Roman"/>
          <w:sz w:val="24"/>
          <w:szCs w:val="24"/>
          <w:lang w:val="en-GB" w:eastAsia="en-US" w:bidi="hi-IN"/>
        </w:rPr>
        <w:t>. Bloomsbury Publishing.</w:t>
      </w:r>
    </w:p>
    <w:p w14:paraId="2D102885"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lastRenderedPageBreak/>
        <w:t xml:space="preserve">Ipsaloquitur. 2021. Bolitho v City and Hackney Health Authority. [Online]. Available at: </w:t>
      </w:r>
      <w:hyperlink r:id="rId8" w:history="1">
        <w:r w:rsidRPr="006F5DEC">
          <w:rPr>
            <w:rStyle w:val="Hyperlink"/>
            <w:rFonts w:ascii="Times New Roman" w:eastAsia="Calibri" w:hAnsi="Times New Roman"/>
            <w:color w:val="auto"/>
            <w:sz w:val="24"/>
            <w:szCs w:val="24"/>
            <w:lang w:val="en-GB" w:eastAsia="en-US" w:bidi="hi-IN"/>
          </w:rPr>
          <w:t>https://ipsaloquitur.com/tort-law/cases/bolitho-v-city-hackney-health-authority/</w:t>
        </w:r>
      </w:hyperlink>
      <w:r w:rsidRPr="006F5DEC">
        <w:rPr>
          <w:rFonts w:ascii="Times New Roman" w:eastAsia="Calibri" w:hAnsi="Times New Roman"/>
          <w:sz w:val="24"/>
          <w:szCs w:val="24"/>
          <w:lang w:val="en-GB" w:eastAsia="en-US" w:bidi="hi-IN"/>
        </w:rPr>
        <w:t xml:space="preserve"> [Accessed on: 03 November 2021].</w:t>
      </w:r>
    </w:p>
    <w:p w14:paraId="5FEF3AF3"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Jerjes, W., Mahil, J. and Upile, T. 2011. English law for the surgeon II: Clinical negligence. </w:t>
      </w:r>
      <w:r w:rsidRPr="006F5DEC">
        <w:rPr>
          <w:rFonts w:ascii="Times New Roman" w:eastAsia="Calibri" w:hAnsi="Times New Roman"/>
          <w:i/>
          <w:sz w:val="24"/>
          <w:szCs w:val="24"/>
          <w:lang w:val="en-GB" w:eastAsia="en-US" w:bidi="hi-IN"/>
        </w:rPr>
        <w:t>Head &amp; neck oncology</w:t>
      </w:r>
      <w:r w:rsidRPr="006F5DEC">
        <w:rPr>
          <w:rFonts w:ascii="Times New Roman" w:eastAsia="Calibri" w:hAnsi="Times New Roman"/>
          <w:sz w:val="24"/>
          <w:szCs w:val="24"/>
          <w:lang w:val="en-GB" w:eastAsia="en-US" w:bidi="hi-IN"/>
        </w:rPr>
        <w:t xml:space="preserve"> 3(1), pp.1-6.</w:t>
      </w:r>
    </w:p>
    <w:p w14:paraId="77B564CD"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Kelly, D., Hammer, R. and Hendy, J. 2017. </w:t>
      </w:r>
      <w:r w:rsidRPr="006F5DEC">
        <w:rPr>
          <w:rFonts w:ascii="Times New Roman" w:eastAsia="Calibri" w:hAnsi="Times New Roman"/>
          <w:i/>
          <w:iCs/>
          <w:sz w:val="24"/>
          <w:szCs w:val="24"/>
          <w:lang w:val="en-GB" w:eastAsia="en-US" w:bidi="hi-IN"/>
        </w:rPr>
        <w:t>Business Law</w:t>
      </w:r>
      <w:r w:rsidRPr="006F5DEC">
        <w:rPr>
          <w:rFonts w:ascii="Times New Roman" w:eastAsia="Calibri" w:hAnsi="Times New Roman"/>
          <w:sz w:val="24"/>
          <w:szCs w:val="24"/>
          <w:lang w:val="en-GB" w:eastAsia="en-US" w:bidi="hi-IN"/>
        </w:rPr>
        <w:t>. Engand: Taylor &amp; Francis.</w:t>
      </w:r>
    </w:p>
    <w:p w14:paraId="04E8F53A" w14:textId="77777777" w:rsidR="00945D91" w:rsidRPr="006F5DEC" w:rsidRDefault="00945D91" w:rsidP="00945D91">
      <w:pPr>
        <w:spacing w:after="0" w:line="480" w:lineRule="auto"/>
        <w:ind w:left="720" w:hanging="720"/>
        <w:rPr>
          <w:rFonts w:ascii="Times New Roman" w:hAnsi="Times New Roman"/>
          <w:sz w:val="24"/>
          <w:szCs w:val="24"/>
          <w:lang w:val="en-GB"/>
        </w:rPr>
      </w:pPr>
      <w:r w:rsidRPr="006F5DEC">
        <w:rPr>
          <w:rFonts w:ascii="Times New Roman" w:hAnsi="Times New Roman"/>
          <w:sz w:val="24"/>
          <w:szCs w:val="24"/>
          <w:shd w:val="clear" w:color="auto" w:fill="FFFFFF"/>
          <w:lang w:val="en-GB"/>
        </w:rPr>
        <w:t xml:space="preserve">Legislation.gov.uk. 2021. Social Action, Responsibility and Heroism Act 2015. </w:t>
      </w:r>
      <w:r w:rsidRPr="006F5DEC">
        <w:rPr>
          <w:rFonts w:ascii="Times New Roman" w:hAnsi="Times New Roman"/>
          <w:sz w:val="24"/>
          <w:szCs w:val="24"/>
          <w:lang w:val="en-GB"/>
        </w:rPr>
        <w:t xml:space="preserve">). [Online]. Available at: </w:t>
      </w:r>
      <w:hyperlink r:id="rId9" w:history="1">
        <w:r w:rsidRPr="006F5DEC">
          <w:rPr>
            <w:rStyle w:val="Hyperlink"/>
            <w:rFonts w:ascii="Times New Roman" w:hAnsi="Times New Roman"/>
            <w:color w:val="auto"/>
            <w:sz w:val="24"/>
            <w:szCs w:val="24"/>
            <w:lang w:val="en-GB"/>
          </w:rPr>
          <w:t>https://www.legislation.gov.uk/ukpga/2015/3/contents/enacted</w:t>
        </w:r>
      </w:hyperlink>
      <w:r w:rsidRPr="006F5DEC">
        <w:rPr>
          <w:rFonts w:ascii="Times New Roman" w:hAnsi="Times New Roman"/>
          <w:sz w:val="24"/>
          <w:szCs w:val="24"/>
          <w:lang w:val="en-GB"/>
        </w:rPr>
        <w:t xml:space="preserve"> [Accessed on: 22 October 2021].</w:t>
      </w:r>
    </w:p>
    <w:p w14:paraId="78146325" w14:textId="77777777" w:rsidR="00945D91" w:rsidRPr="006F5DEC" w:rsidRDefault="00945D91" w:rsidP="00945D91">
      <w:pPr>
        <w:spacing w:after="0" w:line="480" w:lineRule="auto"/>
        <w:ind w:left="720" w:hanging="720"/>
        <w:rPr>
          <w:rFonts w:ascii="Times New Roman" w:hAnsi="Times New Roman"/>
          <w:sz w:val="24"/>
          <w:szCs w:val="24"/>
          <w:lang w:val="en-GB"/>
        </w:rPr>
      </w:pPr>
      <w:r w:rsidRPr="006F5DEC">
        <w:rPr>
          <w:rFonts w:ascii="Times New Roman" w:hAnsi="Times New Roman"/>
          <w:sz w:val="24"/>
          <w:szCs w:val="24"/>
          <w:lang w:val="en-GB"/>
        </w:rPr>
        <w:t xml:space="preserve">LexisNexis. 2021. Helling v. Carey - 83 Wash. 2d 514, 519 P.2d 981 (1974). [Online]. Available at: </w:t>
      </w:r>
      <w:hyperlink r:id="rId10" w:history="1">
        <w:r w:rsidRPr="006F5DEC">
          <w:rPr>
            <w:rStyle w:val="Hyperlink"/>
            <w:rFonts w:ascii="Times New Roman" w:hAnsi="Times New Roman"/>
            <w:color w:val="auto"/>
            <w:sz w:val="24"/>
            <w:szCs w:val="24"/>
            <w:lang w:val="en-GB"/>
          </w:rPr>
          <w:t>https://www.lexisnexis.com/community/casebrief/p/casebrief-helling-v-carey</w:t>
        </w:r>
      </w:hyperlink>
      <w:r w:rsidRPr="006F5DEC">
        <w:rPr>
          <w:rFonts w:ascii="Times New Roman" w:hAnsi="Times New Roman"/>
          <w:sz w:val="24"/>
          <w:szCs w:val="24"/>
          <w:lang w:val="en-GB"/>
        </w:rPr>
        <w:t xml:space="preserve"> [Accessed on: 22 October 2021].</w:t>
      </w:r>
    </w:p>
    <w:p w14:paraId="412C81AB" w14:textId="77777777" w:rsidR="00945D91" w:rsidRPr="006F5DEC" w:rsidRDefault="00945D91" w:rsidP="00945D91">
      <w:pPr>
        <w:spacing w:after="0" w:line="480" w:lineRule="auto"/>
        <w:ind w:left="720" w:hanging="720"/>
        <w:rPr>
          <w:rFonts w:ascii="Times New Roman" w:hAnsi="Times New Roman"/>
          <w:sz w:val="24"/>
          <w:szCs w:val="24"/>
          <w:lang w:val="en-GB"/>
        </w:rPr>
      </w:pPr>
      <w:r w:rsidRPr="006F5DEC">
        <w:rPr>
          <w:rFonts w:ascii="Times New Roman" w:hAnsi="Times New Roman"/>
          <w:sz w:val="24"/>
          <w:szCs w:val="24"/>
          <w:lang w:val="en-GB"/>
        </w:rPr>
        <w:t xml:space="preserve">LexisNexis. 2021a. Cordas v. Peerless Transp. Co. - 27 N.Y.S.2d 198 (City Ct. 1941) . [Online]. Available at: </w:t>
      </w:r>
      <w:hyperlink r:id="rId11" w:history="1">
        <w:r w:rsidRPr="006F5DEC">
          <w:rPr>
            <w:rStyle w:val="Hyperlink"/>
            <w:rFonts w:ascii="Times New Roman" w:hAnsi="Times New Roman"/>
            <w:color w:val="auto"/>
            <w:sz w:val="24"/>
            <w:szCs w:val="24"/>
            <w:lang w:val="en-GB"/>
          </w:rPr>
          <w:t>https://www.lexisnexis.com/community/casebrief/p/casebrief-cordas-v-peerless-transp-co</w:t>
        </w:r>
      </w:hyperlink>
      <w:r w:rsidRPr="006F5DEC">
        <w:rPr>
          <w:rFonts w:ascii="Times New Roman" w:hAnsi="Times New Roman"/>
          <w:sz w:val="24"/>
          <w:szCs w:val="24"/>
          <w:lang w:val="en-GB"/>
        </w:rPr>
        <w:t xml:space="preserve"> [Accessed on: 22 October 2021].</w:t>
      </w:r>
    </w:p>
    <w:p w14:paraId="63776771"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Lunney, M. and Oliphant, K. 2013. </w:t>
      </w:r>
      <w:r w:rsidRPr="006F5DEC">
        <w:rPr>
          <w:rFonts w:ascii="Times New Roman" w:eastAsia="Calibri" w:hAnsi="Times New Roman"/>
          <w:i/>
          <w:iCs/>
          <w:sz w:val="24"/>
          <w:szCs w:val="24"/>
          <w:lang w:val="en-GB" w:eastAsia="en-US" w:bidi="hi-IN"/>
        </w:rPr>
        <w:t>Tort Law: Text and Materials</w:t>
      </w:r>
      <w:r w:rsidRPr="006F5DEC">
        <w:rPr>
          <w:rFonts w:ascii="Times New Roman" w:eastAsia="Calibri" w:hAnsi="Times New Roman"/>
          <w:sz w:val="24"/>
          <w:szCs w:val="24"/>
          <w:lang w:val="en-GB" w:eastAsia="en-US" w:bidi="hi-IN"/>
        </w:rPr>
        <w:t>. Oxford: Oxford University Press.</w:t>
      </w:r>
    </w:p>
    <w:p w14:paraId="76C85096"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McBride, N.J. and Bagshaw, R. 2018. </w:t>
      </w:r>
      <w:r w:rsidRPr="006F5DEC">
        <w:rPr>
          <w:rFonts w:ascii="Times New Roman" w:eastAsia="Calibri" w:hAnsi="Times New Roman"/>
          <w:i/>
          <w:iCs/>
          <w:sz w:val="24"/>
          <w:szCs w:val="24"/>
          <w:lang w:val="en-GB" w:eastAsia="en-US" w:bidi="hi-IN"/>
        </w:rPr>
        <w:t>Tort Law</w:t>
      </w:r>
      <w:r w:rsidRPr="006F5DEC">
        <w:rPr>
          <w:rFonts w:ascii="Times New Roman" w:eastAsia="Calibri" w:hAnsi="Times New Roman"/>
          <w:sz w:val="24"/>
          <w:szCs w:val="24"/>
          <w:lang w:val="en-GB" w:eastAsia="en-US" w:bidi="hi-IN"/>
        </w:rPr>
        <w:t>. London: Pearson Education Limited.</w:t>
      </w:r>
    </w:p>
    <w:p w14:paraId="7DC871F7" w14:textId="77777777" w:rsidR="00945D91" w:rsidRPr="006F5DEC" w:rsidRDefault="00945D91" w:rsidP="00945D91">
      <w:pPr>
        <w:spacing w:after="0" w:line="480" w:lineRule="auto"/>
        <w:ind w:left="720" w:hanging="720"/>
        <w:rPr>
          <w:rFonts w:ascii="Times New Roman" w:hAnsi="Times New Roman"/>
          <w:bCs/>
          <w:sz w:val="24"/>
          <w:szCs w:val="24"/>
          <w:lang w:val="en-GB"/>
        </w:rPr>
      </w:pPr>
      <w:r w:rsidRPr="006F5DEC">
        <w:rPr>
          <w:rFonts w:ascii="Times New Roman" w:hAnsi="Times New Roman"/>
          <w:sz w:val="24"/>
          <w:szCs w:val="24"/>
          <w:shd w:val="clear" w:color="auto" w:fill="FFFFFF"/>
          <w:lang w:val="en-GB"/>
        </w:rPr>
        <w:t>Moffett, P. and Moore, G. 2011. The standard of care: legal history and definitions: the bad and good news. </w:t>
      </w:r>
      <w:r w:rsidRPr="006F5DEC">
        <w:rPr>
          <w:rFonts w:ascii="Times New Roman" w:hAnsi="Times New Roman"/>
          <w:i/>
          <w:iCs/>
          <w:sz w:val="24"/>
          <w:szCs w:val="24"/>
          <w:shd w:val="clear" w:color="auto" w:fill="FFFFFF"/>
          <w:lang w:val="en-GB"/>
        </w:rPr>
        <w:t>Western Journal of Emergency Medicine</w:t>
      </w:r>
      <w:r w:rsidRPr="006F5DEC">
        <w:rPr>
          <w:rFonts w:ascii="Times New Roman" w:hAnsi="Times New Roman"/>
          <w:sz w:val="24"/>
          <w:szCs w:val="24"/>
          <w:shd w:val="clear" w:color="auto" w:fill="FFFFFF"/>
          <w:lang w:val="en-GB"/>
        </w:rPr>
        <w:t xml:space="preserve"> </w:t>
      </w:r>
      <w:r w:rsidRPr="006F5DEC">
        <w:rPr>
          <w:rFonts w:ascii="Times New Roman" w:hAnsi="Times New Roman"/>
          <w:iCs/>
          <w:sz w:val="24"/>
          <w:szCs w:val="24"/>
          <w:shd w:val="clear" w:color="auto" w:fill="FFFFFF"/>
          <w:lang w:val="en-GB"/>
        </w:rPr>
        <w:t>12</w:t>
      </w:r>
      <w:r w:rsidRPr="006F5DEC">
        <w:rPr>
          <w:rFonts w:ascii="Times New Roman" w:hAnsi="Times New Roman"/>
          <w:sz w:val="24"/>
          <w:szCs w:val="24"/>
          <w:shd w:val="clear" w:color="auto" w:fill="FFFFFF"/>
          <w:lang w:val="en-GB"/>
        </w:rPr>
        <w:t>(1), p. 109.</w:t>
      </w:r>
    </w:p>
    <w:p w14:paraId="0DC90B17"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Mulheron, R. 2020. </w:t>
      </w:r>
      <w:r w:rsidRPr="006F5DEC">
        <w:rPr>
          <w:rFonts w:ascii="Times New Roman" w:eastAsia="Calibri" w:hAnsi="Times New Roman"/>
          <w:i/>
          <w:iCs/>
          <w:sz w:val="24"/>
          <w:szCs w:val="24"/>
          <w:lang w:val="en-GB" w:eastAsia="en-US" w:bidi="hi-IN"/>
        </w:rPr>
        <w:t>Principles of Tort Law</w:t>
      </w:r>
      <w:r w:rsidRPr="006F5DEC">
        <w:rPr>
          <w:rFonts w:ascii="Times New Roman" w:eastAsia="Calibri" w:hAnsi="Times New Roman"/>
          <w:sz w:val="24"/>
          <w:szCs w:val="24"/>
          <w:lang w:val="en-GB" w:eastAsia="en-US" w:bidi="hi-IN"/>
        </w:rPr>
        <w:t>. Cambridge University Press.</w:t>
      </w:r>
    </w:p>
    <w:p w14:paraId="74BB3CA8" w14:textId="77777777" w:rsidR="00945D91" w:rsidRPr="006F5DEC" w:rsidRDefault="00945D91" w:rsidP="00945D91">
      <w:pPr>
        <w:spacing w:after="0" w:line="480" w:lineRule="auto"/>
        <w:ind w:left="720" w:hanging="720"/>
        <w:rPr>
          <w:rFonts w:ascii="Times New Roman" w:hAnsi="Times New Roman"/>
          <w:sz w:val="24"/>
          <w:szCs w:val="24"/>
          <w:shd w:val="clear" w:color="auto" w:fill="FFFFFF"/>
          <w:lang w:val="en-GB"/>
        </w:rPr>
      </w:pPr>
      <w:r w:rsidRPr="006F5DEC">
        <w:rPr>
          <w:rFonts w:ascii="Times New Roman" w:hAnsi="Times New Roman"/>
          <w:sz w:val="24"/>
          <w:szCs w:val="24"/>
          <w:shd w:val="clear" w:color="auto" w:fill="FFFFFF"/>
          <w:lang w:val="en-GB"/>
        </w:rPr>
        <w:lastRenderedPageBreak/>
        <w:t>Peters, R.M., Hiemstra, J.T., Zijlstra, W.P., Bulstra, S.K. and Stevens, M. 2020. To mix or not to mix? Medicolegal implications of mixed components in total hip arthroplasty. </w:t>
      </w:r>
      <w:r w:rsidRPr="006F5DEC">
        <w:rPr>
          <w:rFonts w:ascii="Times New Roman" w:hAnsi="Times New Roman"/>
          <w:i/>
          <w:iCs/>
          <w:sz w:val="24"/>
          <w:szCs w:val="24"/>
          <w:shd w:val="clear" w:color="auto" w:fill="FFFFFF"/>
          <w:lang w:val="en-GB"/>
        </w:rPr>
        <w:t>Acta Orthopaedica</w:t>
      </w:r>
      <w:r w:rsidRPr="006F5DEC">
        <w:rPr>
          <w:rFonts w:ascii="Times New Roman" w:hAnsi="Times New Roman"/>
          <w:sz w:val="24"/>
          <w:szCs w:val="24"/>
          <w:shd w:val="clear" w:color="auto" w:fill="FFFFFF"/>
          <w:lang w:val="en-GB"/>
        </w:rPr>
        <w:t> </w:t>
      </w:r>
      <w:r w:rsidRPr="006F5DEC">
        <w:rPr>
          <w:rFonts w:ascii="Times New Roman" w:hAnsi="Times New Roman"/>
          <w:iCs/>
          <w:sz w:val="24"/>
          <w:szCs w:val="24"/>
          <w:shd w:val="clear" w:color="auto" w:fill="FFFFFF"/>
          <w:lang w:val="en-GB"/>
        </w:rPr>
        <w:t>91</w:t>
      </w:r>
      <w:r w:rsidRPr="006F5DEC">
        <w:rPr>
          <w:rFonts w:ascii="Times New Roman" w:hAnsi="Times New Roman"/>
          <w:sz w:val="24"/>
          <w:szCs w:val="24"/>
          <w:shd w:val="clear" w:color="auto" w:fill="FFFFFF"/>
          <w:lang w:val="en-GB"/>
        </w:rPr>
        <w:t>(6), pp. 624-626.</w:t>
      </w:r>
    </w:p>
    <w:p w14:paraId="4E12E7ED"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Pritchard, E. and Reeves, R. 2013. </w:t>
      </w:r>
      <w:r w:rsidRPr="006F5DEC">
        <w:rPr>
          <w:rFonts w:ascii="Times New Roman" w:eastAsia="Calibri" w:hAnsi="Times New Roman"/>
          <w:i/>
          <w:iCs/>
          <w:sz w:val="24"/>
          <w:szCs w:val="24"/>
          <w:lang w:val="en-GB" w:eastAsia="en-US" w:bidi="hi-IN"/>
        </w:rPr>
        <w:t>Quality Assurance and the Law</w:t>
      </w:r>
      <w:r w:rsidRPr="006F5DEC">
        <w:rPr>
          <w:rFonts w:ascii="Times New Roman" w:eastAsia="Calibri" w:hAnsi="Times New Roman"/>
          <w:sz w:val="24"/>
          <w:szCs w:val="24"/>
          <w:lang w:val="en-GB" w:eastAsia="en-US" w:bidi="hi-IN"/>
        </w:rPr>
        <w:t>. England: Taylor &amp; Francis Group.</w:t>
      </w:r>
    </w:p>
    <w:p w14:paraId="46584258" w14:textId="77777777" w:rsidR="00945D91" w:rsidRPr="006F5DEC" w:rsidRDefault="00945D91" w:rsidP="00945D91">
      <w:pPr>
        <w:spacing w:after="0" w:line="480" w:lineRule="auto"/>
        <w:ind w:left="720" w:hanging="720"/>
        <w:rPr>
          <w:rFonts w:ascii="Times New Roman" w:hAnsi="Times New Roman"/>
          <w:sz w:val="24"/>
          <w:szCs w:val="24"/>
          <w:shd w:val="clear" w:color="auto" w:fill="FFFFFF"/>
          <w:lang w:val="en-GB"/>
        </w:rPr>
      </w:pPr>
      <w:r w:rsidRPr="006F5DEC">
        <w:rPr>
          <w:rFonts w:ascii="Times New Roman" w:hAnsi="Times New Roman"/>
          <w:sz w:val="24"/>
          <w:szCs w:val="24"/>
          <w:shd w:val="clear" w:color="auto" w:fill="FFFFFF"/>
          <w:lang w:val="en-GB"/>
        </w:rPr>
        <w:t>Reekie, A. 2017. The Liability of Employers for The Acts of Their Employees: A Comparative Analysis of Section 425 Of The Thai Civil and Commercial Code and Vicarious Liability in English Tort Law. </w:t>
      </w:r>
      <w:r w:rsidRPr="006F5DEC">
        <w:rPr>
          <w:rFonts w:ascii="Times New Roman" w:hAnsi="Times New Roman"/>
          <w:i/>
          <w:iCs/>
          <w:sz w:val="24"/>
          <w:szCs w:val="24"/>
          <w:shd w:val="clear" w:color="auto" w:fill="FFFFFF"/>
          <w:lang w:val="en-GB"/>
        </w:rPr>
        <w:t>Thammasat Business Law Journal</w:t>
      </w:r>
      <w:r w:rsidRPr="006F5DEC">
        <w:rPr>
          <w:rFonts w:ascii="Times New Roman" w:hAnsi="Times New Roman"/>
          <w:sz w:val="24"/>
          <w:szCs w:val="24"/>
          <w:shd w:val="clear" w:color="auto" w:fill="FFFFFF"/>
          <w:lang w:val="en-GB"/>
        </w:rPr>
        <w:t> </w:t>
      </w:r>
      <w:r w:rsidRPr="006F5DEC">
        <w:rPr>
          <w:rFonts w:ascii="Times New Roman" w:hAnsi="Times New Roman"/>
          <w:iCs/>
          <w:sz w:val="24"/>
          <w:szCs w:val="24"/>
          <w:shd w:val="clear" w:color="auto" w:fill="FFFFFF"/>
          <w:lang w:val="en-GB"/>
        </w:rPr>
        <w:t>7</w:t>
      </w:r>
      <w:r w:rsidRPr="006F5DEC">
        <w:rPr>
          <w:rFonts w:ascii="Times New Roman" w:hAnsi="Times New Roman"/>
          <w:sz w:val="24"/>
          <w:szCs w:val="24"/>
          <w:shd w:val="clear" w:color="auto" w:fill="FFFFFF"/>
          <w:lang w:val="en-GB"/>
        </w:rPr>
        <w:t>.</w:t>
      </w:r>
    </w:p>
    <w:p w14:paraId="42F5FC3D" w14:textId="77777777" w:rsidR="00945D91" w:rsidRPr="006F5DEC" w:rsidRDefault="00945D91" w:rsidP="00945D91">
      <w:pPr>
        <w:spacing w:after="0" w:line="480" w:lineRule="auto"/>
        <w:ind w:left="720" w:hanging="720"/>
        <w:rPr>
          <w:rFonts w:ascii="Times New Roman" w:hAnsi="Times New Roman"/>
          <w:sz w:val="24"/>
          <w:szCs w:val="24"/>
          <w:lang w:val="en-GB"/>
        </w:rPr>
      </w:pPr>
      <w:r w:rsidRPr="006F5DEC">
        <w:rPr>
          <w:rFonts w:ascii="Times New Roman" w:hAnsi="Times New Roman"/>
          <w:sz w:val="24"/>
          <w:szCs w:val="24"/>
          <w:lang w:val="en-GB"/>
        </w:rPr>
        <w:t xml:space="preserve">Riley-Smith Qc, T., Heppinstall, A. and Foster, F. 2020. Is Covid-19 sowing the seeds for future litigation?. </w:t>
      </w:r>
      <w:r w:rsidRPr="006F5DEC">
        <w:rPr>
          <w:rFonts w:ascii="Times New Roman" w:hAnsi="Times New Roman"/>
          <w:i/>
          <w:sz w:val="24"/>
          <w:szCs w:val="24"/>
          <w:lang w:val="en-GB"/>
        </w:rPr>
        <w:t>Medico-Legal Journal</w:t>
      </w:r>
      <w:r w:rsidRPr="006F5DEC">
        <w:rPr>
          <w:rFonts w:ascii="Times New Roman" w:hAnsi="Times New Roman"/>
          <w:sz w:val="24"/>
          <w:szCs w:val="24"/>
          <w:lang w:val="en-GB"/>
        </w:rPr>
        <w:t xml:space="preserve"> 88(2), pp. 90-97.</w:t>
      </w:r>
    </w:p>
    <w:p w14:paraId="71DA9AEE"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Steele, J. 2007. Tort Law: Text, Cases, and Materials. Oxford: Oxford University Press.</w:t>
      </w:r>
    </w:p>
    <w:p w14:paraId="6A769671"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Steele, J. 2010. Tort Law: Text, Cases, and Materials. Oxford: Oxford University Press.</w:t>
      </w:r>
    </w:p>
    <w:p w14:paraId="62766229"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 xml:space="preserve">Turner, C. 2013. </w:t>
      </w:r>
      <w:r w:rsidRPr="006F5DEC">
        <w:rPr>
          <w:rFonts w:ascii="Times New Roman" w:eastAsia="Calibri" w:hAnsi="Times New Roman"/>
          <w:i/>
          <w:iCs/>
          <w:sz w:val="24"/>
          <w:szCs w:val="24"/>
          <w:lang w:val="en-GB" w:eastAsia="en-US" w:bidi="hi-IN"/>
        </w:rPr>
        <w:t>Tort Law</w:t>
      </w:r>
      <w:r w:rsidRPr="006F5DEC">
        <w:rPr>
          <w:rFonts w:ascii="Times New Roman" w:eastAsia="Calibri" w:hAnsi="Times New Roman"/>
          <w:sz w:val="24"/>
          <w:szCs w:val="24"/>
          <w:lang w:val="en-GB" w:eastAsia="en-US" w:bidi="hi-IN"/>
        </w:rPr>
        <w:t>. England: Taylor &amp; Francis.</w:t>
      </w:r>
    </w:p>
    <w:p w14:paraId="72A0BB6C"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r w:rsidRPr="006F5DEC">
        <w:rPr>
          <w:rFonts w:ascii="Times New Roman" w:eastAsia="Calibri" w:hAnsi="Times New Roman"/>
          <w:sz w:val="24"/>
          <w:szCs w:val="24"/>
          <w:lang w:val="en-GB" w:eastAsia="en-US" w:bidi="hi-IN"/>
        </w:rPr>
        <w:t>Williams, K. 2006. Politics, the media and refining the notion of fault: section 1 of the Compensation Act 2006. </w:t>
      </w:r>
      <w:r w:rsidRPr="006F5DEC">
        <w:rPr>
          <w:rFonts w:ascii="Times New Roman" w:eastAsia="Calibri" w:hAnsi="Times New Roman"/>
          <w:i/>
          <w:iCs/>
          <w:sz w:val="24"/>
          <w:szCs w:val="24"/>
          <w:lang w:val="en-GB" w:eastAsia="en-US" w:bidi="hi-IN"/>
        </w:rPr>
        <w:t>Journal of personal injury law</w:t>
      </w:r>
      <w:r w:rsidRPr="006F5DEC">
        <w:rPr>
          <w:rFonts w:ascii="Times New Roman" w:eastAsia="Calibri" w:hAnsi="Times New Roman"/>
          <w:sz w:val="24"/>
          <w:szCs w:val="24"/>
          <w:lang w:val="en-GB" w:eastAsia="en-US" w:bidi="hi-IN"/>
        </w:rPr>
        <w:t>, pp.347-354.</w:t>
      </w:r>
    </w:p>
    <w:p w14:paraId="1B431A18" w14:textId="77777777" w:rsidR="00945D91" w:rsidRPr="006F5DEC" w:rsidRDefault="00945D91" w:rsidP="00945D91">
      <w:pPr>
        <w:spacing w:after="0" w:line="480" w:lineRule="auto"/>
        <w:ind w:left="720" w:hanging="720"/>
        <w:rPr>
          <w:rFonts w:ascii="Times New Roman" w:eastAsia="Calibri" w:hAnsi="Times New Roman"/>
          <w:b/>
          <w:i/>
          <w:sz w:val="24"/>
          <w:szCs w:val="24"/>
          <w:lang w:val="en-GB" w:eastAsia="en-US" w:bidi="hi-IN"/>
        </w:rPr>
      </w:pPr>
      <w:r w:rsidRPr="006F5DEC">
        <w:rPr>
          <w:rFonts w:ascii="Times New Roman" w:eastAsia="Calibri" w:hAnsi="Times New Roman"/>
          <w:b/>
          <w:i/>
          <w:sz w:val="24"/>
          <w:szCs w:val="24"/>
          <w:lang w:val="en-GB" w:eastAsia="en-US" w:bidi="hi-IN"/>
        </w:rPr>
        <w:t xml:space="preserve">List of Case Laws </w:t>
      </w:r>
    </w:p>
    <w:p w14:paraId="784CC7EF" w14:textId="77777777" w:rsidR="00945D91" w:rsidRPr="006F5DEC" w:rsidRDefault="00945D91" w:rsidP="00945D91">
      <w:pPr>
        <w:spacing w:after="0" w:line="480" w:lineRule="auto"/>
        <w:ind w:left="720" w:hanging="720"/>
        <w:rPr>
          <w:rStyle w:val="Emphasis"/>
          <w:rFonts w:ascii="Times New Roman" w:eastAsia="Calibri" w:hAnsi="Times New Roman"/>
          <w:i w:val="0"/>
          <w:iCs w:val="0"/>
          <w:sz w:val="24"/>
          <w:szCs w:val="24"/>
          <w:lang w:val="en-GB" w:eastAsia="en-US" w:bidi="hi-IN"/>
        </w:rPr>
      </w:pPr>
      <w:r w:rsidRPr="006F5DEC">
        <w:rPr>
          <w:rFonts w:ascii="Times New Roman" w:eastAsia="Calibri" w:hAnsi="Times New Roman"/>
          <w:sz w:val="24"/>
          <w:szCs w:val="24"/>
          <w:lang w:val="en-GB" w:eastAsia="en-US" w:bidi="hi-IN"/>
        </w:rPr>
        <w:t>Blake v Galloway [2004] 3 All ER 315</w:t>
      </w:r>
    </w:p>
    <w:p w14:paraId="349F0506" w14:textId="77777777" w:rsidR="00945D91" w:rsidRPr="006F5DEC" w:rsidRDefault="00945D91" w:rsidP="00945D91">
      <w:pPr>
        <w:spacing w:after="0" w:line="480" w:lineRule="auto"/>
        <w:rPr>
          <w:rFonts w:ascii="Times New Roman" w:hAnsi="Times New Roman"/>
          <w:sz w:val="24"/>
          <w:szCs w:val="24"/>
          <w:shd w:val="clear" w:color="auto" w:fill="FFFFFF"/>
          <w:lang w:val="en-GB"/>
        </w:rPr>
      </w:pPr>
      <w:r w:rsidRPr="006F5DEC">
        <w:rPr>
          <w:rStyle w:val="Emphasis"/>
          <w:rFonts w:ascii="Times New Roman" w:hAnsi="Times New Roman"/>
          <w:bCs/>
          <w:i w:val="0"/>
          <w:iCs w:val="0"/>
          <w:sz w:val="24"/>
          <w:szCs w:val="24"/>
          <w:shd w:val="clear" w:color="auto" w:fill="FFFFFF"/>
          <w:lang w:val="en-GB"/>
        </w:rPr>
        <w:t>Blyth v Birmingham Waterworks</w:t>
      </w:r>
      <w:r w:rsidRPr="006F5DEC">
        <w:rPr>
          <w:rFonts w:ascii="Times New Roman" w:hAnsi="Times New Roman"/>
          <w:sz w:val="24"/>
          <w:szCs w:val="24"/>
          <w:shd w:val="clear" w:color="auto" w:fill="FFFFFF"/>
          <w:lang w:val="en-GB"/>
        </w:rPr>
        <w:t> Company [</w:t>
      </w:r>
      <w:r w:rsidRPr="006F5DEC">
        <w:rPr>
          <w:rStyle w:val="Emphasis"/>
          <w:rFonts w:ascii="Times New Roman" w:hAnsi="Times New Roman"/>
          <w:bCs/>
          <w:i w:val="0"/>
          <w:iCs w:val="0"/>
          <w:sz w:val="24"/>
          <w:szCs w:val="24"/>
          <w:shd w:val="clear" w:color="auto" w:fill="FFFFFF"/>
          <w:lang w:val="en-GB"/>
        </w:rPr>
        <w:t>1856]</w:t>
      </w:r>
      <w:r w:rsidRPr="006F5DEC">
        <w:rPr>
          <w:rFonts w:ascii="Times New Roman" w:hAnsi="Times New Roman"/>
          <w:sz w:val="24"/>
          <w:szCs w:val="24"/>
          <w:shd w:val="clear" w:color="auto" w:fill="FFFFFF"/>
          <w:lang w:val="en-GB"/>
        </w:rPr>
        <w:t xml:space="preserve"> 11 Ex Ch 781 </w:t>
      </w:r>
    </w:p>
    <w:p w14:paraId="539091EB" w14:textId="77777777" w:rsidR="00945D91" w:rsidRPr="006F5DEC" w:rsidRDefault="00945D91" w:rsidP="00945D91">
      <w:pPr>
        <w:spacing w:after="0" w:line="480" w:lineRule="auto"/>
        <w:rPr>
          <w:rFonts w:ascii="Times New Roman" w:hAnsi="Times New Roman"/>
          <w:sz w:val="24"/>
          <w:szCs w:val="24"/>
          <w:shd w:val="clear" w:color="auto" w:fill="FFFFFF"/>
          <w:lang w:val="en-GB"/>
        </w:rPr>
      </w:pPr>
      <w:r w:rsidRPr="006F5DEC">
        <w:rPr>
          <w:rStyle w:val="Emphasis"/>
          <w:rFonts w:ascii="Times New Roman" w:hAnsi="Times New Roman"/>
          <w:bCs/>
          <w:i w:val="0"/>
          <w:iCs w:val="0"/>
          <w:sz w:val="24"/>
          <w:szCs w:val="24"/>
          <w:shd w:val="clear" w:color="auto" w:fill="FFFFFF"/>
          <w:lang w:val="en-GB"/>
        </w:rPr>
        <w:t>Bolitho v City</w:t>
      </w:r>
      <w:r w:rsidRPr="006F5DEC">
        <w:rPr>
          <w:rFonts w:ascii="Times New Roman" w:hAnsi="Times New Roman"/>
          <w:sz w:val="24"/>
          <w:szCs w:val="24"/>
          <w:shd w:val="clear" w:color="auto" w:fill="FFFFFF"/>
          <w:lang w:val="en-GB"/>
        </w:rPr>
        <w:t> of </w:t>
      </w:r>
      <w:r w:rsidRPr="006F5DEC">
        <w:rPr>
          <w:rStyle w:val="Emphasis"/>
          <w:rFonts w:ascii="Times New Roman" w:hAnsi="Times New Roman"/>
          <w:bCs/>
          <w:i w:val="0"/>
          <w:iCs w:val="0"/>
          <w:sz w:val="24"/>
          <w:szCs w:val="24"/>
          <w:shd w:val="clear" w:color="auto" w:fill="FFFFFF"/>
          <w:lang w:val="en-GB"/>
        </w:rPr>
        <w:t>Hackney Health Authority</w:t>
      </w:r>
      <w:r w:rsidRPr="006F5DEC">
        <w:rPr>
          <w:rFonts w:ascii="Times New Roman" w:hAnsi="Times New Roman"/>
          <w:sz w:val="24"/>
          <w:szCs w:val="24"/>
          <w:shd w:val="clear" w:color="auto" w:fill="FFFFFF"/>
          <w:lang w:val="en-GB"/>
        </w:rPr>
        <w:t> [1997] 4 All ER 771</w:t>
      </w:r>
    </w:p>
    <w:p w14:paraId="6C3ABCEF" w14:textId="77777777" w:rsidR="00945D91" w:rsidRPr="006F5DEC" w:rsidRDefault="00945D91" w:rsidP="00945D91">
      <w:pPr>
        <w:spacing w:after="0" w:line="480" w:lineRule="auto"/>
        <w:rPr>
          <w:rFonts w:ascii="Times New Roman" w:hAnsi="Times New Roman"/>
          <w:sz w:val="24"/>
          <w:szCs w:val="24"/>
          <w:lang w:val="en-GB"/>
        </w:rPr>
      </w:pPr>
      <w:r w:rsidRPr="006F5DEC">
        <w:rPr>
          <w:rFonts w:ascii="Times New Roman" w:hAnsi="Times New Roman"/>
          <w:sz w:val="24"/>
          <w:szCs w:val="24"/>
          <w:lang w:val="en-GB"/>
        </w:rPr>
        <w:t>Condon v . Basi [1985] WL 312199</w:t>
      </w:r>
    </w:p>
    <w:p w14:paraId="246F117D" w14:textId="77777777" w:rsidR="00945D91" w:rsidRPr="006F5DEC" w:rsidRDefault="00945D91" w:rsidP="00945D91">
      <w:pPr>
        <w:spacing w:after="0" w:line="480" w:lineRule="auto"/>
        <w:rPr>
          <w:rFonts w:ascii="Times New Roman" w:hAnsi="Times New Roman"/>
          <w:sz w:val="24"/>
          <w:szCs w:val="24"/>
          <w:shd w:val="clear" w:color="auto" w:fill="FFFFFF"/>
          <w:lang w:val="en-GB"/>
        </w:rPr>
      </w:pPr>
      <w:r w:rsidRPr="006F5DEC">
        <w:rPr>
          <w:rStyle w:val="Emphasis"/>
          <w:rFonts w:ascii="Times New Roman" w:hAnsi="Times New Roman"/>
          <w:bCs/>
          <w:i w:val="0"/>
          <w:iCs w:val="0"/>
          <w:sz w:val="24"/>
          <w:szCs w:val="24"/>
          <w:shd w:val="clear" w:color="auto" w:fill="FFFFFF"/>
          <w:lang w:val="en-GB"/>
        </w:rPr>
        <w:t>Mansfield v Weetabix</w:t>
      </w:r>
      <w:r w:rsidRPr="006F5DEC">
        <w:rPr>
          <w:rFonts w:ascii="Times New Roman" w:hAnsi="Times New Roman"/>
          <w:sz w:val="24"/>
          <w:szCs w:val="24"/>
          <w:shd w:val="clear" w:color="auto" w:fill="FFFFFF"/>
          <w:lang w:val="en-GB"/>
        </w:rPr>
        <w:t> Ltd [</w:t>
      </w:r>
      <w:r w:rsidRPr="006F5DEC">
        <w:rPr>
          <w:rStyle w:val="Emphasis"/>
          <w:rFonts w:ascii="Times New Roman" w:hAnsi="Times New Roman"/>
          <w:bCs/>
          <w:i w:val="0"/>
          <w:iCs w:val="0"/>
          <w:sz w:val="24"/>
          <w:szCs w:val="24"/>
          <w:shd w:val="clear" w:color="auto" w:fill="FFFFFF"/>
          <w:lang w:val="en-GB"/>
        </w:rPr>
        <w:t>1998</w:t>
      </w:r>
      <w:r w:rsidRPr="006F5DEC">
        <w:rPr>
          <w:rFonts w:ascii="Times New Roman" w:hAnsi="Times New Roman"/>
          <w:sz w:val="24"/>
          <w:szCs w:val="24"/>
          <w:shd w:val="clear" w:color="auto" w:fill="FFFFFF"/>
          <w:lang w:val="en-GB"/>
        </w:rPr>
        <w:t>] 1 W.L.R. 1263</w:t>
      </w:r>
    </w:p>
    <w:p w14:paraId="53FEBB34" w14:textId="77777777" w:rsidR="00945D91" w:rsidRPr="006F5DEC" w:rsidRDefault="00945D91" w:rsidP="00945D91">
      <w:pPr>
        <w:spacing w:after="0" w:line="480" w:lineRule="auto"/>
        <w:rPr>
          <w:rFonts w:ascii="Times New Roman" w:hAnsi="Times New Roman"/>
          <w:sz w:val="24"/>
          <w:szCs w:val="24"/>
          <w:shd w:val="clear" w:color="auto" w:fill="FFFFFF"/>
          <w:lang w:val="en-GB"/>
        </w:rPr>
      </w:pPr>
      <w:r w:rsidRPr="006F5DEC">
        <w:rPr>
          <w:rStyle w:val="Emphasis"/>
          <w:rFonts w:ascii="Times New Roman" w:hAnsi="Times New Roman"/>
          <w:bCs/>
          <w:i w:val="0"/>
          <w:iCs w:val="0"/>
          <w:sz w:val="24"/>
          <w:szCs w:val="24"/>
          <w:shd w:val="clear" w:color="auto" w:fill="FFFFFF"/>
          <w:lang w:val="en-GB"/>
        </w:rPr>
        <w:t>Nettleship v Weston</w:t>
      </w:r>
      <w:r w:rsidRPr="006F5DEC">
        <w:rPr>
          <w:rFonts w:ascii="Times New Roman" w:hAnsi="Times New Roman"/>
          <w:sz w:val="24"/>
          <w:szCs w:val="24"/>
          <w:shd w:val="clear" w:color="auto" w:fill="FFFFFF"/>
          <w:lang w:val="en-GB"/>
        </w:rPr>
        <w:t> [</w:t>
      </w:r>
      <w:r w:rsidRPr="006F5DEC">
        <w:rPr>
          <w:rStyle w:val="Emphasis"/>
          <w:rFonts w:ascii="Times New Roman" w:hAnsi="Times New Roman"/>
          <w:bCs/>
          <w:i w:val="0"/>
          <w:iCs w:val="0"/>
          <w:sz w:val="24"/>
          <w:szCs w:val="24"/>
          <w:shd w:val="clear" w:color="auto" w:fill="FFFFFF"/>
          <w:lang w:val="en-GB"/>
        </w:rPr>
        <w:t>1971</w:t>
      </w:r>
      <w:r w:rsidRPr="006F5DEC">
        <w:rPr>
          <w:rFonts w:ascii="Times New Roman" w:hAnsi="Times New Roman"/>
          <w:sz w:val="24"/>
          <w:szCs w:val="24"/>
          <w:shd w:val="clear" w:color="auto" w:fill="FFFFFF"/>
          <w:lang w:val="en-GB"/>
        </w:rPr>
        <w:t>] 2 QB 691</w:t>
      </w:r>
    </w:p>
    <w:p w14:paraId="6E60AF13" w14:textId="77777777" w:rsidR="00945D91" w:rsidRPr="006F5DEC" w:rsidRDefault="00945D91" w:rsidP="00945D91">
      <w:pPr>
        <w:spacing w:after="0" w:line="480" w:lineRule="auto"/>
        <w:rPr>
          <w:rFonts w:ascii="Times New Roman" w:hAnsi="Times New Roman"/>
          <w:sz w:val="24"/>
          <w:szCs w:val="24"/>
          <w:shd w:val="clear" w:color="auto" w:fill="FFFFFF"/>
          <w:lang w:val="en-GB"/>
        </w:rPr>
      </w:pPr>
      <w:r w:rsidRPr="006F5DEC">
        <w:rPr>
          <w:rStyle w:val="Emphasis"/>
          <w:rFonts w:ascii="Times New Roman" w:hAnsi="Times New Roman"/>
          <w:bCs/>
          <w:i w:val="0"/>
          <w:iCs w:val="0"/>
          <w:sz w:val="24"/>
          <w:szCs w:val="24"/>
          <w:shd w:val="clear" w:color="auto" w:fill="FFFFFF"/>
          <w:lang w:val="en-GB"/>
        </w:rPr>
        <w:t>Roberts v Ramsbottom</w:t>
      </w:r>
      <w:r w:rsidRPr="006F5DEC">
        <w:rPr>
          <w:rFonts w:ascii="Times New Roman" w:hAnsi="Times New Roman"/>
          <w:sz w:val="24"/>
          <w:szCs w:val="24"/>
          <w:shd w:val="clear" w:color="auto" w:fill="FFFFFF"/>
          <w:lang w:val="en-GB"/>
        </w:rPr>
        <w:t xml:space="preserve"> [1980] 1 All ER 7</w:t>
      </w:r>
    </w:p>
    <w:p w14:paraId="0E296F68" w14:textId="77777777" w:rsidR="00945D91" w:rsidRPr="006F5DEC" w:rsidRDefault="00945D91" w:rsidP="00945D91">
      <w:pPr>
        <w:spacing w:after="0" w:line="480" w:lineRule="auto"/>
        <w:rPr>
          <w:rFonts w:ascii="Times New Roman" w:hAnsi="Times New Roman"/>
          <w:sz w:val="24"/>
          <w:szCs w:val="24"/>
          <w:lang w:val="en-GB"/>
        </w:rPr>
      </w:pPr>
      <w:r w:rsidRPr="006F5DEC">
        <w:rPr>
          <w:rFonts w:ascii="Times New Roman" w:hAnsi="Times New Roman"/>
          <w:sz w:val="24"/>
          <w:szCs w:val="24"/>
          <w:lang w:val="en-GB"/>
        </w:rPr>
        <w:lastRenderedPageBreak/>
        <w:t>Watt v Hertfordshire [1954] 1 WLR 835</w:t>
      </w:r>
    </w:p>
    <w:p w14:paraId="66A393DD" w14:textId="77777777" w:rsidR="00945D91" w:rsidRPr="006F5DEC" w:rsidRDefault="00945D91" w:rsidP="00945D91">
      <w:pPr>
        <w:spacing w:after="0" w:line="480" w:lineRule="auto"/>
        <w:rPr>
          <w:rFonts w:ascii="Times New Roman" w:hAnsi="Times New Roman"/>
          <w:sz w:val="24"/>
          <w:szCs w:val="24"/>
          <w:shd w:val="clear" w:color="auto" w:fill="FFFFFF"/>
          <w:lang w:val="en-GB"/>
        </w:rPr>
      </w:pPr>
      <w:r w:rsidRPr="006F5DEC">
        <w:rPr>
          <w:rStyle w:val="Emphasis"/>
          <w:rFonts w:ascii="Times New Roman" w:hAnsi="Times New Roman"/>
          <w:bCs/>
          <w:i w:val="0"/>
          <w:iCs w:val="0"/>
          <w:sz w:val="24"/>
          <w:szCs w:val="24"/>
          <w:shd w:val="clear" w:color="auto" w:fill="FFFFFF"/>
          <w:lang w:val="en-GB"/>
        </w:rPr>
        <w:t>Wilsher v Essex</w:t>
      </w:r>
      <w:r w:rsidRPr="006F5DEC">
        <w:rPr>
          <w:rFonts w:ascii="Times New Roman" w:hAnsi="Times New Roman"/>
          <w:sz w:val="24"/>
          <w:szCs w:val="24"/>
          <w:shd w:val="clear" w:color="auto" w:fill="FFFFFF"/>
          <w:lang w:val="en-GB"/>
        </w:rPr>
        <w:t> Area Health Authority [1988] AC 1074</w:t>
      </w:r>
    </w:p>
    <w:p w14:paraId="2C6C7022" w14:textId="77777777" w:rsidR="00945D91" w:rsidRPr="006F5DEC" w:rsidRDefault="00945D91" w:rsidP="00945D91">
      <w:pPr>
        <w:spacing w:after="0" w:line="480" w:lineRule="auto"/>
        <w:rPr>
          <w:rFonts w:ascii="Times New Roman" w:hAnsi="Times New Roman"/>
          <w:sz w:val="24"/>
          <w:szCs w:val="24"/>
          <w:lang w:val="en-GB"/>
        </w:rPr>
      </w:pPr>
    </w:p>
    <w:p w14:paraId="5716A2F0" w14:textId="77777777" w:rsidR="00945D91" w:rsidRPr="006F5DEC" w:rsidRDefault="00945D91" w:rsidP="00945D91">
      <w:pPr>
        <w:spacing w:after="0" w:line="480" w:lineRule="auto"/>
        <w:ind w:left="720" w:hanging="720"/>
        <w:rPr>
          <w:rFonts w:ascii="Times New Roman" w:eastAsia="Calibri" w:hAnsi="Times New Roman"/>
          <w:sz w:val="24"/>
          <w:szCs w:val="24"/>
          <w:lang w:val="en-GB" w:eastAsia="en-US" w:bidi="hi-IN"/>
        </w:rPr>
      </w:pPr>
    </w:p>
    <w:p w14:paraId="25B67BD3" w14:textId="77777777" w:rsidR="00945D91" w:rsidRPr="006F5DEC" w:rsidRDefault="00945D91" w:rsidP="002B1BB8">
      <w:pPr>
        <w:pStyle w:val="Heading1"/>
        <w:spacing w:before="0" w:after="0" w:line="480" w:lineRule="auto"/>
        <w:rPr>
          <w:rFonts w:ascii="Times New Roman" w:hAnsi="Times New Roman"/>
          <w:sz w:val="24"/>
          <w:szCs w:val="24"/>
          <w:lang w:val="en-GB"/>
        </w:rPr>
      </w:pPr>
    </w:p>
    <w:p w14:paraId="231EE27D" w14:textId="77777777" w:rsidR="007B4BB9" w:rsidRPr="006F5DEC" w:rsidRDefault="007B4BB9" w:rsidP="002B1BB8">
      <w:pPr>
        <w:spacing w:after="0" w:line="480" w:lineRule="auto"/>
        <w:ind w:left="720" w:hanging="720"/>
        <w:rPr>
          <w:rFonts w:ascii="Times New Roman" w:hAnsi="Times New Roman"/>
          <w:sz w:val="24"/>
          <w:szCs w:val="24"/>
          <w:lang w:val="en-GB"/>
        </w:rPr>
      </w:pPr>
    </w:p>
    <w:sectPr w:rsidR="007B4BB9" w:rsidRPr="006F5DEC" w:rsidSect="00C21DD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43DC4" w14:textId="77777777" w:rsidR="002D0B0B" w:rsidRDefault="002D0B0B" w:rsidP="007D6E88">
      <w:pPr>
        <w:spacing w:after="0" w:line="240" w:lineRule="auto"/>
      </w:pPr>
      <w:r>
        <w:separator/>
      </w:r>
    </w:p>
  </w:endnote>
  <w:endnote w:type="continuationSeparator" w:id="0">
    <w:p w14:paraId="077E733A" w14:textId="77777777" w:rsidR="002D0B0B" w:rsidRDefault="002D0B0B" w:rsidP="007D6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SimSun"/>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01"/>
      <w:gridCol w:w="4789"/>
    </w:tblGrid>
    <w:tr w:rsidR="00BC39B3" w14:paraId="2D77D0BD" w14:textId="77777777" w:rsidTr="00BC39B3">
      <w:trPr>
        <w:trHeight w:hRule="exact" w:val="115"/>
        <w:jc w:val="center"/>
      </w:trPr>
      <w:tc>
        <w:tcPr>
          <w:tcW w:w="4686" w:type="dxa"/>
          <w:shd w:val="clear" w:color="auto" w:fill="4F81BD"/>
          <w:tcMar>
            <w:top w:w="0" w:type="dxa"/>
            <w:bottom w:w="0" w:type="dxa"/>
          </w:tcMar>
        </w:tcPr>
        <w:p w14:paraId="199E030F" w14:textId="77777777" w:rsidR="00BC39B3" w:rsidRDefault="00BC39B3">
          <w:pPr>
            <w:pStyle w:val="Header"/>
            <w:tabs>
              <w:tab w:val="clear" w:pos="4680"/>
              <w:tab w:val="clear" w:pos="9360"/>
            </w:tabs>
            <w:rPr>
              <w:caps/>
              <w:sz w:val="18"/>
            </w:rPr>
          </w:pPr>
        </w:p>
      </w:tc>
      <w:tc>
        <w:tcPr>
          <w:tcW w:w="4674" w:type="dxa"/>
          <w:shd w:val="clear" w:color="auto" w:fill="4F81BD"/>
          <w:tcMar>
            <w:top w:w="0" w:type="dxa"/>
            <w:bottom w:w="0" w:type="dxa"/>
          </w:tcMar>
        </w:tcPr>
        <w:p w14:paraId="5DE82246" w14:textId="77777777" w:rsidR="00BC39B3" w:rsidRDefault="00BC39B3">
          <w:pPr>
            <w:pStyle w:val="Header"/>
            <w:tabs>
              <w:tab w:val="clear" w:pos="4680"/>
              <w:tab w:val="clear" w:pos="9360"/>
            </w:tabs>
            <w:jc w:val="right"/>
            <w:rPr>
              <w:caps/>
              <w:sz w:val="18"/>
            </w:rPr>
          </w:pPr>
        </w:p>
      </w:tc>
    </w:tr>
    <w:tr w:rsidR="00BC39B3" w14:paraId="7D142F1B" w14:textId="77777777">
      <w:trPr>
        <w:jc w:val="center"/>
      </w:trPr>
      <w:tc>
        <w:tcPr>
          <w:tcW w:w="4686" w:type="dxa"/>
          <w:shd w:val="clear" w:color="auto" w:fill="auto"/>
          <w:vAlign w:val="center"/>
        </w:tcPr>
        <w:p w14:paraId="688FBF6B" w14:textId="2E964A54" w:rsidR="00BC39B3" w:rsidRPr="00BC39B3" w:rsidRDefault="00BC39B3">
          <w:pPr>
            <w:pStyle w:val="Footer"/>
            <w:tabs>
              <w:tab w:val="clear" w:pos="4680"/>
              <w:tab w:val="clear" w:pos="9360"/>
            </w:tabs>
            <w:rPr>
              <w:caps/>
              <w:color w:val="808080"/>
              <w:sz w:val="18"/>
              <w:szCs w:val="18"/>
            </w:rPr>
          </w:pPr>
          <w:r>
            <w:rPr>
              <w:caps/>
              <w:sz w:val="18"/>
              <w:szCs w:val="18"/>
            </w:rPr>
            <w:t>Md R Ahmed</w:t>
          </w:r>
        </w:p>
      </w:tc>
      <w:tc>
        <w:tcPr>
          <w:tcW w:w="4674" w:type="dxa"/>
          <w:shd w:val="clear" w:color="auto" w:fill="auto"/>
          <w:vAlign w:val="center"/>
        </w:tcPr>
        <w:p w14:paraId="6DAF6720" w14:textId="77777777" w:rsidR="00BC39B3" w:rsidRPr="00BC39B3" w:rsidRDefault="00BC39B3">
          <w:pPr>
            <w:pStyle w:val="Footer"/>
            <w:tabs>
              <w:tab w:val="clear" w:pos="4680"/>
              <w:tab w:val="clear" w:pos="9360"/>
            </w:tabs>
            <w:jc w:val="right"/>
            <w:rPr>
              <w:caps/>
              <w:color w:val="808080"/>
              <w:sz w:val="18"/>
              <w:szCs w:val="18"/>
            </w:rPr>
          </w:pPr>
          <w:r w:rsidRPr="00BC39B3">
            <w:rPr>
              <w:caps/>
              <w:color w:val="808080"/>
              <w:sz w:val="18"/>
              <w:szCs w:val="18"/>
            </w:rPr>
            <w:fldChar w:fldCharType="begin"/>
          </w:r>
          <w:r w:rsidRPr="00BC39B3">
            <w:rPr>
              <w:caps/>
              <w:color w:val="808080"/>
              <w:sz w:val="18"/>
              <w:szCs w:val="18"/>
            </w:rPr>
            <w:instrText xml:space="preserve"> PAGE   \* MERGEFORMAT </w:instrText>
          </w:r>
          <w:r w:rsidRPr="00BC39B3">
            <w:rPr>
              <w:caps/>
              <w:color w:val="808080"/>
              <w:sz w:val="18"/>
              <w:szCs w:val="18"/>
            </w:rPr>
            <w:fldChar w:fldCharType="separate"/>
          </w:r>
          <w:r w:rsidRPr="00BC39B3">
            <w:rPr>
              <w:caps/>
              <w:noProof/>
              <w:color w:val="808080"/>
              <w:sz w:val="18"/>
              <w:szCs w:val="18"/>
            </w:rPr>
            <w:t>2</w:t>
          </w:r>
          <w:r w:rsidRPr="00BC39B3">
            <w:rPr>
              <w:caps/>
              <w:noProof/>
              <w:color w:val="808080"/>
              <w:sz w:val="18"/>
              <w:szCs w:val="18"/>
            </w:rPr>
            <w:fldChar w:fldCharType="end"/>
          </w:r>
        </w:p>
      </w:tc>
    </w:tr>
  </w:tbl>
  <w:p w14:paraId="27665CFF" w14:textId="77777777" w:rsidR="007D6E88" w:rsidRDefault="007D6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95D83" w14:textId="77777777" w:rsidR="002D0B0B" w:rsidRDefault="002D0B0B" w:rsidP="007D6E88">
      <w:pPr>
        <w:spacing w:after="0" w:line="240" w:lineRule="auto"/>
      </w:pPr>
      <w:r>
        <w:separator/>
      </w:r>
    </w:p>
  </w:footnote>
  <w:footnote w:type="continuationSeparator" w:id="0">
    <w:p w14:paraId="0871DB5B" w14:textId="77777777" w:rsidR="002D0B0B" w:rsidRDefault="002D0B0B" w:rsidP="007D6E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characterSpacingControl w:val="doNotCompress"/>
  <w:hdrShapeDefaults>
    <o:shapedefaults v:ext="edit" spidmax="2052"/>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55E7"/>
    <w:rsid w:val="00004B62"/>
    <w:rsid w:val="000A25DB"/>
    <w:rsid w:val="000E4A9C"/>
    <w:rsid w:val="000E7764"/>
    <w:rsid w:val="00137073"/>
    <w:rsid w:val="001417E6"/>
    <w:rsid w:val="001468A5"/>
    <w:rsid w:val="0017331C"/>
    <w:rsid w:val="00184DD0"/>
    <w:rsid w:val="001F2D90"/>
    <w:rsid w:val="00200B41"/>
    <w:rsid w:val="00215D13"/>
    <w:rsid w:val="00231DB7"/>
    <w:rsid w:val="00236E3F"/>
    <w:rsid w:val="002635A2"/>
    <w:rsid w:val="002B1BB8"/>
    <w:rsid w:val="002B21D9"/>
    <w:rsid w:val="002C29E4"/>
    <w:rsid w:val="002D0B0B"/>
    <w:rsid w:val="00361022"/>
    <w:rsid w:val="00372182"/>
    <w:rsid w:val="00374D06"/>
    <w:rsid w:val="00391155"/>
    <w:rsid w:val="004036CA"/>
    <w:rsid w:val="00493B5C"/>
    <w:rsid w:val="004B3320"/>
    <w:rsid w:val="004D5B2F"/>
    <w:rsid w:val="00596DA8"/>
    <w:rsid w:val="005D3820"/>
    <w:rsid w:val="00602CF1"/>
    <w:rsid w:val="00694FEC"/>
    <w:rsid w:val="006D55CD"/>
    <w:rsid w:val="006F5DEC"/>
    <w:rsid w:val="00731875"/>
    <w:rsid w:val="00744D17"/>
    <w:rsid w:val="007710C3"/>
    <w:rsid w:val="007B2CAF"/>
    <w:rsid w:val="007B4BB9"/>
    <w:rsid w:val="007C10DD"/>
    <w:rsid w:val="007C4757"/>
    <w:rsid w:val="007D6E88"/>
    <w:rsid w:val="007F16B6"/>
    <w:rsid w:val="007F6516"/>
    <w:rsid w:val="00836E7A"/>
    <w:rsid w:val="0088773A"/>
    <w:rsid w:val="008945D2"/>
    <w:rsid w:val="008A12BE"/>
    <w:rsid w:val="008C6F62"/>
    <w:rsid w:val="009073D9"/>
    <w:rsid w:val="00925505"/>
    <w:rsid w:val="00945D91"/>
    <w:rsid w:val="00966E12"/>
    <w:rsid w:val="009D1A1F"/>
    <w:rsid w:val="00A01948"/>
    <w:rsid w:val="00A01D71"/>
    <w:rsid w:val="00A30C04"/>
    <w:rsid w:val="00A337F7"/>
    <w:rsid w:val="00A5044E"/>
    <w:rsid w:val="00A5202F"/>
    <w:rsid w:val="00A66903"/>
    <w:rsid w:val="00A93935"/>
    <w:rsid w:val="00AB0038"/>
    <w:rsid w:val="00B07EF9"/>
    <w:rsid w:val="00B23F22"/>
    <w:rsid w:val="00B255E7"/>
    <w:rsid w:val="00B566E2"/>
    <w:rsid w:val="00B86C96"/>
    <w:rsid w:val="00BC11AA"/>
    <w:rsid w:val="00BC39B3"/>
    <w:rsid w:val="00BE6E61"/>
    <w:rsid w:val="00C14B66"/>
    <w:rsid w:val="00C21DD5"/>
    <w:rsid w:val="00C23CBB"/>
    <w:rsid w:val="00C36506"/>
    <w:rsid w:val="00C45693"/>
    <w:rsid w:val="00CF44E9"/>
    <w:rsid w:val="00D24B1E"/>
    <w:rsid w:val="00D4654E"/>
    <w:rsid w:val="00D9194C"/>
    <w:rsid w:val="00DD56FD"/>
    <w:rsid w:val="00E511C9"/>
    <w:rsid w:val="00EB71E6"/>
    <w:rsid w:val="00EE6270"/>
    <w:rsid w:val="00EF0D7B"/>
    <w:rsid w:val="00EF10BE"/>
    <w:rsid w:val="00F659C3"/>
    <w:rsid w:val="00F672AC"/>
    <w:rsid w:val="00F859F1"/>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E7A2003"/>
  <w15:docId w15:val="{CE8D3942-840D-4E04-8AE8-D3A8D4A6F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DD5"/>
    <w:pPr>
      <w:spacing w:after="160" w:line="259" w:lineRule="auto"/>
    </w:pPr>
    <w:rPr>
      <w:sz w:val="22"/>
      <w:szCs w:val="22"/>
      <w:lang w:val="en-US" w:eastAsia="zh-CN"/>
    </w:rPr>
  </w:style>
  <w:style w:type="paragraph" w:styleId="Heading1">
    <w:name w:val="heading 1"/>
    <w:basedOn w:val="Normal"/>
    <w:next w:val="Normal"/>
    <w:link w:val="Heading1Char"/>
    <w:uiPriority w:val="9"/>
    <w:qFormat/>
    <w:rsid w:val="007D6E88"/>
    <w:pPr>
      <w:keepNext/>
      <w:spacing w:before="240" w:after="60"/>
      <w:outlineLvl w:val="0"/>
    </w:pPr>
    <w:rPr>
      <w:rFonts w:ascii="Calibri Light" w:eastAsia="DengXian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137073"/>
    <w:rPr>
      <w:i/>
      <w:iCs/>
    </w:rPr>
  </w:style>
  <w:style w:type="character" w:styleId="Hyperlink">
    <w:name w:val="Hyperlink"/>
    <w:uiPriority w:val="99"/>
    <w:unhideWhenUsed/>
    <w:rsid w:val="00596DA8"/>
    <w:rPr>
      <w:color w:val="0563C1"/>
      <w:u w:val="single"/>
    </w:rPr>
  </w:style>
  <w:style w:type="character" w:customStyle="1" w:styleId="Heading1Char">
    <w:name w:val="Heading 1 Char"/>
    <w:link w:val="Heading1"/>
    <w:uiPriority w:val="9"/>
    <w:rsid w:val="007D6E88"/>
    <w:rPr>
      <w:rFonts w:ascii="Calibri Light" w:eastAsia="DengXian Light" w:hAnsi="Calibri Light" w:cs="Times New Roman"/>
      <w:b/>
      <w:bCs/>
      <w:kern w:val="32"/>
      <w:sz w:val="32"/>
      <w:szCs w:val="32"/>
    </w:rPr>
  </w:style>
  <w:style w:type="paragraph" w:styleId="Header">
    <w:name w:val="header"/>
    <w:basedOn w:val="Normal"/>
    <w:link w:val="HeaderChar"/>
    <w:uiPriority w:val="99"/>
    <w:unhideWhenUsed/>
    <w:rsid w:val="007D6E88"/>
    <w:pPr>
      <w:tabs>
        <w:tab w:val="center" w:pos="4680"/>
        <w:tab w:val="right" w:pos="9360"/>
      </w:tabs>
    </w:pPr>
  </w:style>
  <w:style w:type="character" w:customStyle="1" w:styleId="HeaderChar">
    <w:name w:val="Header Char"/>
    <w:link w:val="Header"/>
    <w:uiPriority w:val="99"/>
    <w:rsid w:val="007D6E88"/>
    <w:rPr>
      <w:sz w:val="22"/>
      <w:szCs w:val="22"/>
    </w:rPr>
  </w:style>
  <w:style w:type="paragraph" w:styleId="Footer">
    <w:name w:val="footer"/>
    <w:basedOn w:val="Normal"/>
    <w:link w:val="FooterChar"/>
    <w:uiPriority w:val="99"/>
    <w:unhideWhenUsed/>
    <w:rsid w:val="007D6E88"/>
    <w:pPr>
      <w:tabs>
        <w:tab w:val="center" w:pos="4680"/>
        <w:tab w:val="right" w:pos="9360"/>
      </w:tabs>
    </w:pPr>
  </w:style>
  <w:style w:type="character" w:customStyle="1" w:styleId="FooterChar">
    <w:name w:val="Footer Char"/>
    <w:link w:val="Footer"/>
    <w:uiPriority w:val="99"/>
    <w:rsid w:val="007D6E88"/>
    <w:rPr>
      <w:sz w:val="22"/>
      <w:szCs w:val="22"/>
    </w:rPr>
  </w:style>
  <w:style w:type="paragraph" w:styleId="TOCHeading">
    <w:name w:val="TOC Heading"/>
    <w:basedOn w:val="Heading1"/>
    <w:next w:val="Normal"/>
    <w:uiPriority w:val="39"/>
    <w:qFormat/>
    <w:rsid w:val="007D6E88"/>
    <w:pPr>
      <w:keepLines/>
      <w:spacing w:before="480" w:after="0" w:line="276" w:lineRule="auto"/>
      <w:outlineLvl w:val="9"/>
    </w:pPr>
    <w:rPr>
      <w:color w:val="2F5496"/>
      <w:kern w:val="0"/>
      <w:sz w:val="28"/>
      <w:szCs w:val="28"/>
      <w:lang w:eastAsia="en-US"/>
    </w:rPr>
  </w:style>
  <w:style w:type="paragraph" w:styleId="TOC1">
    <w:name w:val="toc 1"/>
    <w:basedOn w:val="Normal"/>
    <w:next w:val="Normal"/>
    <w:autoRedefine/>
    <w:uiPriority w:val="39"/>
    <w:unhideWhenUsed/>
    <w:rsid w:val="007D6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389412">
      <w:bodyDiv w:val="1"/>
      <w:marLeft w:val="0"/>
      <w:marRight w:val="0"/>
      <w:marTop w:val="0"/>
      <w:marBottom w:val="0"/>
      <w:divBdr>
        <w:top w:val="none" w:sz="0" w:space="0" w:color="auto"/>
        <w:left w:val="none" w:sz="0" w:space="0" w:color="auto"/>
        <w:bottom w:val="none" w:sz="0" w:space="0" w:color="auto"/>
        <w:right w:val="none" w:sz="0" w:space="0" w:color="auto"/>
      </w:divBdr>
    </w:div>
    <w:div w:id="989945518">
      <w:bodyDiv w:val="1"/>
      <w:marLeft w:val="0"/>
      <w:marRight w:val="0"/>
      <w:marTop w:val="0"/>
      <w:marBottom w:val="0"/>
      <w:divBdr>
        <w:top w:val="none" w:sz="0" w:space="0" w:color="auto"/>
        <w:left w:val="none" w:sz="0" w:space="0" w:color="auto"/>
        <w:bottom w:val="none" w:sz="0" w:space="0" w:color="auto"/>
        <w:right w:val="none" w:sz="0" w:space="0" w:color="auto"/>
      </w:divBdr>
    </w:div>
    <w:div w:id="1809978526">
      <w:bodyDiv w:val="1"/>
      <w:marLeft w:val="0"/>
      <w:marRight w:val="0"/>
      <w:marTop w:val="0"/>
      <w:marBottom w:val="0"/>
      <w:divBdr>
        <w:top w:val="none" w:sz="0" w:space="0" w:color="auto"/>
        <w:left w:val="none" w:sz="0" w:space="0" w:color="auto"/>
        <w:bottom w:val="none" w:sz="0" w:space="0" w:color="auto"/>
        <w:right w:val="none" w:sz="0" w:space="0" w:color="auto"/>
      </w:divBdr>
    </w:div>
    <w:div w:id="1934051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33DB6-311B-4D98-91D7-8109ED1AF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18</Pages>
  <Words>3322</Words>
  <Characters>18939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Tort Law Assignment</vt:lpstr>
    </vt:vector>
  </TitlesOfParts>
  <Company/>
  <LinksUpToDate>false</LinksUpToDate>
  <CharactersWithSpaces>22217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Tort Law Assignment</dc:title>
  <dc:creator>Md R Ahmed</dc:creator>
  <cp:lastModifiedBy>Roshid Ahmed</cp:lastModifiedBy>
  <cp:revision>41</cp:revision>
  <cp:lastPrinted>1900-01-01T00:00:00Z</cp:lastPrinted>
  <dcterms:created xsi:type="dcterms:W3CDTF">2021-10-22T10:55:00Z</dcterms:created>
  <dcterms:modified xsi:type="dcterms:W3CDTF">2021-11-04T15:43:00Z</dcterms:modified>
</cp:coreProperties>
</file>