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DF4CA" w14:textId="77777777" w:rsidR="005902DE" w:rsidRPr="00C12AD5" w:rsidRDefault="005902DE" w:rsidP="005902DE">
      <w:pPr>
        <w:pStyle w:val="Heading2"/>
      </w:pPr>
    </w:p>
    <w:p w14:paraId="2904B9C8" w14:textId="77777777" w:rsidR="005902DE" w:rsidRPr="0021694F" w:rsidRDefault="005902DE" w:rsidP="005902DE">
      <w:pPr>
        <w:pStyle w:val="Heading3"/>
        <w:rPr>
          <w:rFonts w:asciiTheme="minorHAnsi" w:hAnsiTheme="minorHAnsi" w:cstheme="minorHAnsi"/>
          <w:b/>
          <w:bCs/>
        </w:rPr>
      </w:pPr>
      <w:bookmarkStart w:id="0" w:name="_Toc83053078"/>
      <w:r w:rsidRPr="0021694F">
        <w:rPr>
          <w:rFonts w:asciiTheme="minorHAnsi" w:hAnsiTheme="minorHAnsi" w:cstheme="minorHAnsi"/>
          <w:b/>
          <w:bCs/>
        </w:rPr>
        <w:t>Separation of Power Theory</w:t>
      </w:r>
      <w:bookmarkEnd w:id="0"/>
      <w:r w:rsidRPr="0021694F">
        <w:rPr>
          <w:rFonts w:asciiTheme="minorHAnsi" w:hAnsiTheme="minorHAnsi" w:cstheme="minorHAnsi"/>
          <w:b/>
          <w:bCs/>
        </w:rPr>
        <w:t xml:space="preserve"> </w:t>
      </w:r>
    </w:p>
    <w:p w14:paraId="355803AD" w14:textId="64C9BD25" w:rsidR="005902DE" w:rsidRPr="0021694F" w:rsidRDefault="005902DE" w:rsidP="0021694F">
      <w:pPr>
        <w:ind w:firstLine="0"/>
        <w:rPr>
          <w:rFonts w:asciiTheme="minorHAnsi" w:hAnsiTheme="minorHAnsi" w:cstheme="minorHAnsi"/>
        </w:rPr>
      </w:pPr>
      <w:r w:rsidRPr="0021694F">
        <w:rPr>
          <w:rFonts w:asciiTheme="minorHAnsi" w:hAnsiTheme="minorHAnsi" w:cstheme="minorHAnsi"/>
        </w:rPr>
        <w:t xml:space="preserve">According to the definition of separation of powers, it is found that all major institutions of the country should be working independently (Ceil, 2018). For this reason, it is important to understand that no individual in the UK should have the rights or powers for ruling over institutions such as the executive, </w:t>
      </w:r>
      <w:r w:rsidRPr="0021694F">
        <w:rPr>
          <w:rFonts w:asciiTheme="minorHAnsi" w:hAnsiTheme="minorHAnsi" w:cstheme="minorHAnsi"/>
        </w:rPr>
        <w:t>judiciary,</w:t>
      </w:r>
      <w:r w:rsidRPr="0021694F">
        <w:rPr>
          <w:rFonts w:asciiTheme="minorHAnsi" w:hAnsiTheme="minorHAnsi" w:cstheme="minorHAnsi"/>
        </w:rPr>
        <w:t xml:space="preserve"> and legislature. It is noted that these three institutions are considered as the principal institution; therefore, they must have separate powers. The study published in the 18</w:t>
      </w:r>
      <w:r w:rsidRPr="0021694F">
        <w:rPr>
          <w:rFonts w:asciiTheme="minorHAnsi" w:hAnsiTheme="minorHAnsi" w:cstheme="minorHAnsi"/>
          <w:vertAlign w:val="superscript"/>
        </w:rPr>
        <w:t>th</w:t>
      </w:r>
      <w:r w:rsidRPr="0021694F">
        <w:rPr>
          <w:rFonts w:asciiTheme="minorHAnsi" w:hAnsiTheme="minorHAnsi" w:cstheme="minorHAnsi"/>
        </w:rPr>
        <w:t xml:space="preserve"> century by Montesquieu, "</w:t>
      </w:r>
      <w:r w:rsidRPr="0021694F">
        <w:rPr>
          <w:rFonts w:asciiTheme="minorHAnsi" w:hAnsiTheme="minorHAnsi" w:cstheme="minorHAnsi"/>
          <w:i/>
        </w:rPr>
        <w:t>Spirit of the Laws</w:t>
      </w:r>
      <w:r w:rsidRPr="0021694F">
        <w:rPr>
          <w:rFonts w:asciiTheme="minorHAnsi" w:hAnsiTheme="minorHAnsi" w:cstheme="minorHAnsi"/>
        </w:rPr>
        <w:t xml:space="preserve">", has significantly played a vital role in political theory (Sagar, 2021). With the help of this theory, the authority of the UK has been divided into three principal institutional powers. However, it is found that the UK and other jurisdictions related to the separation of power has less </w:t>
      </w:r>
      <w:r w:rsidR="00D2028E" w:rsidRPr="0021694F">
        <w:rPr>
          <w:rFonts w:asciiTheme="minorHAnsi" w:hAnsiTheme="minorHAnsi" w:cstheme="minorHAnsi"/>
        </w:rPr>
        <w:t>prominen</w:t>
      </w:r>
      <w:r w:rsidR="00D2028E">
        <w:rPr>
          <w:rFonts w:asciiTheme="minorHAnsi" w:hAnsiTheme="minorHAnsi" w:cstheme="minorHAnsi"/>
        </w:rPr>
        <w:t>c</w:t>
      </w:r>
      <w:r w:rsidR="00D2028E" w:rsidRPr="0021694F">
        <w:rPr>
          <w:rFonts w:asciiTheme="minorHAnsi" w:hAnsiTheme="minorHAnsi" w:cstheme="minorHAnsi"/>
        </w:rPr>
        <w:t>e</w:t>
      </w:r>
      <w:r w:rsidRPr="0021694F">
        <w:rPr>
          <w:rFonts w:asciiTheme="minorHAnsi" w:hAnsiTheme="minorHAnsi" w:cstheme="minorHAnsi"/>
        </w:rPr>
        <w:t>.</w:t>
      </w:r>
      <w:r w:rsidR="00D2028E">
        <w:rPr>
          <w:rFonts w:asciiTheme="minorHAnsi" w:hAnsiTheme="minorHAnsi" w:cstheme="minorHAnsi"/>
        </w:rPr>
        <w:t xml:space="preserve"> </w:t>
      </w:r>
      <w:r w:rsidRPr="0021694F">
        <w:rPr>
          <w:rFonts w:asciiTheme="minorHAnsi" w:hAnsiTheme="minorHAnsi" w:cstheme="minorHAnsi"/>
        </w:rPr>
        <w:t>Therefore, the major institutions in the UK have been developed to make the balance between the government and parliament an effective manner. Walter Bagehot has demonstrated that these three branches have been called a fusion of powers under the English Constitution due to resembles in their powers (</w:t>
      </w:r>
      <w:proofErr w:type="spellStart"/>
      <w:r w:rsidRPr="0021694F">
        <w:rPr>
          <w:rFonts w:asciiTheme="minorHAnsi" w:hAnsiTheme="minorHAnsi" w:cstheme="minorHAnsi"/>
        </w:rPr>
        <w:t>Gardbaum</w:t>
      </w:r>
      <w:proofErr w:type="spellEnd"/>
      <w:r w:rsidRPr="0021694F">
        <w:rPr>
          <w:rFonts w:asciiTheme="minorHAnsi" w:hAnsiTheme="minorHAnsi" w:cstheme="minorHAnsi"/>
        </w:rPr>
        <w:t xml:space="preserve">, 2017). </w:t>
      </w:r>
    </w:p>
    <w:p w14:paraId="4189D73E" w14:textId="3F6F23A5" w:rsidR="005902DE" w:rsidRPr="0021694F" w:rsidRDefault="005902DE" w:rsidP="0021694F">
      <w:pPr>
        <w:ind w:firstLine="0"/>
        <w:rPr>
          <w:rFonts w:asciiTheme="minorHAnsi" w:hAnsiTheme="minorHAnsi" w:cstheme="minorHAnsi"/>
        </w:rPr>
      </w:pPr>
      <w:r w:rsidRPr="0021694F">
        <w:rPr>
          <w:rFonts w:asciiTheme="minorHAnsi" w:hAnsiTheme="minorHAnsi" w:cstheme="minorHAnsi"/>
        </w:rPr>
        <w:t xml:space="preserve">The study of Andrews, (2017) </w:t>
      </w:r>
      <w:r w:rsidRPr="0021694F">
        <w:rPr>
          <w:rFonts w:asciiTheme="minorHAnsi" w:hAnsiTheme="minorHAnsi" w:cstheme="minorHAnsi"/>
        </w:rPr>
        <w:t>analyzed</w:t>
      </w:r>
      <w:r w:rsidRPr="0021694F">
        <w:rPr>
          <w:rFonts w:asciiTheme="minorHAnsi" w:hAnsiTheme="minorHAnsi" w:cstheme="minorHAnsi"/>
        </w:rPr>
        <w:t xml:space="preserve"> that the separation of power in the UK has explicitly unmistakable due to different policy initiatives.</w:t>
      </w:r>
      <w:r w:rsidR="00B419EB">
        <w:rPr>
          <w:rFonts w:asciiTheme="minorHAnsi" w:hAnsiTheme="minorHAnsi" w:cstheme="minorHAnsi"/>
        </w:rPr>
        <w:t xml:space="preserve"> </w:t>
      </w:r>
      <w:r w:rsidRPr="0021694F">
        <w:rPr>
          <w:rFonts w:asciiTheme="minorHAnsi" w:hAnsiTheme="minorHAnsi" w:cstheme="minorHAnsi"/>
        </w:rPr>
        <w:t xml:space="preserve">It is found from the Constitutional Reform Act 2005 that the power of the judiciary has been moving in a formal separation of their powers. Due to independent Supreme Courts in the UK, it is observed that there has been dismantling of many offices in the UK that have untangled the characteristics of fusion of power. On the other hand, it is found from Section 2 of the House of Commons (Disqualification) Act 1975 that judicial officers, </w:t>
      </w:r>
      <w:r w:rsidRPr="0021694F">
        <w:rPr>
          <w:rFonts w:asciiTheme="minorHAnsi" w:hAnsiTheme="minorHAnsi" w:cstheme="minorHAnsi"/>
        </w:rPr>
        <w:t>police,</w:t>
      </w:r>
      <w:r w:rsidRPr="0021694F">
        <w:rPr>
          <w:rFonts w:asciiTheme="minorHAnsi" w:hAnsiTheme="minorHAnsi" w:cstheme="minorHAnsi"/>
        </w:rPr>
        <w:t xml:space="preserve"> and armed forces members have been disqualified from being part of the parliamentary office (</w:t>
      </w:r>
      <w:proofErr w:type="spellStart"/>
      <w:r w:rsidRPr="0021694F">
        <w:rPr>
          <w:rFonts w:asciiTheme="minorHAnsi" w:hAnsiTheme="minorHAnsi" w:cstheme="minorHAnsi"/>
        </w:rPr>
        <w:t>Jaconelli</w:t>
      </w:r>
      <w:proofErr w:type="spellEnd"/>
      <w:r w:rsidRPr="0021694F">
        <w:rPr>
          <w:rFonts w:asciiTheme="minorHAnsi" w:hAnsiTheme="minorHAnsi" w:cstheme="minorHAnsi"/>
        </w:rPr>
        <w:t xml:space="preserve">, 2020).  </w:t>
      </w:r>
    </w:p>
    <w:p w14:paraId="76A1B13F" w14:textId="77777777" w:rsidR="005902DE" w:rsidRPr="0021694F" w:rsidRDefault="005902DE" w:rsidP="005902DE">
      <w:pPr>
        <w:pStyle w:val="Heading3"/>
        <w:rPr>
          <w:rFonts w:asciiTheme="minorHAnsi" w:hAnsiTheme="minorHAnsi" w:cstheme="minorHAnsi"/>
          <w:b/>
          <w:bCs/>
        </w:rPr>
      </w:pPr>
      <w:r w:rsidRPr="0021694F">
        <w:rPr>
          <w:rFonts w:asciiTheme="minorHAnsi" w:hAnsiTheme="minorHAnsi" w:cstheme="minorHAnsi"/>
        </w:rPr>
        <w:lastRenderedPageBreak/>
        <w:t xml:space="preserve"> </w:t>
      </w:r>
      <w:bookmarkStart w:id="1" w:name="_Toc83053079"/>
      <w:r w:rsidRPr="0021694F">
        <w:rPr>
          <w:rFonts w:asciiTheme="minorHAnsi" w:hAnsiTheme="minorHAnsi" w:cstheme="minorHAnsi"/>
          <w:b/>
          <w:bCs/>
        </w:rPr>
        <w:t>Separation of the Executive and Legislature</w:t>
      </w:r>
      <w:bookmarkEnd w:id="1"/>
    </w:p>
    <w:p w14:paraId="3419C67B" w14:textId="71D78726" w:rsidR="005902DE" w:rsidRPr="0021694F" w:rsidRDefault="005902DE" w:rsidP="0021694F">
      <w:pPr>
        <w:ind w:firstLine="0"/>
        <w:rPr>
          <w:rFonts w:asciiTheme="minorHAnsi" w:hAnsiTheme="minorHAnsi" w:cstheme="minorHAnsi"/>
        </w:rPr>
      </w:pPr>
      <w:r w:rsidRPr="0021694F">
        <w:rPr>
          <w:rFonts w:asciiTheme="minorHAnsi" w:hAnsiTheme="minorHAnsi" w:cstheme="minorHAnsi"/>
        </w:rPr>
        <w:t xml:space="preserve">It is important to understand that the separation of both executive and legislature cannot be done thoroughly. However, there has been a continuum between both parties with the help of the confidence link. It is noted that the constitution has been used in the UK </w:t>
      </w:r>
      <w:r w:rsidR="0021694F" w:rsidRPr="0021694F">
        <w:rPr>
          <w:rFonts w:asciiTheme="minorHAnsi" w:hAnsiTheme="minorHAnsi" w:cstheme="minorHAnsi"/>
        </w:rPr>
        <w:t>to</w:t>
      </w:r>
      <w:r w:rsidRPr="0021694F">
        <w:rPr>
          <w:rFonts w:asciiTheme="minorHAnsi" w:hAnsiTheme="minorHAnsi" w:cstheme="minorHAnsi"/>
        </w:rPr>
        <w:t xml:space="preserve"> make a proper balance between these two branches. The UK law and legislation have been used </w:t>
      </w:r>
      <w:proofErr w:type="gramStart"/>
      <w:r w:rsidRPr="0021694F">
        <w:rPr>
          <w:rFonts w:asciiTheme="minorHAnsi" w:hAnsiTheme="minorHAnsi" w:cstheme="minorHAnsi"/>
        </w:rPr>
        <w:t>in</w:t>
      </w:r>
      <w:r w:rsidR="0021694F">
        <w:rPr>
          <w:rFonts w:asciiTheme="minorHAnsi" w:hAnsiTheme="minorHAnsi" w:cstheme="minorHAnsi"/>
        </w:rPr>
        <w:t xml:space="preserve"> </w:t>
      </w:r>
      <w:r w:rsidRPr="0021694F">
        <w:rPr>
          <w:rFonts w:asciiTheme="minorHAnsi" w:hAnsiTheme="minorHAnsi" w:cstheme="minorHAnsi"/>
        </w:rPr>
        <w:t>order</w:t>
      </w:r>
      <w:r w:rsidR="0021694F">
        <w:rPr>
          <w:rFonts w:asciiTheme="minorHAnsi" w:hAnsiTheme="minorHAnsi" w:cstheme="minorHAnsi"/>
        </w:rPr>
        <w:t xml:space="preserve"> </w:t>
      </w:r>
      <w:r w:rsidRPr="0021694F">
        <w:rPr>
          <w:rFonts w:asciiTheme="minorHAnsi" w:hAnsiTheme="minorHAnsi" w:cstheme="minorHAnsi"/>
        </w:rPr>
        <w:t>to</w:t>
      </w:r>
      <w:proofErr w:type="gramEnd"/>
      <w:r w:rsidRPr="0021694F">
        <w:rPr>
          <w:rFonts w:asciiTheme="minorHAnsi" w:hAnsiTheme="minorHAnsi" w:cstheme="minorHAnsi"/>
        </w:rPr>
        <w:t xml:space="preserve"> persevere the separation, and therefore, the House of Commons (Disqualification) Act 1975 has played a key role in it. With the help of the House of Commons (Disqualification) Act 1975, there has been a limited amount of Government Ministers for up to ninety-five only in the House of Commons. On the other hand, Parliamentary Voting System and Constituencies Act 2011 has provided information about the provision for a referendum (Renwick and </w:t>
      </w:r>
      <w:proofErr w:type="spellStart"/>
      <w:r w:rsidRPr="0021694F">
        <w:rPr>
          <w:rFonts w:asciiTheme="minorHAnsi" w:hAnsiTheme="minorHAnsi" w:cstheme="minorHAnsi"/>
        </w:rPr>
        <w:t>Vowles</w:t>
      </w:r>
      <w:proofErr w:type="spellEnd"/>
      <w:r w:rsidRPr="0021694F">
        <w:rPr>
          <w:rFonts w:asciiTheme="minorHAnsi" w:hAnsiTheme="minorHAnsi" w:cstheme="minorHAnsi"/>
        </w:rPr>
        <w:t xml:space="preserve">, 2021). The primary purpose of this act is to demonstrate the voting system related to parliamentary elections. It is noted that Parliamentary Voting System and Constituencies Act 2011 was used to provide information related to parliamentary elections, and it is found that elections should be conducted under the alternative system for votes. </w:t>
      </w:r>
    </w:p>
    <w:p w14:paraId="0B5128F4" w14:textId="5F8CE04A" w:rsidR="005902DE" w:rsidRPr="0021694F" w:rsidRDefault="005902DE" w:rsidP="005902DE">
      <w:pPr>
        <w:ind w:firstLine="0"/>
        <w:rPr>
          <w:rFonts w:asciiTheme="minorHAnsi" w:hAnsiTheme="minorHAnsi" w:cstheme="minorHAnsi"/>
        </w:rPr>
      </w:pPr>
      <w:r w:rsidRPr="0021694F">
        <w:rPr>
          <w:rFonts w:asciiTheme="minorHAnsi" w:hAnsiTheme="minorHAnsi" w:cstheme="minorHAnsi"/>
        </w:rPr>
        <w:t xml:space="preserve">Therefore, the adoption of alternative votes for members of parliament instead of first past the post has been considered as separation in the power of executives and legislation. Moreover, it is found from the Backbench Business Committee 2010 presented in the Parliament to provide information about the backbench business by taking it in the House. It is noted that there are seven members and one chairman (Shephard and </w:t>
      </w:r>
      <w:proofErr w:type="spellStart"/>
      <w:r w:rsidRPr="0021694F">
        <w:rPr>
          <w:rFonts w:asciiTheme="minorHAnsi" w:hAnsiTheme="minorHAnsi" w:cstheme="minorHAnsi"/>
        </w:rPr>
        <w:t>Caird</w:t>
      </w:r>
      <w:proofErr w:type="spellEnd"/>
      <w:r w:rsidRPr="0021694F">
        <w:rPr>
          <w:rFonts w:asciiTheme="minorHAnsi" w:hAnsiTheme="minorHAnsi" w:cstheme="minorHAnsi"/>
        </w:rPr>
        <w:t xml:space="preserve">, 2018). The committee understands that providing power to the members to communicate and vote can be advantageous and dangerous at the same time. For this reason, separation of power is essential, and it can be vital in the case of the backbench debate. </w:t>
      </w:r>
    </w:p>
    <w:p w14:paraId="7D90A851" w14:textId="77777777" w:rsidR="005902DE" w:rsidRPr="00B419EB" w:rsidRDefault="005902DE" w:rsidP="005902DE">
      <w:pPr>
        <w:pStyle w:val="Heading3"/>
        <w:rPr>
          <w:rFonts w:asciiTheme="minorHAnsi" w:hAnsiTheme="minorHAnsi" w:cstheme="minorHAnsi"/>
          <w:b/>
          <w:bCs/>
        </w:rPr>
      </w:pPr>
      <w:bookmarkStart w:id="2" w:name="_Toc83053080"/>
      <w:r w:rsidRPr="00B419EB">
        <w:rPr>
          <w:rFonts w:asciiTheme="minorHAnsi" w:hAnsiTheme="minorHAnsi" w:cstheme="minorHAnsi"/>
          <w:b/>
          <w:bCs/>
        </w:rPr>
        <w:lastRenderedPageBreak/>
        <w:t>Separation of the legislature and judiciary</w:t>
      </w:r>
      <w:bookmarkEnd w:id="2"/>
    </w:p>
    <w:p w14:paraId="31962855" w14:textId="77777777" w:rsidR="005902DE" w:rsidRPr="0021694F" w:rsidRDefault="005902DE" w:rsidP="00B419EB">
      <w:pPr>
        <w:ind w:firstLine="0"/>
        <w:rPr>
          <w:rFonts w:asciiTheme="minorHAnsi" w:hAnsiTheme="minorHAnsi" w:cstheme="minorHAnsi"/>
        </w:rPr>
      </w:pPr>
      <w:r w:rsidRPr="0021694F">
        <w:rPr>
          <w:rFonts w:asciiTheme="minorHAnsi" w:hAnsiTheme="minorHAnsi" w:cstheme="minorHAnsi"/>
        </w:rPr>
        <w:t>It is noted that there should be a separation between the power of both legislature and judiciary. It is because the legislature in the UK is used for the enactments. On the other hand, it is found from the judiciary point of view, and they have the responsibility of the adjudicated disputes and issues. For this reason, it is found from Section 1 of the House of Commons Disqualification Act 1975 that there should be disqualification of holders of judicial office that has been specified in Schedule 1 (</w:t>
      </w:r>
      <w:proofErr w:type="spellStart"/>
      <w:r w:rsidRPr="0021694F">
        <w:rPr>
          <w:rFonts w:asciiTheme="minorHAnsi" w:hAnsiTheme="minorHAnsi" w:cstheme="minorHAnsi"/>
        </w:rPr>
        <w:t>Jaconelli</w:t>
      </w:r>
      <w:proofErr w:type="spellEnd"/>
      <w:r w:rsidRPr="0021694F">
        <w:rPr>
          <w:rFonts w:asciiTheme="minorHAnsi" w:hAnsiTheme="minorHAnsi" w:cstheme="minorHAnsi"/>
        </w:rPr>
        <w:t xml:space="preserve">, 2020). On the other hand, any person who is a civil servant in the UK of the legislature has been disqualified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create separation of power. In the case of Jackson v Her Majesty's Attorney General 2005, it is argued that it has been used to hold the validity of the Parliament Act 1949. Therefore, the claimant has claimed that the Hunting Act 2004 has been invalidly passed with the help of the Parliament Act 1949 because it was illegal itself (Nurse, 2017). However, Lord Bingham has stated that the Parliament Act 1949 has been legally enacted and therefore, Hunting Act 2004 is valid law. On the other hand, it is found from the case that there has been a separation of power as the judiciary are responsible for answering the issue. However, the current legislature or Parliament did not respond to it due to the separation of power. </w:t>
      </w:r>
    </w:p>
    <w:p w14:paraId="43C3001B" w14:textId="709B7826" w:rsidR="005902DE" w:rsidRPr="0021694F" w:rsidRDefault="005902DE" w:rsidP="005902DE">
      <w:pPr>
        <w:ind w:firstLine="0"/>
        <w:rPr>
          <w:rFonts w:asciiTheme="minorHAnsi" w:hAnsiTheme="minorHAnsi" w:cstheme="minorHAnsi"/>
        </w:rPr>
      </w:pPr>
      <w:r w:rsidRPr="0021694F">
        <w:rPr>
          <w:rFonts w:asciiTheme="minorHAnsi" w:hAnsiTheme="minorHAnsi" w:cstheme="minorHAnsi"/>
        </w:rPr>
        <w:t xml:space="preserve">Moreover, it is found from the sub-judice rule is used in the UK as it has prevented Lords from interfering in the current court cases. On the other hand, Parliamentary Privilege Act has created a separation of power as members in the Parliament have specific power against civil liability (Chamberlain and </w:t>
      </w:r>
      <w:proofErr w:type="spellStart"/>
      <w:r w:rsidRPr="0021694F">
        <w:rPr>
          <w:rFonts w:asciiTheme="minorHAnsi" w:hAnsiTheme="minorHAnsi" w:cstheme="minorHAnsi"/>
        </w:rPr>
        <w:t>Segan</w:t>
      </w:r>
      <w:proofErr w:type="spellEnd"/>
      <w:r w:rsidRPr="0021694F">
        <w:rPr>
          <w:rFonts w:asciiTheme="minorHAnsi" w:hAnsiTheme="minorHAnsi" w:cstheme="minorHAnsi"/>
        </w:rPr>
        <w:t xml:space="preserve">, 2018). Therefore, they can be protected with the help of this act. It is argued in the case of </w:t>
      </w:r>
      <w:proofErr w:type="spellStart"/>
      <w:r w:rsidRPr="0021694F">
        <w:rPr>
          <w:rFonts w:asciiTheme="minorHAnsi" w:hAnsiTheme="minorHAnsi" w:cstheme="minorHAnsi"/>
        </w:rPr>
        <w:t>Burmah</w:t>
      </w:r>
      <w:proofErr w:type="spellEnd"/>
      <w:r w:rsidRPr="0021694F">
        <w:rPr>
          <w:rFonts w:asciiTheme="minorHAnsi" w:hAnsiTheme="minorHAnsi" w:cstheme="minorHAnsi"/>
        </w:rPr>
        <w:t xml:space="preserve"> Oil v Lord Advocate 1965, in which the government of the UK has been exempted from liability that has been occurred due to damage during the wartime period.</w:t>
      </w:r>
    </w:p>
    <w:p w14:paraId="19C263D2" w14:textId="77777777" w:rsidR="005902DE" w:rsidRPr="00B419EB" w:rsidRDefault="005902DE" w:rsidP="005902DE">
      <w:pPr>
        <w:pStyle w:val="Heading3"/>
        <w:rPr>
          <w:rFonts w:asciiTheme="minorHAnsi" w:hAnsiTheme="minorHAnsi" w:cstheme="minorHAnsi"/>
          <w:b/>
          <w:bCs/>
        </w:rPr>
      </w:pPr>
      <w:bookmarkStart w:id="3" w:name="_Toc83053081"/>
      <w:r w:rsidRPr="00B419EB">
        <w:rPr>
          <w:rFonts w:asciiTheme="minorHAnsi" w:hAnsiTheme="minorHAnsi" w:cstheme="minorHAnsi"/>
          <w:b/>
          <w:bCs/>
        </w:rPr>
        <w:lastRenderedPageBreak/>
        <w:t>Separation of the executive and judiciary</w:t>
      </w:r>
      <w:bookmarkEnd w:id="3"/>
    </w:p>
    <w:p w14:paraId="517C22B0" w14:textId="77777777" w:rsidR="005902DE" w:rsidRPr="0021694F" w:rsidRDefault="005902DE" w:rsidP="00B419EB">
      <w:pPr>
        <w:ind w:firstLine="0"/>
        <w:rPr>
          <w:rFonts w:asciiTheme="minorHAnsi" w:hAnsiTheme="minorHAnsi" w:cstheme="minorHAnsi"/>
        </w:rPr>
      </w:pPr>
      <w:r w:rsidRPr="0021694F">
        <w:rPr>
          <w:rFonts w:asciiTheme="minorHAnsi" w:hAnsiTheme="minorHAnsi" w:cstheme="minorHAnsi"/>
        </w:rPr>
        <w:t>The case of A v Secretary of state for Home Department 2004 has been considered a landmark in the separation of power between the executive and judiciary. It is found that Home Secretary has no power to release the prisoners because it is the duty of the judiciary. There should be a separation in power, as this case has highlighted the discrimination between the executive and judiciary powers (Jacobs, 2019). On the other hand, Constitutional Reform Act (2005) is vital for the separation of power as it has been reformed into three different parts. With the help of this act, there are separate Supreme Court for the judiciary. In this way, there has been an explicit difference between the power of the executive and judiciary. It is important for judges to not involve in the roles of executives or legislatures. However, in McGonnell v UK 2000, it is argued that there has been a breach of Article 6 that indicated that an independent judge should provide a fair trial (Andrews, 2018). On the other hand, the judge has both executive and legislative power and role in this case. For this reason, it has been invalid, and the judgment has been cancelled based on a violation of the separation of power. According to Section 11 of the Senior Courts Act 1981, it is found that the judges should be retired when they reach the age of 65 or above (Blackwell, 2017). Therefore, the executive has made the rule, so there should be no involvement of the judiciary in this case.</w:t>
      </w:r>
    </w:p>
    <w:p w14:paraId="13A1D18E" w14:textId="77777777" w:rsidR="005902DE" w:rsidRPr="00B419EB" w:rsidRDefault="005902DE" w:rsidP="00B419EB">
      <w:pPr>
        <w:pStyle w:val="Heading2"/>
        <w:jc w:val="center"/>
        <w:rPr>
          <w:rFonts w:asciiTheme="minorHAnsi" w:hAnsiTheme="minorHAnsi" w:cstheme="minorHAnsi"/>
          <w:b/>
          <w:bCs/>
        </w:rPr>
      </w:pPr>
      <w:bookmarkStart w:id="4" w:name="_Toc83053082"/>
      <w:r w:rsidRPr="00B419EB">
        <w:rPr>
          <w:rFonts w:asciiTheme="minorHAnsi" w:hAnsiTheme="minorHAnsi" w:cstheme="minorHAnsi"/>
          <w:b/>
          <w:bCs/>
        </w:rPr>
        <w:t>Conclusion</w:t>
      </w:r>
      <w:bookmarkEnd w:id="4"/>
    </w:p>
    <w:p w14:paraId="41F0ED3B" w14:textId="128B3EBC" w:rsidR="005902DE" w:rsidRPr="0021694F" w:rsidRDefault="005902DE" w:rsidP="00B419EB">
      <w:pPr>
        <w:ind w:firstLine="0"/>
        <w:rPr>
          <w:rFonts w:asciiTheme="minorHAnsi" w:hAnsiTheme="minorHAnsi" w:cstheme="minorHAnsi"/>
        </w:rPr>
      </w:pPr>
      <w:r w:rsidRPr="0021694F">
        <w:rPr>
          <w:rFonts w:asciiTheme="minorHAnsi" w:hAnsiTheme="minorHAnsi" w:cstheme="minorHAnsi"/>
        </w:rPr>
        <w:t xml:space="preserve"> It is concluded from the above-collected information that separation of powers is essential in the UK. It is because it allows three main principals in the UK to work independently. It is found that there should be a separation of power between all three branches, such as executive, legislatures and judiciary. It is </w:t>
      </w:r>
      <w:r w:rsidR="00116FB7" w:rsidRPr="0021694F">
        <w:rPr>
          <w:rFonts w:asciiTheme="minorHAnsi" w:hAnsiTheme="minorHAnsi" w:cstheme="minorHAnsi"/>
        </w:rPr>
        <w:t>analyzed</w:t>
      </w:r>
      <w:r w:rsidRPr="0021694F">
        <w:rPr>
          <w:rFonts w:asciiTheme="minorHAnsi" w:hAnsiTheme="minorHAnsi" w:cstheme="minorHAnsi"/>
        </w:rPr>
        <w:t xml:space="preserve"> that the judges should have no roles as executives and legislators according to Article 6. Moreover, it is noted that the case of </w:t>
      </w:r>
      <w:r w:rsidRPr="0021694F">
        <w:rPr>
          <w:rFonts w:asciiTheme="minorHAnsi" w:hAnsiTheme="minorHAnsi" w:cstheme="minorHAnsi"/>
        </w:rPr>
        <w:lastRenderedPageBreak/>
        <w:t xml:space="preserve">McGonnell v UK 2000 has played a vital part in creating a separation role in judiciary and executive. On the other hand, it is found that the sub judice rule has been essential for judges as it has prevented legislators and parliament from making any interference in court cases. However, it is found from the Parliamentary Privilege Act that the parliament of the UK has protected from civil and criminal liability effectively. On the other hand, it is </w:t>
      </w:r>
      <w:proofErr w:type="spellStart"/>
      <w:r w:rsidRPr="0021694F">
        <w:rPr>
          <w:rFonts w:asciiTheme="minorHAnsi" w:hAnsiTheme="minorHAnsi" w:cstheme="minorHAnsi"/>
        </w:rPr>
        <w:t>analysed</w:t>
      </w:r>
      <w:proofErr w:type="spellEnd"/>
      <w:r w:rsidRPr="0021694F">
        <w:rPr>
          <w:rFonts w:asciiTheme="minorHAnsi" w:hAnsiTheme="minorHAnsi" w:cstheme="minorHAnsi"/>
        </w:rPr>
        <w:t xml:space="preserve"> that Section 2 of the House of Commons (Disqualification) Act 1975 has mentioned that executors such as judicial officers, police and armed forces members are disqualified from parliamentary office. </w:t>
      </w:r>
    </w:p>
    <w:p w14:paraId="5AA0F980" w14:textId="77777777" w:rsidR="005902DE" w:rsidRPr="00B419EB" w:rsidRDefault="005902DE" w:rsidP="00B419EB">
      <w:pPr>
        <w:pStyle w:val="Heading1"/>
        <w:jc w:val="center"/>
        <w:rPr>
          <w:rFonts w:asciiTheme="minorHAnsi" w:hAnsiTheme="minorHAnsi" w:cstheme="minorHAnsi"/>
          <w:b/>
          <w:bCs/>
          <w:color w:val="0D0D0D" w:themeColor="text1" w:themeTint="F2"/>
        </w:rPr>
      </w:pPr>
      <w:bookmarkStart w:id="5" w:name="_Toc83053083"/>
      <w:r w:rsidRPr="00B419EB">
        <w:rPr>
          <w:rFonts w:asciiTheme="minorHAnsi" w:hAnsiTheme="minorHAnsi" w:cstheme="minorHAnsi"/>
          <w:b/>
          <w:bCs/>
          <w:color w:val="0D0D0D" w:themeColor="text1" w:themeTint="F2"/>
        </w:rPr>
        <w:t>Part 2</w:t>
      </w:r>
      <w:bookmarkEnd w:id="5"/>
    </w:p>
    <w:p w14:paraId="6C907C23" w14:textId="77777777" w:rsidR="005902DE" w:rsidRPr="00B419EB" w:rsidRDefault="005902DE" w:rsidP="005902DE">
      <w:pPr>
        <w:pStyle w:val="Heading2"/>
        <w:rPr>
          <w:rFonts w:asciiTheme="minorHAnsi" w:hAnsiTheme="minorHAnsi" w:cstheme="minorHAnsi"/>
          <w:b/>
          <w:bCs/>
        </w:rPr>
      </w:pPr>
      <w:bookmarkStart w:id="6" w:name="_Toc83053084"/>
      <w:r w:rsidRPr="00B419EB">
        <w:rPr>
          <w:rFonts w:asciiTheme="minorHAnsi" w:hAnsiTheme="minorHAnsi" w:cstheme="minorHAnsi"/>
          <w:b/>
          <w:bCs/>
        </w:rPr>
        <w:t>Introduction</w:t>
      </w:r>
      <w:bookmarkEnd w:id="6"/>
    </w:p>
    <w:p w14:paraId="7DF74658" w14:textId="77777777" w:rsidR="005902DE" w:rsidRPr="0021694F" w:rsidRDefault="005902DE" w:rsidP="005902DE">
      <w:pPr>
        <w:rPr>
          <w:rFonts w:asciiTheme="minorHAnsi" w:hAnsiTheme="minorHAnsi" w:cstheme="minorHAnsi"/>
        </w:rPr>
      </w:pPr>
      <w:r w:rsidRPr="0021694F">
        <w:rPr>
          <w:rFonts w:asciiTheme="minorHAnsi" w:hAnsiTheme="minorHAnsi" w:cstheme="minorHAnsi"/>
        </w:rPr>
        <w:t xml:space="preserve">Part two of the assignment has discussed the fictitious scenario with the help of law and legislation of the UK. It is found that </w:t>
      </w:r>
      <w:proofErr w:type="spellStart"/>
      <w:r w:rsidRPr="0021694F">
        <w:rPr>
          <w:rFonts w:asciiTheme="minorHAnsi" w:hAnsiTheme="minorHAnsi" w:cstheme="minorHAnsi"/>
        </w:rPr>
        <w:t>Menne</w:t>
      </w:r>
      <w:proofErr w:type="spellEnd"/>
      <w:r w:rsidRPr="0021694F">
        <w:rPr>
          <w:rFonts w:asciiTheme="minorHAnsi" w:hAnsiTheme="minorHAnsi" w:cstheme="minorHAnsi"/>
        </w:rPr>
        <w:t xml:space="preserve"> has been whiling to hold a protest march; therefore, it is important to understand the rights and powers of the Chief constable. On the other hand, it also demonstrates key information related to abusive language. For this reason, the current part provides information with the help of the Public Order Act 1986 and the Police and Criminal Evidence Act 1984. </w:t>
      </w:r>
    </w:p>
    <w:p w14:paraId="12529316" w14:textId="77777777" w:rsidR="005902DE" w:rsidRPr="0021694F" w:rsidRDefault="005902DE" w:rsidP="005902DE">
      <w:pPr>
        <w:pStyle w:val="Heading2"/>
        <w:rPr>
          <w:rFonts w:asciiTheme="minorHAnsi" w:hAnsiTheme="minorHAnsi" w:cstheme="minorHAnsi"/>
        </w:rPr>
      </w:pPr>
      <w:bookmarkStart w:id="7" w:name="_Toc83053085"/>
      <w:r w:rsidRPr="0021694F">
        <w:rPr>
          <w:rFonts w:asciiTheme="minorHAnsi" w:hAnsiTheme="minorHAnsi" w:cstheme="minorHAnsi"/>
        </w:rPr>
        <w:t>Issue</w:t>
      </w:r>
      <w:bookmarkEnd w:id="7"/>
    </w:p>
    <w:p w14:paraId="04E162E0" w14:textId="77777777" w:rsidR="005902DE" w:rsidRPr="0021694F" w:rsidRDefault="005902DE" w:rsidP="00B419EB">
      <w:pPr>
        <w:ind w:firstLine="0"/>
        <w:rPr>
          <w:rFonts w:asciiTheme="minorHAnsi" w:hAnsiTheme="minorHAnsi" w:cstheme="minorHAnsi"/>
        </w:rPr>
      </w:pPr>
      <w:r w:rsidRPr="0021694F">
        <w:rPr>
          <w:rFonts w:asciiTheme="minorHAnsi" w:hAnsiTheme="minorHAnsi" w:cstheme="minorHAnsi"/>
        </w:rPr>
        <w:t xml:space="preserve">It is essential to understand that there are certain issues related to the current case scenario. Firstly, it is found that </w:t>
      </w:r>
      <w:proofErr w:type="spellStart"/>
      <w:r w:rsidRPr="0021694F">
        <w:rPr>
          <w:rFonts w:asciiTheme="minorHAnsi" w:hAnsiTheme="minorHAnsi" w:cstheme="minorHAnsi"/>
        </w:rPr>
        <w:t>Menna</w:t>
      </w:r>
      <w:proofErr w:type="spellEnd"/>
      <w:r w:rsidRPr="0021694F">
        <w:rPr>
          <w:rFonts w:asciiTheme="minorHAnsi" w:hAnsiTheme="minorHAnsi" w:cstheme="minorHAnsi"/>
        </w:rPr>
        <w:t xml:space="preserve"> wanted to hold a march against the super-prison in North Wales. Therefore, it is important to understand whether the Chief Constable has powers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control the protest or prohibit the intended march as there are serious concerns related to traffic issues. Secondly, it is found that Tim, who was one of the protestors in the </w:t>
      </w:r>
      <w:r w:rsidRPr="0021694F">
        <w:rPr>
          <w:rFonts w:asciiTheme="minorHAnsi" w:hAnsiTheme="minorHAnsi" w:cstheme="minorHAnsi"/>
        </w:rPr>
        <w:lastRenderedPageBreak/>
        <w:t xml:space="preserve">intended march, has abused PC Hemp. Therefore, it is vital to get insight into the legality of PC Hemp's action whether he can arrest Tim under Section 4 of the Public Order Act 1986. </w:t>
      </w:r>
    </w:p>
    <w:p w14:paraId="559AE179" w14:textId="77777777" w:rsidR="005902DE" w:rsidRPr="00B419EB" w:rsidRDefault="005902DE" w:rsidP="00B419EB">
      <w:pPr>
        <w:pStyle w:val="Heading2"/>
        <w:jc w:val="left"/>
        <w:rPr>
          <w:rFonts w:asciiTheme="minorHAnsi" w:hAnsiTheme="minorHAnsi" w:cstheme="minorHAnsi"/>
        </w:rPr>
      </w:pPr>
      <w:bookmarkStart w:id="8" w:name="_Toc83053086"/>
      <w:r w:rsidRPr="00B419EB">
        <w:rPr>
          <w:rFonts w:asciiTheme="minorHAnsi" w:hAnsiTheme="minorHAnsi" w:cstheme="minorHAnsi"/>
        </w:rPr>
        <w:t>Rule</w:t>
      </w:r>
      <w:bookmarkEnd w:id="8"/>
    </w:p>
    <w:p w14:paraId="2977414B" w14:textId="118E626D" w:rsidR="005902DE" w:rsidRPr="0021694F" w:rsidRDefault="005902DE" w:rsidP="00B419EB">
      <w:pPr>
        <w:ind w:firstLine="0"/>
        <w:rPr>
          <w:rFonts w:asciiTheme="minorHAnsi" w:hAnsiTheme="minorHAnsi" w:cstheme="minorHAnsi"/>
        </w:rPr>
      </w:pPr>
      <w:r w:rsidRPr="0021694F">
        <w:rPr>
          <w:rFonts w:asciiTheme="minorHAnsi" w:hAnsiTheme="minorHAnsi" w:cstheme="minorHAnsi"/>
        </w:rPr>
        <w:t>The Police and Criminal Evidence Act 1984 has been passed to unify the police's rights and powers so that they can balance their powers against the rights of the citizen of the UK. It is found from Section 24 of the Police and Criminal Evidence Act 1984 that police can arrest any individual involved in an offence without a warrant.</w:t>
      </w:r>
    </w:p>
    <w:p w14:paraId="65F86D12" w14:textId="78308F8F" w:rsidR="005902DE" w:rsidRPr="0021694F" w:rsidRDefault="005902DE" w:rsidP="00B419EB">
      <w:pPr>
        <w:ind w:firstLine="0"/>
        <w:rPr>
          <w:rFonts w:asciiTheme="minorHAnsi" w:hAnsiTheme="minorHAnsi" w:cstheme="minorHAnsi"/>
        </w:rPr>
      </w:pPr>
      <w:r w:rsidRPr="0021694F">
        <w:rPr>
          <w:rFonts w:asciiTheme="minorHAnsi" w:hAnsiTheme="minorHAnsi" w:cstheme="minorHAnsi"/>
        </w:rPr>
        <w:t xml:space="preserve">According to Part 2 of the Public Order Act 1986, it is found that police in the UK has powers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manage protests in an effective manner. With the help of the Public Order Act 1986, there are two classifications for protest. It is found that a marching protest is named a public procession, while a static protest is named a public assembly. According to the definition of public procession under the Public Order Act 1986, it is found that any intended March that wants to demonstrate opposition or support due to a specific view. For this reason, it is found that Section 11 of the Public Order Act 1986 has articulated </w:t>
      </w:r>
      <w:r w:rsidR="003F3AED" w:rsidRPr="0021694F">
        <w:rPr>
          <w:rFonts w:asciiTheme="minorHAnsi" w:hAnsiTheme="minorHAnsi" w:cstheme="minorHAnsi"/>
        </w:rPr>
        <w:t>that individual</w:t>
      </w:r>
      <w:r w:rsidRPr="0021694F">
        <w:rPr>
          <w:rFonts w:asciiTheme="minorHAnsi" w:hAnsiTheme="minorHAnsi" w:cstheme="minorHAnsi"/>
        </w:rPr>
        <w:t xml:space="preserve"> who are </w:t>
      </w:r>
      <w:r w:rsidR="003F3AED" w:rsidRPr="0021694F">
        <w:rPr>
          <w:rFonts w:asciiTheme="minorHAnsi" w:hAnsiTheme="minorHAnsi" w:cstheme="minorHAnsi"/>
        </w:rPr>
        <w:t>organizing</w:t>
      </w:r>
      <w:r w:rsidRPr="0021694F">
        <w:rPr>
          <w:rFonts w:asciiTheme="minorHAnsi" w:hAnsiTheme="minorHAnsi" w:cstheme="minorHAnsi"/>
        </w:rPr>
        <w:t xml:space="preserve"> any intended March or protest </w:t>
      </w:r>
      <w:proofErr w:type="gramStart"/>
      <w:r w:rsidRPr="0021694F">
        <w:rPr>
          <w:rFonts w:asciiTheme="minorHAnsi" w:hAnsiTheme="minorHAnsi" w:cstheme="minorHAnsi"/>
        </w:rPr>
        <w:t>have to</w:t>
      </w:r>
      <w:proofErr w:type="gramEnd"/>
      <w:r w:rsidRPr="0021694F">
        <w:rPr>
          <w:rFonts w:asciiTheme="minorHAnsi" w:hAnsiTheme="minorHAnsi" w:cstheme="minorHAnsi"/>
        </w:rPr>
        <w:t xml:space="preserve"> inform police in their vicinity. Moreover, the notice should be given to the police before six days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get permission for the protest. Therefore, it is considered an offence to impose a protest without informing the police.  </w:t>
      </w:r>
    </w:p>
    <w:p w14:paraId="067D3A5D" w14:textId="68D8EB5F" w:rsidR="005902DE" w:rsidRPr="0021694F" w:rsidRDefault="005902DE" w:rsidP="00B419EB">
      <w:pPr>
        <w:ind w:firstLine="0"/>
        <w:rPr>
          <w:rFonts w:asciiTheme="minorHAnsi" w:hAnsiTheme="minorHAnsi" w:cstheme="minorHAnsi"/>
        </w:rPr>
      </w:pPr>
      <w:r w:rsidRPr="0021694F">
        <w:rPr>
          <w:rFonts w:asciiTheme="minorHAnsi" w:hAnsiTheme="minorHAnsi" w:cstheme="minorHAnsi"/>
        </w:rPr>
        <w:t xml:space="preserve">On the other hand, it is found from Section 12 of the Public Order Act 1986 that it has allowed senior police officers and Chief Constable to issue specific directions which are taking part in the intended march or protest. The main aim of the direction is to mitigate the disorder, </w:t>
      </w:r>
      <w:r w:rsidR="003F3AED" w:rsidRPr="0021694F">
        <w:rPr>
          <w:rFonts w:asciiTheme="minorHAnsi" w:hAnsiTheme="minorHAnsi" w:cstheme="minorHAnsi"/>
        </w:rPr>
        <w:t>damage,</w:t>
      </w:r>
      <w:r w:rsidRPr="0021694F">
        <w:rPr>
          <w:rFonts w:asciiTheme="minorHAnsi" w:hAnsiTheme="minorHAnsi" w:cstheme="minorHAnsi"/>
        </w:rPr>
        <w:t xml:space="preserve"> or any intimidation. Moreover, it is found from the public order offences that </w:t>
      </w:r>
      <w:proofErr w:type="gramStart"/>
      <w:r w:rsidRPr="0021694F">
        <w:rPr>
          <w:rFonts w:asciiTheme="minorHAnsi" w:hAnsiTheme="minorHAnsi" w:cstheme="minorHAnsi"/>
        </w:rPr>
        <w:t>have to</w:t>
      </w:r>
      <w:proofErr w:type="gramEnd"/>
      <w:r w:rsidRPr="0021694F">
        <w:rPr>
          <w:rFonts w:asciiTheme="minorHAnsi" w:hAnsiTheme="minorHAnsi" w:cstheme="minorHAnsi"/>
        </w:rPr>
        <w:t xml:space="preserve"> be </w:t>
      </w:r>
      <w:r w:rsidR="003F3AED" w:rsidRPr="0021694F">
        <w:rPr>
          <w:rFonts w:asciiTheme="minorHAnsi" w:hAnsiTheme="minorHAnsi" w:cstheme="minorHAnsi"/>
        </w:rPr>
        <w:t>criminalized</w:t>
      </w:r>
      <w:r w:rsidRPr="0021694F">
        <w:rPr>
          <w:rFonts w:asciiTheme="minorHAnsi" w:hAnsiTheme="minorHAnsi" w:cstheme="minorHAnsi"/>
        </w:rPr>
        <w:t xml:space="preserve"> for using abusive words and violence. It is noted that Part 1 of the Public </w:t>
      </w:r>
      <w:r w:rsidRPr="0021694F">
        <w:rPr>
          <w:rFonts w:asciiTheme="minorHAnsi" w:hAnsiTheme="minorHAnsi" w:cstheme="minorHAnsi"/>
        </w:rPr>
        <w:lastRenderedPageBreak/>
        <w:t xml:space="preserve">Order Act 1986 has demonstrated the public order offences such as displaying any threat, use of abusive words, and language. Therefore, Section 4 of the Public Order Act 1986 is based on threatening words and </w:t>
      </w:r>
      <w:r w:rsidR="003F3AED" w:rsidRPr="0021694F">
        <w:rPr>
          <w:rFonts w:asciiTheme="minorHAnsi" w:hAnsiTheme="minorHAnsi" w:cstheme="minorHAnsi"/>
        </w:rPr>
        <w:t>behavior</w:t>
      </w:r>
      <w:r w:rsidRPr="0021694F">
        <w:rPr>
          <w:rFonts w:asciiTheme="minorHAnsi" w:hAnsiTheme="minorHAnsi" w:cstheme="minorHAnsi"/>
        </w:rPr>
        <w:t xml:space="preserve">. It is found that violence that words or actions can do are considered an offence of fear. For this reason, any offender under this act can get a penalty of around six months of imprisonment </w:t>
      </w:r>
      <w:proofErr w:type="gramStart"/>
      <w:r w:rsidRPr="0021694F">
        <w:rPr>
          <w:rFonts w:asciiTheme="minorHAnsi" w:hAnsiTheme="minorHAnsi" w:cstheme="minorHAnsi"/>
        </w:rPr>
        <w:t>and also</w:t>
      </w:r>
      <w:proofErr w:type="gramEnd"/>
      <w:r w:rsidRPr="0021694F">
        <w:rPr>
          <w:rFonts w:asciiTheme="minorHAnsi" w:hAnsiTheme="minorHAnsi" w:cstheme="minorHAnsi"/>
        </w:rPr>
        <w:t xml:space="preserve"> have to pay a fine. </w:t>
      </w:r>
    </w:p>
    <w:p w14:paraId="1E629AFC" w14:textId="77777777" w:rsidR="005902DE" w:rsidRPr="0021694F" w:rsidRDefault="005902DE" w:rsidP="005902DE">
      <w:pPr>
        <w:rPr>
          <w:rFonts w:asciiTheme="minorHAnsi" w:hAnsiTheme="minorHAnsi" w:cstheme="minorHAnsi"/>
        </w:rPr>
      </w:pPr>
    </w:p>
    <w:p w14:paraId="3437AB63" w14:textId="77777777" w:rsidR="005902DE" w:rsidRPr="0021694F" w:rsidRDefault="005902DE" w:rsidP="005902DE">
      <w:pPr>
        <w:pStyle w:val="Heading2"/>
        <w:rPr>
          <w:rFonts w:asciiTheme="minorHAnsi" w:hAnsiTheme="minorHAnsi" w:cstheme="minorHAnsi"/>
        </w:rPr>
      </w:pPr>
    </w:p>
    <w:p w14:paraId="56B6D3D3" w14:textId="77777777" w:rsidR="005902DE" w:rsidRPr="003F3AED" w:rsidRDefault="005902DE" w:rsidP="005902DE">
      <w:pPr>
        <w:pStyle w:val="Heading3"/>
        <w:rPr>
          <w:rFonts w:asciiTheme="minorHAnsi" w:hAnsiTheme="minorHAnsi" w:cstheme="minorHAnsi"/>
          <w:b/>
          <w:bCs/>
        </w:rPr>
      </w:pPr>
      <w:bookmarkStart w:id="9" w:name="_Toc83053088"/>
      <w:r w:rsidRPr="003F3AED">
        <w:rPr>
          <w:rFonts w:asciiTheme="minorHAnsi" w:hAnsiTheme="minorHAnsi" w:cstheme="minorHAnsi"/>
          <w:b/>
          <w:bCs/>
        </w:rPr>
        <w:t>Part A</w:t>
      </w:r>
      <w:bookmarkEnd w:id="9"/>
    </w:p>
    <w:p w14:paraId="3EE91DD8" w14:textId="482416ED" w:rsidR="005902DE" w:rsidRPr="0021694F" w:rsidRDefault="005902DE" w:rsidP="003F3AED">
      <w:pPr>
        <w:ind w:firstLine="0"/>
        <w:rPr>
          <w:rFonts w:asciiTheme="minorHAnsi" w:hAnsiTheme="minorHAnsi" w:cstheme="minorHAnsi"/>
        </w:rPr>
      </w:pPr>
      <w:r w:rsidRPr="0021694F">
        <w:rPr>
          <w:rFonts w:asciiTheme="minorHAnsi" w:hAnsiTheme="minorHAnsi" w:cstheme="minorHAnsi"/>
        </w:rPr>
        <w:t xml:space="preserve">Public order is considered an essential part of any society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provide a safe and secure environment to their public. The importance of public order is immense as people can do whatever they want </w:t>
      </w:r>
      <w:proofErr w:type="gramStart"/>
      <w:r w:rsidRPr="0021694F">
        <w:rPr>
          <w:rFonts w:asciiTheme="minorHAnsi" w:hAnsiTheme="minorHAnsi" w:cstheme="minorHAnsi"/>
        </w:rPr>
        <w:t>to</w:t>
      </w:r>
      <w:proofErr w:type="gramEnd"/>
      <w:r w:rsidRPr="0021694F">
        <w:rPr>
          <w:rFonts w:asciiTheme="minorHAnsi" w:hAnsiTheme="minorHAnsi" w:cstheme="minorHAnsi"/>
        </w:rPr>
        <w:t xml:space="preserve"> without it. Therefore, a public procession constitutes several people who are willing to move along in a specific route. It is </w:t>
      </w:r>
      <w:r w:rsidR="003F3AED" w:rsidRPr="0021694F">
        <w:rPr>
          <w:rFonts w:asciiTheme="minorHAnsi" w:hAnsiTheme="minorHAnsi" w:cstheme="minorHAnsi"/>
        </w:rPr>
        <w:t>analyzed</w:t>
      </w:r>
      <w:r w:rsidRPr="0021694F">
        <w:rPr>
          <w:rFonts w:asciiTheme="minorHAnsi" w:hAnsiTheme="minorHAnsi" w:cstheme="minorHAnsi"/>
        </w:rPr>
        <w:t xml:space="preserve"> from the case scenario of </w:t>
      </w:r>
      <w:proofErr w:type="spellStart"/>
      <w:r w:rsidRPr="0021694F">
        <w:rPr>
          <w:rFonts w:asciiTheme="minorHAnsi" w:hAnsiTheme="minorHAnsi" w:cstheme="minorHAnsi"/>
        </w:rPr>
        <w:t>Menna</w:t>
      </w:r>
      <w:proofErr w:type="spellEnd"/>
      <w:r w:rsidRPr="0021694F">
        <w:rPr>
          <w:rFonts w:asciiTheme="minorHAnsi" w:hAnsiTheme="minorHAnsi" w:cstheme="minorHAnsi"/>
        </w:rPr>
        <w:t xml:space="preserve">, who wanted to hold a protest march against the government, which is planning to build a new super-prison near to her vicinity. However,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hold a protest, she has been informed about the number of protestors and their route to the police. It is essential to understand that Part 2 of the Public Order Act 1986 has allowed police of the UK to use their power to manage protests effectively. It is noted that there are three powers for police under Public Order Act 1986.</w:t>
      </w:r>
    </w:p>
    <w:p w14:paraId="102AB94B" w14:textId="5347E98E" w:rsidR="005902DE" w:rsidRPr="0021694F" w:rsidRDefault="005902DE" w:rsidP="003F3AED">
      <w:pPr>
        <w:ind w:firstLine="0"/>
        <w:rPr>
          <w:rFonts w:asciiTheme="minorHAnsi" w:hAnsiTheme="minorHAnsi" w:cstheme="minorHAnsi"/>
        </w:rPr>
      </w:pPr>
      <w:r w:rsidRPr="0021694F">
        <w:rPr>
          <w:rFonts w:asciiTheme="minorHAnsi" w:hAnsiTheme="minorHAnsi" w:cstheme="minorHAnsi"/>
        </w:rPr>
        <w:t xml:space="preserve">First, it is found that individuals </w:t>
      </w:r>
      <w:proofErr w:type="gramStart"/>
      <w:r w:rsidRPr="0021694F">
        <w:rPr>
          <w:rFonts w:asciiTheme="minorHAnsi" w:hAnsiTheme="minorHAnsi" w:cstheme="minorHAnsi"/>
        </w:rPr>
        <w:t>have to</w:t>
      </w:r>
      <w:proofErr w:type="gramEnd"/>
      <w:r w:rsidRPr="0021694F">
        <w:rPr>
          <w:rFonts w:asciiTheme="minorHAnsi" w:hAnsiTheme="minorHAnsi" w:cstheme="minorHAnsi"/>
        </w:rPr>
        <w:t xml:space="preserve"> provide proper notification about the protest. Secondly, it is important to understand that police can prohibited the march if there is a serious concern for the public. Thirdly, it is found that police have the power to impose any conditions if they consider that there would be a serious issue to property or disruption can occur. More specifically, Section 11 of the Public Order Act 1986 has allowed Chief Constable </w:t>
      </w:r>
      <w:r w:rsidRPr="0021694F">
        <w:rPr>
          <w:rFonts w:asciiTheme="minorHAnsi" w:hAnsiTheme="minorHAnsi" w:cstheme="minorHAnsi"/>
        </w:rPr>
        <w:lastRenderedPageBreak/>
        <w:t xml:space="preserve">or senior manager to get information about the protest before six days. Thus, it is argued in the case-law of Kay v Commissioner of Police of the Metropolis 2008 in which the claimant was required to provide a license under Section 11 with the Commissioner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hold a procession. However, the court has concluded that a regular procession does not need to follow the same route. On the other hand, it is found that the route chosen by </w:t>
      </w:r>
      <w:proofErr w:type="spellStart"/>
      <w:r w:rsidRPr="0021694F">
        <w:rPr>
          <w:rFonts w:asciiTheme="minorHAnsi" w:hAnsiTheme="minorHAnsi" w:cstheme="minorHAnsi"/>
        </w:rPr>
        <w:t>Menne</w:t>
      </w:r>
      <w:proofErr w:type="spellEnd"/>
      <w:r w:rsidRPr="0021694F">
        <w:rPr>
          <w:rFonts w:asciiTheme="minorHAnsi" w:hAnsiTheme="minorHAnsi" w:cstheme="minorHAnsi"/>
        </w:rPr>
        <w:t xml:space="preserve"> has a local market, but they have decided to go through the town </w:t>
      </w:r>
      <w:r w:rsidR="00A31105" w:rsidRPr="0021694F">
        <w:rPr>
          <w:rFonts w:asciiTheme="minorHAnsi" w:hAnsiTheme="minorHAnsi" w:cstheme="minorHAnsi"/>
        </w:rPr>
        <w:t>center</w:t>
      </w:r>
      <w:r w:rsidRPr="0021694F">
        <w:rPr>
          <w:rFonts w:asciiTheme="minorHAnsi" w:hAnsiTheme="minorHAnsi" w:cstheme="minorHAnsi"/>
        </w:rPr>
        <w:t xml:space="preserve"> at 3 pm. </w:t>
      </w:r>
    </w:p>
    <w:p w14:paraId="6D6EC882" w14:textId="521F5C19" w:rsidR="005902DE" w:rsidRPr="0021694F" w:rsidRDefault="005902DE" w:rsidP="005902DE">
      <w:pPr>
        <w:ind w:firstLine="0"/>
        <w:rPr>
          <w:rFonts w:asciiTheme="minorHAnsi" w:hAnsiTheme="minorHAnsi" w:cstheme="minorHAnsi"/>
        </w:rPr>
      </w:pPr>
      <w:r w:rsidRPr="0021694F">
        <w:rPr>
          <w:rFonts w:asciiTheme="minorHAnsi" w:hAnsiTheme="minorHAnsi" w:cstheme="minorHAnsi"/>
        </w:rPr>
        <w:t xml:space="preserve">Furthermore, there are local shops within their route, and it is found that on the day of protest, there was a closing down sale that the shop owners have </w:t>
      </w:r>
      <w:r w:rsidR="00A31105" w:rsidRPr="0021694F">
        <w:rPr>
          <w:rFonts w:asciiTheme="minorHAnsi" w:hAnsiTheme="minorHAnsi" w:cstheme="minorHAnsi"/>
        </w:rPr>
        <w:t>organized</w:t>
      </w:r>
      <w:r w:rsidRPr="0021694F">
        <w:rPr>
          <w:rFonts w:asciiTheme="minorHAnsi" w:hAnsiTheme="minorHAnsi" w:cstheme="minorHAnsi"/>
        </w:rPr>
        <w:t xml:space="preserve">. According to shop owners, the march can create disruption, and for this reason, they do not want the march to get permission. Moreover, the Chief Constable of Mold is also concerned about the traffic due to march. It is noted that Part 2 (12) of the Public Order Act 1986 has provided special power to chief officers to impose specific conditions on public processions. Therefore, it is important to understand that the Chief Constable of Mold </w:t>
      </w:r>
      <w:proofErr w:type="gramStart"/>
      <w:r w:rsidRPr="0021694F">
        <w:rPr>
          <w:rFonts w:asciiTheme="minorHAnsi" w:hAnsiTheme="minorHAnsi" w:cstheme="minorHAnsi"/>
        </w:rPr>
        <w:t>has to</w:t>
      </w:r>
      <w:proofErr w:type="gramEnd"/>
      <w:r w:rsidRPr="0021694F">
        <w:rPr>
          <w:rFonts w:asciiTheme="minorHAnsi" w:hAnsiTheme="minorHAnsi" w:cstheme="minorHAnsi"/>
        </w:rPr>
        <w:t xml:space="preserve"> provide written directions to protestors to change their route to avoid disruption in traffic and people coming for shopping. In the case of Police v Reid 1987, it is argued that the protestors were shouting at people, and it has created a sense of disruption. For this reason, the court has concluded that this action was considered an unlawful activity, and therefore, it is prohibited in public procession. Therefore, it is found that Chief Constable has the power to control the current protest, and for this reason, he can change the route </w:t>
      </w:r>
      <w:proofErr w:type="gramStart"/>
      <w:r w:rsidRPr="0021694F">
        <w:rPr>
          <w:rFonts w:asciiTheme="minorHAnsi" w:hAnsiTheme="minorHAnsi" w:cstheme="minorHAnsi"/>
        </w:rPr>
        <w:t>in order to</w:t>
      </w:r>
      <w:proofErr w:type="gramEnd"/>
      <w:r w:rsidRPr="0021694F">
        <w:rPr>
          <w:rFonts w:asciiTheme="minorHAnsi" w:hAnsiTheme="minorHAnsi" w:cstheme="minorHAnsi"/>
        </w:rPr>
        <w:t xml:space="preserve"> </w:t>
      </w:r>
      <w:r w:rsidR="00A31105" w:rsidRPr="0021694F">
        <w:rPr>
          <w:rFonts w:asciiTheme="minorHAnsi" w:hAnsiTheme="minorHAnsi" w:cstheme="minorHAnsi"/>
        </w:rPr>
        <w:t>minimize</w:t>
      </w:r>
      <w:r w:rsidRPr="0021694F">
        <w:rPr>
          <w:rFonts w:asciiTheme="minorHAnsi" w:hAnsiTheme="minorHAnsi" w:cstheme="minorHAnsi"/>
        </w:rPr>
        <w:t xml:space="preserve"> the disruption. Moreover, Section 12 of the Public Order Act 1986 allowed police to prohibit the protest if they had serious threats or concerns related to it. </w:t>
      </w:r>
    </w:p>
    <w:p w14:paraId="67FFD6C6" w14:textId="77777777" w:rsidR="0021694F" w:rsidRPr="00A31105" w:rsidRDefault="0021694F" w:rsidP="0021694F">
      <w:pPr>
        <w:pStyle w:val="Heading3"/>
        <w:rPr>
          <w:rFonts w:asciiTheme="minorHAnsi" w:hAnsiTheme="minorHAnsi" w:cstheme="minorHAnsi"/>
          <w:b/>
          <w:bCs/>
        </w:rPr>
      </w:pPr>
      <w:bookmarkStart w:id="10" w:name="_Toc83053089"/>
      <w:r w:rsidRPr="00A31105">
        <w:rPr>
          <w:rFonts w:asciiTheme="minorHAnsi" w:hAnsiTheme="minorHAnsi" w:cstheme="minorHAnsi"/>
          <w:b/>
          <w:bCs/>
        </w:rPr>
        <w:lastRenderedPageBreak/>
        <w:t>Part B</w:t>
      </w:r>
      <w:bookmarkEnd w:id="10"/>
    </w:p>
    <w:p w14:paraId="5CDF5C58" w14:textId="298D01DF" w:rsidR="0021694F" w:rsidRPr="0021694F" w:rsidRDefault="0021694F" w:rsidP="00A31105">
      <w:pPr>
        <w:ind w:firstLine="0"/>
        <w:rPr>
          <w:rFonts w:asciiTheme="minorHAnsi" w:hAnsiTheme="minorHAnsi" w:cstheme="minorHAnsi"/>
        </w:rPr>
      </w:pPr>
      <w:r w:rsidRPr="0021694F">
        <w:rPr>
          <w:rFonts w:asciiTheme="minorHAnsi" w:hAnsiTheme="minorHAnsi" w:cstheme="minorHAnsi"/>
        </w:rPr>
        <w:t xml:space="preserve">It is </w:t>
      </w:r>
      <w:r w:rsidR="00A31105" w:rsidRPr="0021694F">
        <w:rPr>
          <w:rFonts w:asciiTheme="minorHAnsi" w:hAnsiTheme="minorHAnsi" w:cstheme="minorHAnsi"/>
        </w:rPr>
        <w:t>analyzed</w:t>
      </w:r>
      <w:r w:rsidRPr="0021694F">
        <w:rPr>
          <w:rFonts w:asciiTheme="minorHAnsi" w:hAnsiTheme="minorHAnsi" w:cstheme="minorHAnsi"/>
        </w:rPr>
        <w:t xml:space="preserve"> from the current case scenario that the march went lawfully. However, it is found that during the march, one of the </w:t>
      </w:r>
      <w:r w:rsidR="00A31105" w:rsidRPr="0021694F">
        <w:rPr>
          <w:rFonts w:asciiTheme="minorHAnsi" w:hAnsiTheme="minorHAnsi" w:cstheme="minorHAnsi"/>
        </w:rPr>
        <w:t>protestor’s</w:t>
      </w:r>
      <w:r w:rsidRPr="0021694F">
        <w:rPr>
          <w:rFonts w:asciiTheme="minorHAnsi" w:hAnsiTheme="minorHAnsi" w:cstheme="minorHAnsi"/>
        </w:rPr>
        <w:t xml:space="preserve"> named Tim has called a pig to Police Constable (PC) Hemp. Part 1 of the Public Order Act 1986 is related to public order offences during a public procession. There are different offences such as threatening, shouting, and using abusive words. It is found that PC Hemp has arrested Tim and said you have acted like a Muppet. However, Section 4 of the Public Order Act 1986 has presented that violence, abusive words and threatening are all considered an offence. For this reason, any offender </w:t>
      </w:r>
      <w:proofErr w:type="gramStart"/>
      <w:r w:rsidRPr="0021694F">
        <w:rPr>
          <w:rFonts w:asciiTheme="minorHAnsi" w:hAnsiTheme="minorHAnsi" w:cstheme="minorHAnsi"/>
        </w:rPr>
        <w:t>has to</w:t>
      </w:r>
      <w:proofErr w:type="gramEnd"/>
      <w:r w:rsidRPr="0021694F">
        <w:rPr>
          <w:rFonts w:asciiTheme="minorHAnsi" w:hAnsiTheme="minorHAnsi" w:cstheme="minorHAnsi"/>
        </w:rPr>
        <w:t xml:space="preserve"> face a maximum of six months' imprisonment.</w:t>
      </w:r>
    </w:p>
    <w:p w14:paraId="0BEC395A"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 xml:space="preserve">It is noted that breach of peace by abusive words, language and threatening has allowed police to arrest the offender. It is found in the case of Bibby v Chief Constable of Essex Police 2000 in which Bailiff has refused to go from the debtor's shop and threatened. Due to this, the police </w:t>
      </w:r>
      <w:proofErr w:type="gramStart"/>
      <w:r w:rsidRPr="0021694F">
        <w:rPr>
          <w:rFonts w:asciiTheme="minorHAnsi" w:hAnsiTheme="minorHAnsi" w:cstheme="minorHAnsi"/>
        </w:rPr>
        <w:t>has</w:t>
      </w:r>
      <w:proofErr w:type="gramEnd"/>
      <w:r w:rsidRPr="0021694F">
        <w:rPr>
          <w:rFonts w:asciiTheme="minorHAnsi" w:hAnsiTheme="minorHAnsi" w:cstheme="minorHAnsi"/>
        </w:rPr>
        <w:t xml:space="preserve"> to arrest him in order to maintain the peace. On the other hand, it is found from Section 24 of the Police and Criminal Evidence Act 1984 that police constables in the UK can arrest any person due to their offence without having any warrant. Therefore, PC Hemp's action is considered legal, and Tim </w:t>
      </w:r>
      <w:proofErr w:type="gramStart"/>
      <w:r w:rsidRPr="0021694F">
        <w:rPr>
          <w:rFonts w:asciiTheme="minorHAnsi" w:hAnsiTheme="minorHAnsi" w:cstheme="minorHAnsi"/>
        </w:rPr>
        <w:t>has to</w:t>
      </w:r>
      <w:proofErr w:type="gramEnd"/>
      <w:r w:rsidRPr="0021694F">
        <w:rPr>
          <w:rFonts w:asciiTheme="minorHAnsi" w:hAnsiTheme="minorHAnsi" w:cstheme="minorHAnsi"/>
        </w:rPr>
        <w:t xml:space="preserve"> face the consequences of using abusive words or language in a public procession. </w:t>
      </w:r>
    </w:p>
    <w:p w14:paraId="46893DB9" w14:textId="77777777" w:rsidR="00A31105" w:rsidRDefault="00A31105" w:rsidP="00A31105">
      <w:pPr>
        <w:pStyle w:val="Heading2"/>
        <w:jc w:val="center"/>
        <w:rPr>
          <w:rFonts w:asciiTheme="minorHAnsi" w:hAnsiTheme="minorHAnsi" w:cstheme="minorHAnsi"/>
          <w:b/>
          <w:bCs/>
          <w:i w:val="0"/>
          <w:iCs/>
        </w:rPr>
      </w:pPr>
      <w:bookmarkStart w:id="11" w:name="_Toc83053090"/>
    </w:p>
    <w:p w14:paraId="0060EDB8" w14:textId="1F16BE24" w:rsidR="0021694F" w:rsidRPr="00A31105" w:rsidRDefault="0021694F" w:rsidP="00A31105">
      <w:pPr>
        <w:pStyle w:val="Heading2"/>
        <w:jc w:val="center"/>
        <w:rPr>
          <w:rFonts w:asciiTheme="minorHAnsi" w:hAnsiTheme="minorHAnsi" w:cstheme="minorHAnsi"/>
          <w:b/>
          <w:bCs/>
          <w:i w:val="0"/>
          <w:iCs/>
        </w:rPr>
      </w:pPr>
      <w:r w:rsidRPr="00A31105">
        <w:rPr>
          <w:rFonts w:asciiTheme="minorHAnsi" w:hAnsiTheme="minorHAnsi" w:cstheme="minorHAnsi"/>
          <w:b/>
          <w:bCs/>
          <w:i w:val="0"/>
          <w:iCs/>
        </w:rPr>
        <w:t>Conclusion</w:t>
      </w:r>
      <w:bookmarkEnd w:id="11"/>
    </w:p>
    <w:p w14:paraId="218C4BEA" w14:textId="4F5C32D4" w:rsidR="0021694F" w:rsidRPr="0021694F" w:rsidRDefault="0021694F" w:rsidP="00A31105">
      <w:pPr>
        <w:ind w:firstLine="0"/>
        <w:rPr>
          <w:rFonts w:asciiTheme="minorHAnsi" w:hAnsiTheme="minorHAnsi" w:cstheme="minorHAnsi"/>
        </w:rPr>
      </w:pPr>
      <w:proofErr w:type="spellStart"/>
      <w:r w:rsidRPr="0021694F">
        <w:rPr>
          <w:rFonts w:asciiTheme="minorHAnsi" w:hAnsiTheme="minorHAnsi" w:cstheme="minorHAnsi"/>
        </w:rPr>
        <w:t>Menne</w:t>
      </w:r>
      <w:proofErr w:type="spellEnd"/>
      <w:r w:rsidRPr="0021694F">
        <w:rPr>
          <w:rFonts w:asciiTheme="minorHAnsi" w:hAnsiTheme="minorHAnsi" w:cstheme="minorHAnsi"/>
        </w:rPr>
        <w:t xml:space="preserve">, who was about to </w:t>
      </w:r>
      <w:proofErr w:type="gramStart"/>
      <w:r w:rsidRPr="0021694F">
        <w:rPr>
          <w:rFonts w:asciiTheme="minorHAnsi" w:hAnsiTheme="minorHAnsi" w:cstheme="minorHAnsi"/>
        </w:rPr>
        <w:t>protest against</w:t>
      </w:r>
      <w:proofErr w:type="gramEnd"/>
      <w:r w:rsidRPr="0021694F">
        <w:rPr>
          <w:rFonts w:asciiTheme="minorHAnsi" w:hAnsiTheme="minorHAnsi" w:cstheme="minorHAnsi"/>
        </w:rPr>
        <w:t xml:space="preserve"> the government, had to get permission about it from the police. It is concluded that </w:t>
      </w:r>
      <w:proofErr w:type="spellStart"/>
      <w:r w:rsidRPr="0021694F">
        <w:rPr>
          <w:rFonts w:asciiTheme="minorHAnsi" w:hAnsiTheme="minorHAnsi" w:cstheme="minorHAnsi"/>
        </w:rPr>
        <w:t>Menne</w:t>
      </w:r>
      <w:proofErr w:type="spellEnd"/>
      <w:r w:rsidRPr="0021694F">
        <w:rPr>
          <w:rFonts w:asciiTheme="minorHAnsi" w:hAnsiTheme="minorHAnsi" w:cstheme="minorHAnsi"/>
        </w:rPr>
        <w:t xml:space="preserve"> has provided information about the number of protestors and their route to police. However, after </w:t>
      </w:r>
      <w:r w:rsidR="00A31105" w:rsidRPr="0021694F">
        <w:rPr>
          <w:rFonts w:asciiTheme="minorHAnsi" w:hAnsiTheme="minorHAnsi" w:cstheme="minorHAnsi"/>
        </w:rPr>
        <w:t>analyzing</w:t>
      </w:r>
      <w:r w:rsidRPr="0021694F">
        <w:rPr>
          <w:rFonts w:asciiTheme="minorHAnsi" w:hAnsiTheme="minorHAnsi" w:cstheme="minorHAnsi"/>
        </w:rPr>
        <w:t xml:space="preserve"> the situation and getting the information about their route, the Chief Constable of Mold has the right under Section 12 of </w:t>
      </w:r>
      <w:r w:rsidRPr="0021694F">
        <w:rPr>
          <w:rFonts w:asciiTheme="minorHAnsi" w:hAnsiTheme="minorHAnsi" w:cstheme="minorHAnsi"/>
        </w:rPr>
        <w:lastRenderedPageBreak/>
        <w:t xml:space="preserve">the Public Order Act 1986 to change their protest route to </w:t>
      </w:r>
      <w:proofErr w:type="spellStart"/>
      <w:r w:rsidRPr="0021694F">
        <w:rPr>
          <w:rFonts w:asciiTheme="minorHAnsi" w:hAnsiTheme="minorHAnsi" w:cstheme="minorHAnsi"/>
        </w:rPr>
        <w:t>minimise</w:t>
      </w:r>
      <w:proofErr w:type="spellEnd"/>
      <w:r w:rsidRPr="0021694F">
        <w:rPr>
          <w:rFonts w:asciiTheme="minorHAnsi" w:hAnsiTheme="minorHAnsi" w:cstheme="minorHAnsi"/>
        </w:rPr>
        <w:t xml:space="preserve"> the disruption faced by shops owners and buyers. On the other hand, PC Hemp was called a pig by Tim during the protest. Therefore, he arrested Tim under Section 4 of the Public Order Act and Section 24 of the Police and Criminal Evidence Act 1984. It is concluded that police constables can arrest an offender due to abusive words or language. For this reason, the actions of PC Hemp </w:t>
      </w:r>
      <w:proofErr w:type="gramStart"/>
      <w:r w:rsidRPr="0021694F">
        <w:rPr>
          <w:rFonts w:asciiTheme="minorHAnsi" w:hAnsiTheme="minorHAnsi" w:cstheme="minorHAnsi"/>
        </w:rPr>
        <w:t>was</w:t>
      </w:r>
      <w:proofErr w:type="gramEnd"/>
      <w:r w:rsidRPr="0021694F">
        <w:rPr>
          <w:rFonts w:asciiTheme="minorHAnsi" w:hAnsiTheme="minorHAnsi" w:cstheme="minorHAnsi"/>
        </w:rPr>
        <w:t xml:space="preserve"> legally right and lawful under the legislation of the UK.  </w:t>
      </w:r>
    </w:p>
    <w:p w14:paraId="65F5DB0F" w14:textId="77777777" w:rsidR="0021694F" w:rsidRPr="00A31105" w:rsidRDefault="0021694F" w:rsidP="00A31105">
      <w:pPr>
        <w:pStyle w:val="Heading1"/>
        <w:jc w:val="center"/>
        <w:rPr>
          <w:rFonts w:asciiTheme="minorHAnsi" w:hAnsiTheme="minorHAnsi" w:cstheme="minorHAnsi"/>
          <w:b/>
          <w:bCs/>
          <w:color w:val="0D0D0D" w:themeColor="text1" w:themeTint="F2"/>
        </w:rPr>
      </w:pPr>
      <w:bookmarkStart w:id="12" w:name="_Toc83053091"/>
      <w:r w:rsidRPr="00A31105">
        <w:rPr>
          <w:rFonts w:asciiTheme="minorHAnsi" w:hAnsiTheme="minorHAnsi" w:cstheme="minorHAnsi"/>
          <w:b/>
          <w:bCs/>
          <w:color w:val="0D0D0D" w:themeColor="text1" w:themeTint="F2"/>
        </w:rPr>
        <w:t>References</w:t>
      </w:r>
      <w:bookmarkEnd w:id="12"/>
    </w:p>
    <w:p w14:paraId="23E1B434" w14:textId="77777777" w:rsidR="0021694F" w:rsidRPr="0021694F" w:rsidRDefault="0021694F" w:rsidP="00A31105">
      <w:pPr>
        <w:ind w:firstLine="0"/>
        <w:rPr>
          <w:rFonts w:asciiTheme="minorHAnsi" w:hAnsiTheme="minorHAnsi" w:cstheme="minorHAnsi"/>
          <w:b/>
        </w:rPr>
      </w:pPr>
      <w:r w:rsidRPr="0021694F">
        <w:rPr>
          <w:rFonts w:asciiTheme="minorHAnsi" w:hAnsiTheme="minorHAnsi" w:cstheme="minorHAnsi"/>
          <w:b/>
        </w:rPr>
        <w:t>Case Laws</w:t>
      </w:r>
    </w:p>
    <w:p w14:paraId="24CAFBFE" w14:textId="77777777" w:rsidR="0021694F" w:rsidRPr="0021694F" w:rsidRDefault="0021694F" w:rsidP="0021694F">
      <w:pPr>
        <w:ind w:firstLine="0"/>
        <w:rPr>
          <w:rFonts w:asciiTheme="minorHAnsi" w:hAnsiTheme="minorHAnsi" w:cstheme="minorHAnsi"/>
        </w:rPr>
      </w:pPr>
      <w:proofErr w:type="gramStart"/>
      <w:r w:rsidRPr="0021694F">
        <w:rPr>
          <w:rFonts w:asciiTheme="minorHAnsi" w:hAnsiTheme="minorHAnsi" w:cstheme="minorHAnsi"/>
        </w:rPr>
        <w:t>A and</w:t>
      </w:r>
      <w:proofErr w:type="gramEnd"/>
      <w:r w:rsidRPr="0021694F">
        <w:rPr>
          <w:rFonts w:asciiTheme="minorHAnsi" w:hAnsiTheme="minorHAnsi" w:cstheme="minorHAnsi"/>
        </w:rPr>
        <w:t xml:space="preserve"> others v Secretary of State for the Home Department [2004] UKHL 56</w:t>
      </w:r>
    </w:p>
    <w:p w14:paraId="1A321598"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Burma Oil Company v Lord Advocate [1965] AC 75</w:t>
      </w:r>
    </w:p>
    <w:p w14:paraId="0E73254A"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 xml:space="preserve">Jackson v Her Majesty's Attorney General [2005] UKHL 56 </w:t>
      </w:r>
    </w:p>
    <w:p w14:paraId="726A3CC8"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Kay v Commissioner of the Police of the Metropolis [2008] UKHL 69</w:t>
      </w:r>
    </w:p>
    <w:p w14:paraId="70AAA7A2"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McGonnell v UK [2000] 30 EHRR 289</w:t>
      </w:r>
    </w:p>
    <w:p w14:paraId="5DEDF01B"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Police v Reid [1987] Crim LR 702</w:t>
      </w:r>
    </w:p>
    <w:p w14:paraId="646237A0" w14:textId="77777777" w:rsidR="00A31105" w:rsidRDefault="00A31105" w:rsidP="00A31105">
      <w:pPr>
        <w:ind w:firstLine="0"/>
        <w:jc w:val="center"/>
        <w:rPr>
          <w:rFonts w:asciiTheme="minorHAnsi" w:hAnsiTheme="minorHAnsi" w:cstheme="minorHAnsi"/>
          <w:b/>
        </w:rPr>
      </w:pPr>
    </w:p>
    <w:p w14:paraId="0C211833" w14:textId="72168110" w:rsidR="0021694F" w:rsidRDefault="0021694F" w:rsidP="00A31105">
      <w:pPr>
        <w:ind w:firstLine="0"/>
        <w:jc w:val="center"/>
        <w:rPr>
          <w:rFonts w:asciiTheme="minorHAnsi" w:hAnsiTheme="minorHAnsi" w:cstheme="minorHAnsi"/>
          <w:b/>
        </w:rPr>
      </w:pPr>
      <w:r w:rsidRPr="0021694F">
        <w:rPr>
          <w:rFonts w:asciiTheme="minorHAnsi" w:hAnsiTheme="minorHAnsi" w:cstheme="minorHAnsi"/>
          <w:b/>
        </w:rPr>
        <w:t>Legislations</w:t>
      </w:r>
    </w:p>
    <w:p w14:paraId="6CAA0E94"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Backbench Business Committee 2010</w:t>
      </w:r>
    </w:p>
    <w:p w14:paraId="52FE2A7E"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Constitutional Reform Act 2005</w:t>
      </w:r>
    </w:p>
    <w:p w14:paraId="7BB0FECF"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 xml:space="preserve">Hunting Act 2004 </w:t>
      </w:r>
    </w:p>
    <w:p w14:paraId="502C3FA3"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Parliament Act 1949</w:t>
      </w:r>
    </w:p>
    <w:p w14:paraId="4C92348B"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lastRenderedPageBreak/>
        <w:t>Parliamentary Voting System and Constituencies Act 2011</w:t>
      </w:r>
    </w:p>
    <w:p w14:paraId="1FF69AA8"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Part 1 of the Public Order Act 1986</w:t>
      </w:r>
    </w:p>
    <w:p w14:paraId="5297D08F"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Part 2 (12) of the Public Order Act 1986</w:t>
      </w:r>
    </w:p>
    <w:p w14:paraId="2528DA43"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Police and Criminal Evidence Act 1984</w:t>
      </w:r>
    </w:p>
    <w:p w14:paraId="2B4A0DCA"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 xml:space="preserve">Public Order Act 1986 </w:t>
      </w:r>
    </w:p>
    <w:p w14:paraId="52FFC2DE"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Section 1 of the House of Commons Disqualification Act 1975</w:t>
      </w:r>
    </w:p>
    <w:p w14:paraId="38E3993D"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 xml:space="preserve">Section 11 of the Public Order Act 1986 </w:t>
      </w:r>
    </w:p>
    <w:p w14:paraId="0E7A83CB"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Section 11 of the Senior Courts Act 1981</w:t>
      </w:r>
    </w:p>
    <w:p w14:paraId="0D1EB2EE"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Section 12 of the Public Order Act 1986</w:t>
      </w:r>
    </w:p>
    <w:p w14:paraId="6DC30011"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Section 2 of the House of Commons (Disqualification) Act 1975</w:t>
      </w:r>
    </w:p>
    <w:p w14:paraId="6CE68170"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Section 24 of the Police and Criminal Evidence Act 1984</w:t>
      </w:r>
    </w:p>
    <w:p w14:paraId="620089DD" w14:textId="77777777" w:rsidR="0021694F" w:rsidRPr="0021694F" w:rsidRDefault="0021694F" w:rsidP="0021694F">
      <w:pPr>
        <w:ind w:firstLine="0"/>
        <w:rPr>
          <w:rFonts w:asciiTheme="minorHAnsi" w:hAnsiTheme="minorHAnsi" w:cstheme="minorHAnsi"/>
        </w:rPr>
      </w:pPr>
      <w:r w:rsidRPr="0021694F">
        <w:rPr>
          <w:rFonts w:asciiTheme="minorHAnsi" w:hAnsiTheme="minorHAnsi" w:cstheme="minorHAnsi"/>
        </w:rPr>
        <w:t>Section 4 of the Public Order Act 1986</w:t>
      </w:r>
    </w:p>
    <w:p w14:paraId="49B5DDF1" w14:textId="77777777" w:rsidR="0021694F" w:rsidRPr="0021694F" w:rsidRDefault="0021694F" w:rsidP="00A31105">
      <w:pPr>
        <w:ind w:firstLine="0"/>
        <w:jc w:val="center"/>
        <w:rPr>
          <w:rFonts w:asciiTheme="minorHAnsi" w:hAnsiTheme="minorHAnsi" w:cstheme="minorHAnsi"/>
          <w:b/>
        </w:rPr>
      </w:pPr>
      <w:r w:rsidRPr="0021694F">
        <w:rPr>
          <w:rFonts w:asciiTheme="minorHAnsi" w:hAnsiTheme="minorHAnsi" w:cstheme="minorHAnsi"/>
          <w:b/>
        </w:rPr>
        <w:t>Articles</w:t>
      </w:r>
    </w:p>
    <w:p w14:paraId="61104DA7"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Andrews, N., 2017. The Supreme Court of the United Kingdom: a selective tribunal with the final say on most matters. In Supreme Courts in Transition in China and the West (pp. 37-51). Springer, Cham.</w:t>
      </w:r>
    </w:p>
    <w:p w14:paraId="497FD71C"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Andrews, N., 2018. Principles and Transnational Dimensions. In The Three Paths of Justice (pp. 23-39). Springer, Cham.</w:t>
      </w:r>
    </w:p>
    <w:p w14:paraId="486C2609"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Blackwell, M., 2017. Starting Out on a Judicial Career: Gender Diversity and the Appointment of Recorders, Circuit Judges, and Deputy High Court Judges, 1996–2016. Journal of Law and Society, 44(4), pp.586-619.</w:t>
      </w:r>
    </w:p>
    <w:p w14:paraId="77FC1171"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lastRenderedPageBreak/>
        <w:t>Ceil, C., 2018. The Concept of Separation of Powers Is Not Well-Respected in the UK Constitution. Available at SSRN 3519815.</w:t>
      </w:r>
    </w:p>
    <w:p w14:paraId="1C3604A7"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 xml:space="preserve">Chamberlain QC, M. and </w:t>
      </w:r>
      <w:proofErr w:type="spellStart"/>
      <w:r w:rsidRPr="0021694F">
        <w:rPr>
          <w:rFonts w:asciiTheme="minorHAnsi" w:hAnsiTheme="minorHAnsi" w:cstheme="minorHAnsi"/>
        </w:rPr>
        <w:t>Segan</w:t>
      </w:r>
      <w:proofErr w:type="spellEnd"/>
      <w:r w:rsidRPr="0021694F">
        <w:rPr>
          <w:rFonts w:asciiTheme="minorHAnsi" w:hAnsiTheme="minorHAnsi" w:cstheme="minorHAnsi"/>
        </w:rPr>
        <w:t xml:space="preserve">, J., 2018. Parliamentary Privilege, Article 9 of the Bill of Rights and Admissibility: What Use Can Be Made of Parliamentary Materials in </w:t>
      </w:r>
      <w:proofErr w:type="gramStart"/>
      <w:r w:rsidRPr="0021694F">
        <w:rPr>
          <w:rFonts w:asciiTheme="minorHAnsi" w:hAnsiTheme="minorHAnsi" w:cstheme="minorHAnsi"/>
        </w:rPr>
        <w:t>Litigation?.</w:t>
      </w:r>
      <w:proofErr w:type="gramEnd"/>
      <w:r w:rsidRPr="0021694F">
        <w:rPr>
          <w:rFonts w:asciiTheme="minorHAnsi" w:hAnsiTheme="minorHAnsi" w:cstheme="minorHAnsi"/>
        </w:rPr>
        <w:t xml:space="preserve"> Judicial Review, 23(1), pp.11-24.</w:t>
      </w:r>
    </w:p>
    <w:p w14:paraId="5F5D4405" w14:textId="77777777" w:rsidR="0021694F" w:rsidRPr="0021694F" w:rsidRDefault="0021694F" w:rsidP="0021694F">
      <w:pPr>
        <w:ind w:left="720" w:hanging="720"/>
        <w:rPr>
          <w:rFonts w:asciiTheme="minorHAnsi" w:hAnsiTheme="minorHAnsi" w:cstheme="minorHAnsi"/>
        </w:rPr>
      </w:pPr>
      <w:proofErr w:type="spellStart"/>
      <w:r w:rsidRPr="0021694F">
        <w:rPr>
          <w:rFonts w:asciiTheme="minorHAnsi" w:hAnsiTheme="minorHAnsi" w:cstheme="minorHAnsi"/>
        </w:rPr>
        <w:t>Gardbaum</w:t>
      </w:r>
      <w:proofErr w:type="spellEnd"/>
      <w:r w:rsidRPr="0021694F">
        <w:rPr>
          <w:rFonts w:asciiTheme="minorHAnsi" w:hAnsiTheme="minorHAnsi" w:cstheme="minorHAnsi"/>
        </w:rPr>
        <w:t>, S., 2017. Political parties, voting systems, and the separation of powers. The American Journal of Comparative Law, 65(2), pp.229-264.</w:t>
      </w:r>
    </w:p>
    <w:p w14:paraId="18076D5A"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Jacobs, S.B., 2019. The statutory separation of powers. Yale LJ, 129, p.378.</w:t>
      </w:r>
    </w:p>
    <w:p w14:paraId="6FFAE0FF" w14:textId="77777777" w:rsidR="0021694F" w:rsidRPr="0021694F" w:rsidRDefault="0021694F" w:rsidP="0021694F">
      <w:pPr>
        <w:ind w:left="720" w:hanging="720"/>
        <w:rPr>
          <w:rFonts w:asciiTheme="minorHAnsi" w:hAnsiTheme="minorHAnsi" w:cstheme="minorHAnsi"/>
        </w:rPr>
      </w:pPr>
      <w:proofErr w:type="spellStart"/>
      <w:r w:rsidRPr="0021694F">
        <w:rPr>
          <w:rFonts w:asciiTheme="minorHAnsi" w:hAnsiTheme="minorHAnsi" w:cstheme="minorHAnsi"/>
        </w:rPr>
        <w:t>Jaconelli</w:t>
      </w:r>
      <w:proofErr w:type="spellEnd"/>
      <w:r w:rsidRPr="0021694F">
        <w:rPr>
          <w:rFonts w:asciiTheme="minorHAnsi" w:hAnsiTheme="minorHAnsi" w:cstheme="minorHAnsi"/>
        </w:rPr>
        <w:t>, J., 2020. Constitutional Disqualification: A Critique of English and English-Derived Law. ICL Journal, 14(2), pp.167-197.</w:t>
      </w:r>
    </w:p>
    <w:p w14:paraId="06968589" w14:textId="77777777" w:rsidR="0021694F" w:rsidRPr="0021694F" w:rsidRDefault="0021694F" w:rsidP="0021694F">
      <w:pPr>
        <w:ind w:left="720" w:hanging="720"/>
        <w:rPr>
          <w:rFonts w:asciiTheme="minorHAnsi" w:hAnsiTheme="minorHAnsi" w:cstheme="minorHAnsi"/>
        </w:rPr>
      </w:pPr>
      <w:proofErr w:type="spellStart"/>
      <w:r w:rsidRPr="0021694F">
        <w:rPr>
          <w:rFonts w:asciiTheme="minorHAnsi" w:hAnsiTheme="minorHAnsi" w:cstheme="minorHAnsi"/>
        </w:rPr>
        <w:t>Jaconelli</w:t>
      </w:r>
      <w:proofErr w:type="spellEnd"/>
      <w:r w:rsidRPr="0021694F">
        <w:rPr>
          <w:rFonts w:asciiTheme="minorHAnsi" w:hAnsiTheme="minorHAnsi" w:cstheme="minorHAnsi"/>
        </w:rPr>
        <w:t>, J., 2020. Constitutional Disqualification: A Critique of English and English-Derived Law. ICL Journal, 14(2), pp.167-197.</w:t>
      </w:r>
    </w:p>
    <w:p w14:paraId="578D85A7"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 xml:space="preserve">Nurse, A., 2017. </w:t>
      </w:r>
      <w:proofErr w:type="spellStart"/>
      <w:r w:rsidRPr="0021694F">
        <w:rPr>
          <w:rFonts w:asciiTheme="minorHAnsi" w:hAnsiTheme="minorHAnsi" w:cstheme="minorHAnsi"/>
        </w:rPr>
        <w:t>Criminalising</w:t>
      </w:r>
      <w:proofErr w:type="spellEnd"/>
      <w:r w:rsidRPr="0021694F">
        <w:rPr>
          <w:rFonts w:asciiTheme="minorHAnsi" w:hAnsiTheme="minorHAnsi" w:cstheme="minorHAnsi"/>
        </w:rPr>
        <w:t xml:space="preserve"> the right to hunt: European law perspectives on anti-hunting legislation. Crime Law and Social Change, 67(4), pp.383-399.</w:t>
      </w:r>
    </w:p>
    <w:p w14:paraId="6B4D29F0"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 xml:space="preserve">Renwick, A. and </w:t>
      </w:r>
      <w:proofErr w:type="spellStart"/>
      <w:r w:rsidRPr="0021694F">
        <w:rPr>
          <w:rFonts w:asciiTheme="minorHAnsi" w:hAnsiTheme="minorHAnsi" w:cstheme="minorHAnsi"/>
        </w:rPr>
        <w:t>Vowles</w:t>
      </w:r>
      <w:proofErr w:type="spellEnd"/>
      <w:r w:rsidRPr="0021694F">
        <w:rPr>
          <w:rFonts w:asciiTheme="minorHAnsi" w:hAnsiTheme="minorHAnsi" w:cstheme="minorHAnsi"/>
        </w:rPr>
        <w:t>, J., 2021. Tales of two referendums: comparing debate quality between the UK and New Zealand voting system referendums of 2011. Representation, pp.1-20.</w:t>
      </w:r>
    </w:p>
    <w:p w14:paraId="0A4EC6F7"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Sagar, P., 2021. On the Liberty of the English: Adam Smith's Reply to Montesquieu and Hume. Political Theory, p.00905917211039763.</w:t>
      </w:r>
    </w:p>
    <w:p w14:paraId="0B339F11" w14:textId="77777777" w:rsidR="0021694F" w:rsidRPr="0021694F" w:rsidRDefault="0021694F" w:rsidP="0021694F">
      <w:pPr>
        <w:ind w:left="720" w:hanging="720"/>
        <w:rPr>
          <w:rFonts w:asciiTheme="minorHAnsi" w:hAnsiTheme="minorHAnsi" w:cstheme="minorHAnsi"/>
        </w:rPr>
      </w:pPr>
      <w:r w:rsidRPr="0021694F">
        <w:rPr>
          <w:rFonts w:asciiTheme="minorHAnsi" w:hAnsiTheme="minorHAnsi" w:cstheme="minorHAnsi"/>
        </w:rPr>
        <w:t xml:space="preserve">Shephard, M.P. and </w:t>
      </w:r>
      <w:proofErr w:type="spellStart"/>
      <w:r w:rsidRPr="0021694F">
        <w:rPr>
          <w:rFonts w:asciiTheme="minorHAnsi" w:hAnsiTheme="minorHAnsi" w:cstheme="minorHAnsi"/>
        </w:rPr>
        <w:t>Caird</w:t>
      </w:r>
      <w:proofErr w:type="spellEnd"/>
      <w:r w:rsidRPr="0021694F">
        <w:rPr>
          <w:rFonts w:asciiTheme="minorHAnsi" w:hAnsiTheme="minorHAnsi" w:cstheme="minorHAnsi"/>
        </w:rPr>
        <w:t>, J.S., 2018. The role of a backbench MP. In Exploring Parliament (pp. 187-195). Oxford University Press.</w:t>
      </w:r>
    </w:p>
    <w:p w14:paraId="5669FE88" w14:textId="77777777" w:rsidR="0021694F" w:rsidRPr="00747B58" w:rsidRDefault="0021694F" w:rsidP="0021694F">
      <w:pPr>
        <w:ind w:firstLine="0"/>
      </w:pPr>
    </w:p>
    <w:p w14:paraId="4771BCA5" w14:textId="77777777" w:rsidR="0021694F" w:rsidRDefault="0021694F" w:rsidP="0021694F"/>
    <w:p w14:paraId="12BDF8CE" w14:textId="77777777" w:rsidR="0021694F" w:rsidRDefault="0021694F" w:rsidP="005902DE">
      <w:pPr>
        <w:ind w:firstLine="0"/>
      </w:pPr>
    </w:p>
    <w:p w14:paraId="35403473" w14:textId="77777777" w:rsidR="005902DE" w:rsidRDefault="005902DE" w:rsidP="005902DE"/>
    <w:p w14:paraId="175D3A80" w14:textId="77777777" w:rsidR="005902DE" w:rsidRPr="00D03875" w:rsidRDefault="005902DE" w:rsidP="005902DE">
      <w:pPr>
        <w:ind w:firstLine="0"/>
      </w:pPr>
    </w:p>
    <w:p w14:paraId="3A856EB2" w14:textId="77777777" w:rsidR="005902DE" w:rsidRPr="004C492C" w:rsidRDefault="005902DE" w:rsidP="005902DE">
      <w:pPr>
        <w:ind w:firstLine="0"/>
      </w:pPr>
    </w:p>
    <w:p w14:paraId="284F9981" w14:textId="5BE03B9E" w:rsidR="005902DE" w:rsidRPr="00504754" w:rsidRDefault="005902DE" w:rsidP="005902DE"/>
    <w:p w14:paraId="311FF505" w14:textId="77777777" w:rsidR="005902DE" w:rsidRDefault="005902DE"/>
    <w:sectPr w:rsidR="005902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50987"/>
    <w:multiLevelType w:val="hybridMultilevel"/>
    <w:tmpl w:val="46768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DE"/>
    <w:rsid w:val="00116FB7"/>
    <w:rsid w:val="00196B25"/>
    <w:rsid w:val="0021694F"/>
    <w:rsid w:val="003F3AED"/>
    <w:rsid w:val="005902DE"/>
    <w:rsid w:val="00A31105"/>
    <w:rsid w:val="00B419EB"/>
    <w:rsid w:val="00D20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7EDBA"/>
  <w15:chartTrackingRefBased/>
  <w15:docId w15:val="{718C5923-1DC4-4C41-9457-0E0B4DBA1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2DE"/>
    <w:pPr>
      <w:spacing w:before="120" w:after="120" w:line="480" w:lineRule="auto"/>
      <w:ind w:firstLine="720"/>
      <w:jc w:val="both"/>
    </w:pPr>
    <w:rPr>
      <w:rFonts w:ascii="Times New Roman" w:hAnsi="Times New Roman"/>
      <w:sz w:val="24"/>
      <w:lang w:val="en-US"/>
    </w:rPr>
  </w:style>
  <w:style w:type="paragraph" w:styleId="Heading1">
    <w:name w:val="heading 1"/>
    <w:basedOn w:val="Normal"/>
    <w:next w:val="Normal"/>
    <w:link w:val="Heading1Char"/>
    <w:uiPriority w:val="9"/>
    <w:qFormat/>
    <w:rsid w:val="005902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02DE"/>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5902DE"/>
    <w:pPr>
      <w:keepNext/>
      <w:keepLines/>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902DE"/>
    <w:rPr>
      <w:rFonts w:ascii="Times New Roman" w:eastAsiaTheme="majorEastAsia" w:hAnsi="Times New Roman" w:cstheme="majorBidi"/>
      <w:i/>
      <w:sz w:val="24"/>
      <w:szCs w:val="26"/>
      <w:lang w:val="en-US"/>
    </w:rPr>
  </w:style>
  <w:style w:type="character" w:customStyle="1" w:styleId="Heading3Char">
    <w:name w:val="Heading 3 Char"/>
    <w:basedOn w:val="DefaultParagraphFont"/>
    <w:link w:val="Heading3"/>
    <w:uiPriority w:val="9"/>
    <w:rsid w:val="005902DE"/>
    <w:rPr>
      <w:rFonts w:ascii="Times New Roman" w:eastAsiaTheme="majorEastAsia" w:hAnsi="Times New Roman" w:cstheme="majorBidi"/>
      <w:sz w:val="24"/>
      <w:szCs w:val="24"/>
      <w:lang w:val="en-US"/>
    </w:rPr>
  </w:style>
  <w:style w:type="character" w:customStyle="1" w:styleId="Heading1Char">
    <w:name w:val="Heading 1 Char"/>
    <w:basedOn w:val="DefaultParagraphFont"/>
    <w:link w:val="Heading1"/>
    <w:uiPriority w:val="9"/>
    <w:rsid w:val="005902D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13</Pages>
  <Words>3015</Words>
  <Characters>17191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shabbir ahmad</dc:creator>
  <cp:keywords/>
  <dc:description/>
  <cp:lastModifiedBy>shabbir ahmad</cp:lastModifiedBy>
  <cp:revision>1</cp:revision>
  <cp:lastPrinted>2021-09-23T18:44:00Z</cp:lastPrinted>
  <dcterms:created xsi:type="dcterms:W3CDTF">2021-09-23T17:05:00Z</dcterms:created>
  <dcterms:modified xsi:type="dcterms:W3CDTF">2021-09-23T18:44:00Z</dcterms:modified>
</cp:coreProperties>
</file>