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5118" w:rsidRDefault="004E5118" w:rsidP="004E5118">
      <w:pPr>
        <w:jc w:val="center"/>
        <w:rPr>
          <w:rFonts w:ascii="Arial" w:hAnsi="Arial" w:cs="Arial"/>
          <w:sz w:val="24"/>
        </w:rPr>
      </w:pPr>
      <w:r>
        <w:rPr>
          <w:rFonts w:ascii="Arial" w:hAnsi="Arial" w:cs="Arial"/>
          <w:sz w:val="24"/>
        </w:rPr>
        <w:t>Revised Abstract:</w:t>
      </w:r>
    </w:p>
    <w:p w:rsidR="004E5118" w:rsidRPr="003C38ED" w:rsidRDefault="004E5118" w:rsidP="004E5118">
      <w:pPr>
        <w:rPr>
          <w:rFonts w:ascii="Arial" w:hAnsi="Arial" w:cs="Arial"/>
          <w:b/>
          <w:sz w:val="24"/>
        </w:rPr>
      </w:pPr>
      <w:r w:rsidRPr="003C38ED">
        <w:rPr>
          <w:rFonts w:ascii="Arial" w:hAnsi="Arial" w:cs="Arial"/>
          <w:b/>
          <w:sz w:val="24"/>
        </w:rPr>
        <w:t>New title:</w:t>
      </w:r>
    </w:p>
    <w:p w:rsidR="004E5118" w:rsidRDefault="004E5118" w:rsidP="004E5118">
      <w:pPr>
        <w:rPr>
          <w:rFonts w:ascii="Arial" w:hAnsi="Arial" w:cs="Arial"/>
          <w:sz w:val="24"/>
        </w:rPr>
      </w:pPr>
      <w:r>
        <w:rPr>
          <w:rFonts w:ascii="Arial" w:hAnsi="Arial" w:cs="Arial"/>
          <w:sz w:val="24"/>
        </w:rPr>
        <w:t xml:space="preserve">The Impact of Hellenistic Diplomacy: New Considerations of I.R. Theory in the Hellenistic world.    </w:t>
      </w:r>
    </w:p>
    <w:p w:rsidR="004E5118" w:rsidRDefault="004E5118" w:rsidP="004E5118">
      <w:pPr>
        <w:rPr>
          <w:rFonts w:ascii="Arial" w:hAnsi="Arial" w:cs="Arial"/>
          <w:sz w:val="24"/>
        </w:rPr>
      </w:pPr>
      <w:r>
        <w:rPr>
          <w:rFonts w:ascii="Arial" w:hAnsi="Arial" w:cs="Arial"/>
          <w:sz w:val="24"/>
        </w:rPr>
        <w:t>Wow that sounds boring</w:t>
      </w:r>
    </w:p>
    <w:p w:rsidR="004E5118" w:rsidRDefault="004E5118" w:rsidP="004E5118">
      <w:pPr>
        <w:rPr>
          <w:rFonts w:ascii="Arial" w:hAnsi="Arial" w:cs="Arial"/>
          <w:sz w:val="24"/>
        </w:rPr>
      </w:pPr>
      <w:r>
        <w:rPr>
          <w:rFonts w:ascii="Arial" w:hAnsi="Arial" w:cs="Arial"/>
          <w:sz w:val="24"/>
        </w:rPr>
        <w:t>Networks of Hellenistic Diplomacy: A New Consideration…</w:t>
      </w:r>
    </w:p>
    <w:p w:rsidR="004E5118" w:rsidRDefault="004E5118" w:rsidP="004E5118">
      <w:pPr>
        <w:rPr>
          <w:rFonts w:ascii="Arial" w:hAnsi="Arial" w:cs="Arial"/>
          <w:sz w:val="24"/>
        </w:rPr>
      </w:pPr>
      <w:r>
        <w:rPr>
          <w:rFonts w:ascii="Arial" w:hAnsi="Arial" w:cs="Arial"/>
          <w:sz w:val="24"/>
        </w:rPr>
        <w:t xml:space="preserve">Networks is a bit of a buzzword I think, and this bumps up polis centric </w:t>
      </w:r>
      <w:proofErr w:type="spellStart"/>
      <w:r>
        <w:rPr>
          <w:rFonts w:ascii="Arial" w:hAnsi="Arial" w:cs="Arial"/>
          <w:sz w:val="24"/>
        </w:rPr>
        <w:t>appr</w:t>
      </w:r>
      <w:proofErr w:type="spellEnd"/>
      <w:r>
        <w:rPr>
          <w:rFonts w:ascii="Arial" w:hAnsi="Arial" w:cs="Arial"/>
          <w:sz w:val="24"/>
        </w:rPr>
        <w:t xml:space="preserve">. </w:t>
      </w:r>
    </w:p>
    <w:p w:rsidR="004E5118" w:rsidRDefault="004E5118" w:rsidP="004E5118">
      <w:pPr>
        <w:rPr>
          <w:rFonts w:ascii="Arial" w:hAnsi="Arial" w:cs="Arial"/>
          <w:sz w:val="24"/>
        </w:rPr>
      </w:pPr>
      <w:r w:rsidRPr="003C38ED">
        <w:rPr>
          <w:rFonts w:ascii="Arial" w:hAnsi="Arial" w:cs="Arial"/>
          <w:b/>
          <w:sz w:val="24"/>
        </w:rPr>
        <w:t>Abstract</w:t>
      </w:r>
      <w:r>
        <w:rPr>
          <w:rFonts w:ascii="Arial" w:hAnsi="Arial" w:cs="Arial"/>
          <w:sz w:val="24"/>
        </w:rPr>
        <w:t>:</w:t>
      </w:r>
    </w:p>
    <w:p w:rsidR="004E5118" w:rsidRDefault="004E5118" w:rsidP="004E5118">
      <w:pPr>
        <w:rPr>
          <w:rFonts w:ascii="Arial" w:hAnsi="Arial" w:cs="Arial"/>
          <w:sz w:val="24"/>
        </w:rPr>
      </w:pPr>
      <w:r>
        <w:rPr>
          <w:rFonts w:ascii="Arial" w:hAnsi="Arial" w:cs="Arial"/>
          <w:sz w:val="24"/>
        </w:rPr>
        <w:t xml:space="preserve">Networks are an integral part of any relationship. This holds true both for the contemporary and ancient worlds. One of the ways in which we can </w:t>
      </w:r>
      <w:r w:rsidRPr="00042B6B">
        <w:rPr>
          <w:rFonts w:ascii="Arial" w:hAnsi="Arial" w:cs="Arial"/>
          <w:sz w:val="24"/>
        </w:rPr>
        <w:t>assess</w:t>
      </w:r>
      <w:r>
        <w:rPr>
          <w:rFonts w:ascii="Arial" w:hAnsi="Arial" w:cs="Arial"/>
          <w:b/>
          <w:sz w:val="24"/>
        </w:rPr>
        <w:t xml:space="preserve"> </w:t>
      </w:r>
      <w:r>
        <w:rPr>
          <w:rFonts w:ascii="Arial" w:hAnsi="Arial" w:cs="Arial"/>
          <w:sz w:val="24"/>
        </w:rPr>
        <w:t xml:space="preserve">these relationships in </w:t>
      </w:r>
      <w:bookmarkStart w:id="0" w:name="_GoBack"/>
      <w:bookmarkEnd w:id="0"/>
      <w:r>
        <w:rPr>
          <w:rFonts w:ascii="Arial" w:hAnsi="Arial" w:cs="Arial"/>
          <w:sz w:val="24"/>
        </w:rPr>
        <w:t xml:space="preserve">an ancient context is through official communication – diplomacy.  </w:t>
      </w:r>
    </w:p>
    <w:p w:rsidR="004E5118" w:rsidRDefault="004E5118" w:rsidP="004E5118">
      <w:pPr>
        <w:rPr>
          <w:rFonts w:ascii="Arial" w:hAnsi="Arial" w:cs="Arial"/>
          <w:sz w:val="24"/>
        </w:rPr>
      </w:pPr>
      <w:r>
        <w:rPr>
          <w:rFonts w:ascii="Arial" w:hAnsi="Arial" w:cs="Arial"/>
          <w:sz w:val="24"/>
        </w:rPr>
        <w:t xml:space="preserve">The focus of this </w:t>
      </w:r>
      <w:r w:rsidR="00B22303">
        <w:rPr>
          <w:rFonts w:ascii="Arial" w:hAnsi="Arial" w:cs="Arial"/>
          <w:sz w:val="24"/>
        </w:rPr>
        <w:t>thesis</w:t>
      </w:r>
      <w:r>
        <w:rPr>
          <w:rFonts w:ascii="Arial" w:hAnsi="Arial" w:cs="Arial"/>
          <w:sz w:val="24"/>
        </w:rPr>
        <w:t xml:space="preserve"> is a series of diplomatic meetings between Rome and the Hellenistic kings and cities in Asia Minor. The available evidence for these meetings allows me to view several different forms of diplomacy networks in action. This, however, forces us to return to the age-old problem of source material. The evidence for this diplomatic activity derives from literary and epigraphical sources. In this case, the literary evidence is problematic due to its non-contemporaneous nature, and the additional factor of bias this involves. While it is important to bear this in mind when reading any ancient text, it can give us an interesting insight of the process of diplomacy in an author’s own time period. Epigraphical evidence has different advantages and disadvantages; inscriptions can give us a more contemporary account, yet its content is very narrow by nature. One way in which scholarship has tried to circumvent this is to create an overarching theme which connects them.</w:t>
      </w:r>
      <w:r>
        <w:rPr>
          <w:rStyle w:val="FootnoteReference"/>
          <w:rFonts w:ascii="Arial" w:hAnsi="Arial" w:cs="Arial"/>
          <w:sz w:val="24"/>
        </w:rPr>
        <w:footnoteReference w:id="1"/>
      </w:r>
      <w:r>
        <w:rPr>
          <w:rFonts w:ascii="Arial" w:hAnsi="Arial" w:cs="Arial"/>
          <w:sz w:val="24"/>
        </w:rPr>
        <w:t xml:space="preserve"> In this thesis, I combine the approaches to the sources in order to form a fuller picture. </w:t>
      </w:r>
    </w:p>
    <w:p w:rsidR="004E5118" w:rsidRDefault="004E5118" w:rsidP="004E5118">
      <w:pPr>
        <w:rPr>
          <w:rFonts w:ascii="Arial" w:hAnsi="Arial" w:cs="Arial"/>
          <w:sz w:val="24"/>
        </w:rPr>
      </w:pPr>
      <w:r>
        <w:rPr>
          <w:rFonts w:ascii="Arial" w:hAnsi="Arial" w:cs="Arial"/>
          <w:sz w:val="24"/>
        </w:rPr>
        <w:t>Recent interdisciplinary developments in scholarship have forced us to reassess our preconceptions regarding ancient diplomacy. The engagement with the field of political science, and the topic of International Relations</w:t>
      </w:r>
      <w:r w:rsidR="00B22303">
        <w:rPr>
          <w:rFonts w:ascii="Arial" w:hAnsi="Arial" w:cs="Arial"/>
          <w:sz w:val="24"/>
        </w:rPr>
        <w:t xml:space="preserve"> (I.R.)</w:t>
      </w:r>
      <w:r>
        <w:rPr>
          <w:rFonts w:ascii="Arial" w:hAnsi="Arial" w:cs="Arial"/>
          <w:sz w:val="24"/>
        </w:rPr>
        <w:t xml:space="preserve"> Theory within this field, have nuanced the traditional debate regarding the dialogue between states. Scholarship has been influenced by the view that the only form of official dialogue between states was ‘primitive’ diplomacy.</w:t>
      </w:r>
      <w:r>
        <w:rPr>
          <w:rStyle w:val="FootnoteReference"/>
          <w:rFonts w:ascii="Arial" w:hAnsi="Arial" w:cs="Arial"/>
          <w:sz w:val="24"/>
        </w:rPr>
        <w:footnoteReference w:id="2"/>
      </w:r>
      <w:r>
        <w:rPr>
          <w:rFonts w:ascii="Arial" w:hAnsi="Arial" w:cs="Arial"/>
          <w:sz w:val="24"/>
        </w:rPr>
        <w:t xml:space="preserve"> This changed from the mid-noughties, with publications from Eckstein, Low, and Burton, all of whom discussed political science in an ancient context.</w:t>
      </w:r>
      <w:r>
        <w:rPr>
          <w:rStyle w:val="FootnoteReference"/>
          <w:rFonts w:ascii="Arial" w:hAnsi="Arial" w:cs="Arial"/>
          <w:sz w:val="24"/>
        </w:rPr>
        <w:footnoteReference w:id="3"/>
      </w:r>
      <w:r>
        <w:rPr>
          <w:rFonts w:ascii="Arial" w:hAnsi="Arial" w:cs="Arial"/>
          <w:sz w:val="24"/>
        </w:rPr>
        <w:t xml:space="preserve"> There are, however, limits to the scope of their analyses. Their use of a </w:t>
      </w:r>
      <w:r w:rsidRPr="00AE5111">
        <w:rPr>
          <w:rFonts w:ascii="Arial" w:hAnsi="Arial" w:cs="Arial"/>
          <w:sz w:val="24"/>
        </w:rPr>
        <w:t>theoretical</w:t>
      </w:r>
      <w:r>
        <w:rPr>
          <w:rFonts w:ascii="Arial" w:hAnsi="Arial" w:cs="Arial"/>
          <w:sz w:val="24"/>
        </w:rPr>
        <w:t xml:space="preserve"> grounding borrowed from I</w:t>
      </w:r>
      <w:r w:rsidR="00B22303">
        <w:rPr>
          <w:rFonts w:ascii="Arial" w:hAnsi="Arial" w:cs="Arial"/>
          <w:sz w:val="24"/>
        </w:rPr>
        <w:t>.</w:t>
      </w:r>
      <w:r>
        <w:rPr>
          <w:rFonts w:ascii="Arial" w:hAnsi="Arial" w:cs="Arial"/>
          <w:sz w:val="24"/>
        </w:rPr>
        <w:t>R</w:t>
      </w:r>
      <w:r w:rsidR="00B22303">
        <w:rPr>
          <w:rFonts w:ascii="Arial" w:hAnsi="Arial" w:cs="Arial"/>
          <w:sz w:val="24"/>
        </w:rPr>
        <w:t>.</w:t>
      </w:r>
      <w:r>
        <w:rPr>
          <w:rFonts w:ascii="Arial" w:hAnsi="Arial" w:cs="Arial"/>
          <w:sz w:val="24"/>
        </w:rPr>
        <w:t xml:space="preserve"> Theory is narrow, focusing primarily on Cold War thinking and based on western political assumptions.</w:t>
      </w:r>
      <w:r w:rsidR="00B22303">
        <w:rPr>
          <w:rFonts w:ascii="Arial" w:hAnsi="Arial" w:cs="Arial"/>
          <w:sz w:val="24"/>
        </w:rPr>
        <w:t xml:space="preserve"> </w:t>
      </w:r>
      <w:r>
        <w:rPr>
          <w:rFonts w:ascii="Arial" w:hAnsi="Arial" w:cs="Arial"/>
          <w:sz w:val="24"/>
        </w:rPr>
        <w:lastRenderedPageBreak/>
        <w:t>Debates on IR Theory have developed beyond this, with the rise of</w:t>
      </w:r>
      <w:r w:rsidR="00B22303">
        <w:rPr>
          <w:rFonts w:ascii="Arial" w:hAnsi="Arial" w:cs="Arial"/>
          <w:sz w:val="24"/>
        </w:rPr>
        <w:t xml:space="preserve"> Neoclassical R</w:t>
      </w:r>
      <w:r>
        <w:rPr>
          <w:rFonts w:ascii="Arial" w:hAnsi="Arial" w:cs="Arial"/>
          <w:sz w:val="24"/>
        </w:rPr>
        <w:t>e</w:t>
      </w:r>
      <w:r w:rsidR="00B22303">
        <w:rPr>
          <w:rFonts w:ascii="Arial" w:hAnsi="Arial" w:cs="Arial"/>
          <w:sz w:val="24"/>
        </w:rPr>
        <w:t>alism and its synthesis of the Realist and C</w:t>
      </w:r>
      <w:r>
        <w:rPr>
          <w:rFonts w:ascii="Arial" w:hAnsi="Arial" w:cs="Arial"/>
          <w:sz w:val="24"/>
        </w:rPr>
        <w:t>onstructivist schools.</w:t>
      </w:r>
      <w:r>
        <w:rPr>
          <w:rStyle w:val="FootnoteReference"/>
          <w:rFonts w:ascii="Arial" w:hAnsi="Arial" w:cs="Arial"/>
          <w:sz w:val="24"/>
        </w:rPr>
        <w:footnoteReference w:id="4"/>
      </w:r>
      <w:r>
        <w:rPr>
          <w:rFonts w:ascii="Arial" w:hAnsi="Arial" w:cs="Arial"/>
          <w:sz w:val="24"/>
        </w:rPr>
        <w:t xml:space="preserve">  </w:t>
      </w:r>
    </w:p>
    <w:p w:rsidR="004E5118" w:rsidRPr="003C38ED" w:rsidRDefault="004E5118" w:rsidP="004E5118">
      <w:pPr>
        <w:rPr>
          <w:rFonts w:ascii="Arial" w:hAnsi="Arial" w:cs="Arial"/>
          <w:sz w:val="24"/>
        </w:rPr>
      </w:pPr>
      <w:r>
        <w:rPr>
          <w:rFonts w:ascii="Arial" w:hAnsi="Arial" w:cs="Arial"/>
          <w:sz w:val="24"/>
        </w:rPr>
        <w:t>Recent discussions of I</w:t>
      </w:r>
      <w:r w:rsidR="00B22303">
        <w:rPr>
          <w:rFonts w:ascii="Arial" w:hAnsi="Arial" w:cs="Arial"/>
          <w:sz w:val="24"/>
        </w:rPr>
        <w:t>.</w:t>
      </w:r>
      <w:r>
        <w:rPr>
          <w:rFonts w:ascii="Arial" w:hAnsi="Arial" w:cs="Arial"/>
          <w:sz w:val="24"/>
        </w:rPr>
        <w:t>R</w:t>
      </w:r>
      <w:r w:rsidR="00B22303">
        <w:rPr>
          <w:rFonts w:ascii="Arial" w:hAnsi="Arial" w:cs="Arial"/>
          <w:sz w:val="24"/>
        </w:rPr>
        <w:t>.</w:t>
      </w:r>
      <w:r>
        <w:rPr>
          <w:rFonts w:ascii="Arial" w:hAnsi="Arial" w:cs="Arial"/>
          <w:sz w:val="24"/>
        </w:rPr>
        <w:t xml:space="preserve"> Theory are restricted in other ways, since scholars seem to have reverted to the traditional west against east attitude under the guise of the bipolar system. This study intends to re-examine previous thinking regarding a ‘</w:t>
      </w:r>
      <w:r>
        <w:rPr>
          <w:rFonts w:ascii="Arial" w:hAnsi="Arial" w:cs="Arial"/>
          <w:i/>
          <w:sz w:val="24"/>
        </w:rPr>
        <w:t>polis</w:t>
      </w:r>
      <w:r>
        <w:rPr>
          <w:rFonts w:ascii="Arial" w:hAnsi="Arial" w:cs="Arial"/>
          <w:sz w:val="24"/>
        </w:rPr>
        <w:t xml:space="preserve">-centric’ approach such as John Ma’s extensive epigraphical study. In keeping with the vitalist school, his monograph underlined the importance of </w:t>
      </w:r>
      <w:r>
        <w:rPr>
          <w:rFonts w:ascii="Arial" w:hAnsi="Arial" w:cs="Arial"/>
          <w:i/>
          <w:sz w:val="24"/>
        </w:rPr>
        <w:t>poleis</w:t>
      </w:r>
      <w:r w:rsidR="00B22303">
        <w:rPr>
          <w:rFonts w:ascii="Arial" w:hAnsi="Arial" w:cs="Arial"/>
          <w:i/>
          <w:sz w:val="24"/>
        </w:rPr>
        <w:t xml:space="preserve"> </w:t>
      </w:r>
      <w:r w:rsidR="00B22303">
        <w:rPr>
          <w:rFonts w:ascii="Arial" w:hAnsi="Arial" w:cs="Arial"/>
          <w:sz w:val="24"/>
        </w:rPr>
        <w:t>(city-states)</w:t>
      </w:r>
      <w:r>
        <w:rPr>
          <w:rFonts w:ascii="Arial" w:hAnsi="Arial" w:cs="Arial"/>
          <w:i/>
          <w:sz w:val="24"/>
        </w:rPr>
        <w:t xml:space="preserve"> </w:t>
      </w:r>
      <w:r>
        <w:rPr>
          <w:rFonts w:ascii="Arial" w:hAnsi="Arial" w:cs="Arial"/>
          <w:sz w:val="24"/>
        </w:rPr>
        <w:t xml:space="preserve">in the Hellenistic world and the implications this had on regional studies. This touched upon the anarchic system theory that was later expanded by others. Ma, however, predated the theoretical analysis explored by Eckstein, Low, and Burton. It is an oversight that this thesis </w:t>
      </w:r>
      <w:r w:rsidRPr="00582733">
        <w:rPr>
          <w:rFonts w:ascii="Arial" w:hAnsi="Arial" w:cs="Arial"/>
          <w:sz w:val="24"/>
        </w:rPr>
        <w:t>attempts</w:t>
      </w:r>
      <w:r>
        <w:rPr>
          <w:rFonts w:ascii="Arial" w:hAnsi="Arial" w:cs="Arial"/>
          <w:sz w:val="24"/>
        </w:rPr>
        <w:t xml:space="preserve"> to rectify by updating Ma’s </w:t>
      </w:r>
      <w:r>
        <w:rPr>
          <w:rFonts w:ascii="Arial" w:hAnsi="Arial" w:cs="Arial"/>
          <w:i/>
          <w:sz w:val="24"/>
        </w:rPr>
        <w:t>polis</w:t>
      </w:r>
      <w:r>
        <w:rPr>
          <w:rFonts w:ascii="Arial" w:hAnsi="Arial" w:cs="Arial"/>
          <w:sz w:val="24"/>
        </w:rPr>
        <w:t>-centric approach in line with the introduction of I</w:t>
      </w:r>
      <w:r w:rsidR="00B22303">
        <w:rPr>
          <w:rFonts w:ascii="Arial" w:hAnsi="Arial" w:cs="Arial"/>
          <w:sz w:val="24"/>
        </w:rPr>
        <w:t>.</w:t>
      </w:r>
      <w:r>
        <w:rPr>
          <w:rFonts w:ascii="Arial" w:hAnsi="Arial" w:cs="Arial"/>
          <w:sz w:val="24"/>
        </w:rPr>
        <w:t>R</w:t>
      </w:r>
      <w:r w:rsidR="00B22303">
        <w:rPr>
          <w:rFonts w:ascii="Arial" w:hAnsi="Arial" w:cs="Arial"/>
          <w:sz w:val="24"/>
        </w:rPr>
        <w:t>.</w:t>
      </w:r>
      <w:r>
        <w:rPr>
          <w:rFonts w:ascii="Arial" w:hAnsi="Arial" w:cs="Arial"/>
          <w:sz w:val="24"/>
        </w:rPr>
        <w:t xml:space="preserve"> Theory.    </w:t>
      </w:r>
      <w:r>
        <w:rPr>
          <w:rFonts w:ascii="Arial" w:hAnsi="Arial" w:cs="Arial"/>
          <w:i/>
          <w:sz w:val="24"/>
        </w:rPr>
        <w:t xml:space="preserve"> </w:t>
      </w:r>
      <w:r>
        <w:rPr>
          <w:rFonts w:ascii="Arial" w:hAnsi="Arial" w:cs="Arial"/>
          <w:sz w:val="24"/>
        </w:rPr>
        <w:t xml:space="preserve">    </w:t>
      </w:r>
      <w:r>
        <w:rPr>
          <w:rFonts w:ascii="Arial" w:hAnsi="Arial" w:cs="Arial"/>
          <w:b/>
          <w:sz w:val="24"/>
        </w:rPr>
        <w:t xml:space="preserve"> </w:t>
      </w:r>
    </w:p>
    <w:p w:rsidR="006F42AA" w:rsidRDefault="004E5118" w:rsidP="004E5118">
      <w:r>
        <w:rPr>
          <w:rFonts w:ascii="Arial" w:hAnsi="Arial" w:cs="Arial"/>
          <w:sz w:val="24"/>
        </w:rPr>
        <w:t>It is no surprise that ancient historical studies lag behind the most current thinking in political science, as the latter tends to undergo more drastic changes to suit the political climate. Yet the difference between the two fields has become so disparate that it is now outdated from a political scientist’s perspective, and undermines the basis of their works. Therefore, this study aims to widen the discussion and explore new theoretical frameworks which can deepen our understanding of interstate relations in the ancient world.</w:t>
      </w:r>
    </w:p>
    <w:sectPr w:rsidR="006F42A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5118" w:rsidRDefault="004E5118" w:rsidP="004E5118">
      <w:pPr>
        <w:spacing w:after="0" w:line="240" w:lineRule="auto"/>
      </w:pPr>
      <w:r>
        <w:separator/>
      </w:r>
    </w:p>
  </w:endnote>
  <w:endnote w:type="continuationSeparator" w:id="0">
    <w:p w:rsidR="004E5118" w:rsidRDefault="004E5118" w:rsidP="004E5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5118" w:rsidRDefault="004E5118" w:rsidP="004E5118">
      <w:pPr>
        <w:spacing w:after="0" w:line="240" w:lineRule="auto"/>
      </w:pPr>
      <w:r>
        <w:separator/>
      </w:r>
    </w:p>
  </w:footnote>
  <w:footnote w:type="continuationSeparator" w:id="0">
    <w:p w:rsidR="004E5118" w:rsidRDefault="004E5118" w:rsidP="004E5118">
      <w:pPr>
        <w:spacing w:after="0" w:line="240" w:lineRule="auto"/>
      </w:pPr>
      <w:r>
        <w:continuationSeparator/>
      </w:r>
    </w:p>
  </w:footnote>
  <w:footnote w:id="1">
    <w:p w:rsidR="004E5118" w:rsidRPr="00765909" w:rsidRDefault="004E5118" w:rsidP="004E5118">
      <w:pPr>
        <w:pStyle w:val="FootnoteText"/>
      </w:pPr>
      <w:r>
        <w:rPr>
          <w:rStyle w:val="FootnoteReference"/>
        </w:rPr>
        <w:footnoteRef/>
      </w:r>
      <w:r>
        <w:t xml:space="preserve"> John Ma 2001: </w:t>
      </w:r>
      <w:r>
        <w:rPr>
          <w:i/>
        </w:rPr>
        <w:t>Antiochos III and the Cities of Western Asia Minor</w:t>
      </w:r>
      <w:r w:rsidR="00B22303">
        <w:t xml:space="preserve"> is</w:t>
      </w:r>
      <w:r>
        <w:t xml:space="preserve"> the seminal work in this regard. </w:t>
      </w:r>
    </w:p>
  </w:footnote>
  <w:footnote w:id="2">
    <w:p w:rsidR="004E5118" w:rsidRDefault="004E5118" w:rsidP="004E5118">
      <w:pPr>
        <w:pStyle w:val="FootnoteText"/>
      </w:pPr>
      <w:r>
        <w:rPr>
          <w:rStyle w:val="FootnoteReference"/>
        </w:rPr>
        <w:footnoteRef/>
      </w:r>
      <w:r>
        <w:t xml:space="preserve"> Eckstein 2006: 121-2 with discussion. </w:t>
      </w:r>
    </w:p>
  </w:footnote>
  <w:footnote w:id="3">
    <w:p w:rsidR="004E5118" w:rsidRDefault="004E5118" w:rsidP="004E5118">
      <w:pPr>
        <w:pStyle w:val="FootnoteText"/>
        <w:rPr>
          <w:i/>
        </w:rPr>
      </w:pPr>
      <w:r>
        <w:rPr>
          <w:rStyle w:val="FootnoteReference"/>
        </w:rPr>
        <w:footnoteRef/>
      </w:r>
      <w:r>
        <w:t xml:space="preserve"> Eckstein 2006: </w:t>
      </w:r>
      <w:r>
        <w:rPr>
          <w:i/>
        </w:rPr>
        <w:t>Mediterranean Anarchy.</w:t>
      </w:r>
    </w:p>
    <w:p w:rsidR="004E5118" w:rsidRDefault="004E5118" w:rsidP="004E5118">
      <w:pPr>
        <w:pStyle w:val="FootnoteText"/>
      </w:pPr>
      <w:r>
        <w:t xml:space="preserve">   Low 2007: </w:t>
      </w:r>
      <w:r>
        <w:rPr>
          <w:i/>
        </w:rPr>
        <w:t>Interstate Relations in Classical Greece</w:t>
      </w:r>
      <w:r>
        <w:t xml:space="preserve">. </w:t>
      </w:r>
    </w:p>
    <w:p w:rsidR="004E5118" w:rsidRPr="00497F25" w:rsidRDefault="004E5118" w:rsidP="004E5118">
      <w:pPr>
        <w:pStyle w:val="FootnoteText"/>
      </w:pPr>
      <w:r>
        <w:t xml:space="preserve">   Burton 2011: </w:t>
      </w:r>
      <w:r>
        <w:rPr>
          <w:i/>
        </w:rPr>
        <w:t xml:space="preserve">Friendship and Empire. </w:t>
      </w:r>
    </w:p>
  </w:footnote>
  <w:footnote w:id="4">
    <w:p w:rsidR="004E5118" w:rsidRPr="002470C0" w:rsidRDefault="004E5118" w:rsidP="004E5118">
      <w:pPr>
        <w:pStyle w:val="FootnoteText"/>
        <w:rPr>
          <w:i/>
        </w:rPr>
      </w:pPr>
      <w:r>
        <w:rPr>
          <w:rStyle w:val="FootnoteReference"/>
        </w:rPr>
        <w:footnoteRef/>
      </w:r>
      <w:r>
        <w:t xml:space="preserve"> </w:t>
      </w:r>
      <w:proofErr w:type="spellStart"/>
      <w:r>
        <w:rPr>
          <w:lang w:val="en"/>
        </w:rPr>
        <w:t>Ripsman</w:t>
      </w:r>
      <w:proofErr w:type="spellEnd"/>
      <w:r>
        <w:rPr>
          <w:lang w:val="en"/>
        </w:rPr>
        <w:t xml:space="preserve">, Taliaferro, Lobell 2016: </w:t>
      </w:r>
      <w:r>
        <w:rPr>
          <w:i/>
          <w:lang w:val="en"/>
        </w:rPr>
        <w:t>Neoclassical Realist Theory of International Politics</w:t>
      </w:r>
      <w:r>
        <w:rPr>
          <w:lang w:val="en"/>
        </w:rPr>
        <w:t xml:space="preserve">, 8-9.  </w:t>
      </w:r>
      <w:r>
        <w:rPr>
          <w:i/>
          <w:lang w:val="en"/>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5118" w:rsidRDefault="004E5118" w:rsidP="004E5118">
    <w:pPr>
      <w:pStyle w:val="Header"/>
    </w:pPr>
    <w:r>
      <w:t>Christopher Fleming</w:t>
    </w:r>
    <w:r>
      <w:tab/>
    </w:r>
    <w:r>
      <w:tab/>
      <w:t>Christopher.fleming@uwtsd.ac.uk</w:t>
    </w:r>
  </w:p>
  <w:p w:rsidR="004E5118" w:rsidRDefault="004E5118">
    <w:pPr>
      <w:pStyle w:val="Header"/>
    </w:pPr>
    <w:r>
      <w:t>PhD Student (Classics)</w:t>
    </w:r>
  </w:p>
  <w:p w:rsidR="004E5118" w:rsidRDefault="004E5118">
    <w:pPr>
      <w:pStyle w:val="Header"/>
    </w:pPr>
    <w:r>
      <w:t>UWTSD</w:t>
    </w:r>
  </w:p>
  <w:p w:rsidR="004E5118" w:rsidRDefault="004E51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118"/>
    <w:rsid w:val="004E5118"/>
    <w:rsid w:val="007C0A84"/>
    <w:rsid w:val="00B22303"/>
    <w:rsid w:val="00D0075D"/>
    <w:rsid w:val="00FD5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8FE1CC-9B49-4A5A-87E9-3E9503802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4E51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51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5118"/>
    <w:rPr>
      <w:sz w:val="20"/>
      <w:szCs w:val="20"/>
    </w:rPr>
  </w:style>
  <w:style w:type="character" w:styleId="FootnoteReference">
    <w:name w:val="footnote reference"/>
    <w:basedOn w:val="DefaultParagraphFont"/>
    <w:uiPriority w:val="99"/>
    <w:semiHidden/>
    <w:unhideWhenUsed/>
    <w:rsid w:val="004E5118"/>
    <w:rPr>
      <w:vertAlign w:val="superscript"/>
    </w:rPr>
  </w:style>
  <w:style w:type="paragraph" w:styleId="Header">
    <w:name w:val="header"/>
    <w:basedOn w:val="Normal"/>
    <w:link w:val="HeaderChar"/>
    <w:uiPriority w:val="99"/>
    <w:unhideWhenUsed/>
    <w:rsid w:val="004E5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118"/>
  </w:style>
  <w:style w:type="paragraph" w:styleId="Footer">
    <w:name w:val="footer"/>
    <w:basedOn w:val="Normal"/>
    <w:link w:val="FooterChar"/>
    <w:uiPriority w:val="99"/>
    <w:unhideWhenUsed/>
    <w:rsid w:val="004E5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1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940</TotalTime>
  <Pages>2</Pages>
  <Words>590</Words>
  <Characters>3369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Fleming</dc:creator>
  <cp:keywords/>
  <dc:description/>
  <cp:lastModifiedBy>Chris Fleming</cp:lastModifiedBy>
  <cp:revision>3</cp:revision>
  <dcterms:created xsi:type="dcterms:W3CDTF">2017-01-02T16:00:00Z</dcterms:created>
  <dcterms:modified xsi:type="dcterms:W3CDTF">2017-04-19T08:54:00Z</dcterms:modified>
</cp:coreProperties>
</file>