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MON_1764854626"/>
    <w:bookmarkEnd w:id="0"/>
    <w:p w14:paraId="78A3E72F" w14:textId="621633E9" w:rsidR="00AC0280" w:rsidRDefault="00AC0280" w:rsidP="006E4A3C">
      <w:pPr>
        <w:pStyle w:val="Heading1"/>
        <w:jc w:val="center"/>
      </w:pPr>
      <w:r>
        <w:object w:dxaOrig="8872" w:dyaOrig="14228" w14:anchorId="08D24E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25pt;height:711.75pt" o:ole="">
            <v:imagedata r:id="rId7" o:title=""/>
          </v:shape>
          <o:OLEObject Type="Embed" ProgID="Word.Document.8" ShapeID="_x0000_i1025" DrawAspect="Content" ObjectID="_1765188132" r:id="rId8">
            <o:FieldCodes>\s</o:FieldCodes>
          </o:OLEObject>
        </w:object>
      </w:r>
    </w:p>
    <w:tbl>
      <w:tblPr>
        <w:tblW w:w="0" w:type="auto"/>
        <w:tblLayout w:type="fixed"/>
        <w:tblLook w:val="0000" w:firstRow="0" w:lastRow="0" w:firstColumn="0" w:lastColumn="0" w:noHBand="0" w:noVBand="0"/>
      </w:tblPr>
      <w:tblGrid>
        <w:gridCol w:w="5211"/>
        <w:gridCol w:w="1557"/>
        <w:gridCol w:w="2088"/>
      </w:tblGrid>
      <w:tr w:rsidR="00AC0280" w14:paraId="5092F820" w14:textId="77777777" w:rsidTr="00306806">
        <w:trPr>
          <w:trHeight w:val="3972"/>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3C49DC32" w14:textId="77777777" w:rsidR="00AC0280" w:rsidRDefault="00AC0280" w:rsidP="00306806">
            <w:pPr>
              <w:pStyle w:val="NormalWeb"/>
              <w:spacing w:before="0" w:after="0"/>
              <w:ind w:left="142" w:right="34"/>
              <w:rPr>
                <w:rFonts w:ascii="Arial" w:hAnsi="Arial" w:cs="Arial"/>
                <w:b/>
                <w:sz w:val="22"/>
                <w:szCs w:val="22"/>
              </w:rPr>
            </w:pPr>
          </w:p>
          <w:p w14:paraId="509FFA9F" w14:textId="77777777" w:rsidR="00AC0280" w:rsidRDefault="00AC0280" w:rsidP="00306806">
            <w:pPr>
              <w:pStyle w:val="NormalWeb"/>
              <w:spacing w:before="0" w:after="0"/>
            </w:pPr>
            <w:r>
              <w:rPr>
                <w:rFonts w:ascii="Arial" w:hAnsi="Arial" w:cs="Arial"/>
                <w:b/>
                <w:sz w:val="22"/>
                <w:szCs w:val="22"/>
              </w:rPr>
              <w:t>For completion by Marker 1 :</w:t>
            </w:r>
          </w:p>
          <w:p w14:paraId="245E7676" w14:textId="77777777" w:rsidR="00AC0280" w:rsidRDefault="00AC0280" w:rsidP="00306806">
            <w:pPr>
              <w:pStyle w:val="NormalWeb"/>
            </w:pPr>
            <w:r>
              <w:rPr>
                <w:rFonts w:ascii="Arial" w:hAnsi="Arial" w:cs="Arial"/>
                <w:sz w:val="22"/>
                <w:szCs w:val="22"/>
              </w:rPr>
              <w:t>Comments:</w:t>
            </w:r>
          </w:p>
          <w:p w14:paraId="56F35865" w14:textId="77777777" w:rsidR="00AC0280" w:rsidRDefault="00AC0280" w:rsidP="00306806">
            <w:pPr>
              <w:pStyle w:val="NormalWeb"/>
              <w:spacing w:after="0"/>
              <w:rPr>
                <w:rFonts w:ascii="Arial" w:hAnsi="Arial" w:cs="Arial"/>
                <w:sz w:val="22"/>
                <w:szCs w:val="22"/>
              </w:rPr>
            </w:pPr>
          </w:p>
        </w:tc>
      </w:tr>
      <w:tr w:rsidR="00AC0280" w14:paraId="427D4BFD" w14:textId="77777777" w:rsidTr="00306806">
        <w:trPr>
          <w:trHeight w:val="492"/>
        </w:trPr>
        <w:tc>
          <w:tcPr>
            <w:tcW w:w="6768" w:type="dxa"/>
            <w:gridSpan w:val="2"/>
            <w:tcBorders>
              <w:top w:val="single" w:sz="4" w:space="0" w:color="000000"/>
              <w:left w:val="single" w:sz="4" w:space="0" w:color="000000"/>
              <w:bottom w:val="single" w:sz="4" w:space="0" w:color="000000"/>
              <w:right w:val="single" w:sz="4" w:space="0" w:color="000000"/>
            </w:tcBorders>
            <w:shd w:val="clear" w:color="auto" w:fill="auto"/>
          </w:tcPr>
          <w:p w14:paraId="3145D0DF" w14:textId="77777777" w:rsidR="00AC0280" w:rsidRDefault="00AC0280" w:rsidP="00306806">
            <w:pPr>
              <w:pStyle w:val="NormalWeb"/>
              <w:spacing w:after="0"/>
              <w:ind w:left="142" w:right="34"/>
            </w:pPr>
            <w:r>
              <w:rPr>
                <w:rFonts w:ascii="Arial" w:hAnsi="Arial" w:cs="Arial"/>
                <w:sz w:val="22"/>
                <w:szCs w:val="22"/>
              </w:rPr>
              <w:t>Marker’s signature:</w:t>
            </w:r>
          </w:p>
        </w:tc>
        <w:tc>
          <w:tcPr>
            <w:tcW w:w="2088" w:type="dxa"/>
            <w:tcBorders>
              <w:top w:val="single" w:sz="4" w:space="0" w:color="000000"/>
              <w:left w:val="single" w:sz="4" w:space="0" w:color="000000"/>
              <w:bottom w:val="single" w:sz="4" w:space="0" w:color="000000"/>
              <w:right w:val="single" w:sz="4" w:space="0" w:color="000000"/>
            </w:tcBorders>
            <w:shd w:val="clear" w:color="auto" w:fill="auto"/>
          </w:tcPr>
          <w:p w14:paraId="5E6ACE68" w14:textId="77777777" w:rsidR="00AC0280" w:rsidRDefault="00AC0280" w:rsidP="00306806">
            <w:pPr>
              <w:pStyle w:val="NormalWeb"/>
              <w:spacing w:after="0"/>
              <w:ind w:left="142" w:right="34"/>
            </w:pPr>
            <w:r>
              <w:rPr>
                <w:rFonts w:ascii="Arial" w:hAnsi="Arial" w:cs="Arial"/>
                <w:sz w:val="22"/>
                <w:szCs w:val="22"/>
              </w:rPr>
              <w:t>Date:</w:t>
            </w:r>
          </w:p>
        </w:tc>
      </w:tr>
      <w:tr w:rsidR="00AC0280" w14:paraId="6FB90E9D" w14:textId="77777777" w:rsidTr="00306806">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5BD90B71" w14:textId="77777777" w:rsidR="00AC0280" w:rsidRDefault="00AC0280" w:rsidP="00306806">
            <w:pPr>
              <w:pStyle w:val="NormalWeb"/>
              <w:snapToGrid w:val="0"/>
              <w:spacing w:before="0" w:after="0"/>
              <w:ind w:right="-334"/>
              <w:rPr>
                <w:rFonts w:ascii="Arial" w:hAnsi="Arial" w:cs="Arial"/>
                <w:bCs/>
                <w:i/>
                <w:sz w:val="22"/>
                <w:szCs w:val="22"/>
              </w:rPr>
            </w:pPr>
          </w:p>
          <w:p w14:paraId="3098C26C" w14:textId="77777777" w:rsidR="00AC0280" w:rsidRDefault="00AC0280" w:rsidP="00306806">
            <w:pPr>
              <w:pStyle w:val="NormalWeb"/>
              <w:spacing w:before="0" w:after="0"/>
              <w:ind w:right="-334"/>
            </w:pPr>
            <w:r>
              <w:rPr>
                <w:rFonts w:ascii="Arial" w:hAnsi="Arial" w:cs="Arial"/>
                <w:b/>
                <w:bCs/>
                <w:sz w:val="22"/>
                <w:szCs w:val="22"/>
              </w:rPr>
              <w:t>For completion by Marker 2/Moderator:</w:t>
            </w:r>
          </w:p>
          <w:p w14:paraId="6F6770F0" w14:textId="77777777" w:rsidR="00AC0280" w:rsidRDefault="00AC0280" w:rsidP="00306806">
            <w:pPr>
              <w:pStyle w:val="NormalWeb"/>
              <w:spacing w:before="0" w:after="0"/>
              <w:ind w:right="-334"/>
              <w:rPr>
                <w:rFonts w:ascii="Arial" w:hAnsi="Arial" w:cs="Arial"/>
                <w:b/>
                <w:bCs/>
                <w:sz w:val="22"/>
                <w:szCs w:val="22"/>
              </w:rPr>
            </w:pPr>
          </w:p>
          <w:p w14:paraId="6E64A0DE" w14:textId="77777777" w:rsidR="00AC0280" w:rsidRDefault="00AC0280" w:rsidP="00306806">
            <w:pPr>
              <w:pStyle w:val="NormalWeb"/>
              <w:spacing w:before="0" w:after="0"/>
              <w:ind w:right="-334"/>
            </w:pPr>
            <w:r>
              <w:rPr>
                <w:rFonts w:ascii="Arial" w:hAnsi="Arial" w:cs="Arial"/>
                <w:bCs/>
                <w:sz w:val="22"/>
                <w:szCs w:val="22"/>
              </w:rPr>
              <w:t>Comments:</w:t>
            </w:r>
          </w:p>
          <w:p w14:paraId="257C6441" w14:textId="77777777" w:rsidR="00AC0280" w:rsidRDefault="00AC0280" w:rsidP="00306806">
            <w:pPr>
              <w:pStyle w:val="NormalWeb"/>
              <w:spacing w:before="0" w:after="0"/>
              <w:ind w:right="-334"/>
              <w:rPr>
                <w:rFonts w:ascii="Arial" w:hAnsi="Arial" w:cs="Arial"/>
                <w:bCs/>
                <w:sz w:val="22"/>
                <w:szCs w:val="22"/>
              </w:rPr>
            </w:pPr>
          </w:p>
          <w:p w14:paraId="301ED1FA" w14:textId="77777777" w:rsidR="00AC0280" w:rsidRDefault="00AC0280" w:rsidP="00306806">
            <w:pPr>
              <w:pStyle w:val="NormalWeb"/>
              <w:spacing w:before="0" w:after="0"/>
              <w:ind w:right="-334"/>
              <w:rPr>
                <w:rFonts w:ascii="Arial" w:hAnsi="Arial" w:cs="Arial"/>
                <w:bCs/>
                <w:sz w:val="22"/>
                <w:szCs w:val="22"/>
              </w:rPr>
            </w:pPr>
          </w:p>
          <w:p w14:paraId="296A3EC9" w14:textId="77777777" w:rsidR="00AC0280" w:rsidRDefault="00AC0280" w:rsidP="00306806">
            <w:pPr>
              <w:pStyle w:val="NormalWeb"/>
              <w:spacing w:before="0" w:after="0"/>
              <w:ind w:right="-334"/>
              <w:rPr>
                <w:rFonts w:ascii="Arial" w:hAnsi="Arial" w:cs="Arial"/>
                <w:bCs/>
                <w:sz w:val="22"/>
                <w:szCs w:val="22"/>
              </w:rPr>
            </w:pPr>
          </w:p>
          <w:p w14:paraId="6BF76C20" w14:textId="77777777" w:rsidR="00AC0280" w:rsidRDefault="00AC0280" w:rsidP="00306806">
            <w:pPr>
              <w:pStyle w:val="NormalWeb"/>
              <w:spacing w:before="0" w:after="0"/>
              <w:ind w:right="-334"/>
              <w:rPr>
                <w:rFonts w:ascii="Arial" w:hAnsi="Arial" w:cs="Arial"/>
                <w:bCs/>
                <w:sz w:val="22"/>
                <w:szCs w:val="22"/>
              </w:rPr>
            </w:pPr>
          </w:p>
          <w:p w14:paraId="0DFBEFEE" w14:textId="77777777" w:rsidR="00AC0280" w:rsidRDefault="00AC0280" w:rsidP="00306806">
            <w:pPr>
              <w:pStyle w:val="NormalWeb"/>
              <w:spacing w:before="0" w:after="0"/>
              <w:ind w:right="-334"/>
              <w:rPr>
                <w:rFonts w:ascii="Arial" w:hAnsi="Arial" w:cs="Arial"/>
                <w:bCs/>
                <w:sz w:val="22"/>
                <w:szCs w:val="22"/>
              </w:rPr>
            </w:pPr>
          </w:p>
          <w:p w14:paraId="15302AF2" w14:textId="77777777" w:rsidR="00AC0280" w:rsidRDefault="00AC0280" w:rsidP="00306806">
            <w:pPr>
              <w:pStyle w:val="NormalWeb"/>
              <w:spacing w:before="0" w:after="0"/>
              <w:ind w:right="-334"/>
              <w:rPr>
                <w:rFonts w:ascii="Arial" w:hAnsi="Arial" w:cs="Arial"/>
                <w:bCs/>
                <w:sz w:val="22"/>
                <w:szCs w:val="22"/>
              </w:rPr>
            </w:pPr>
          </w:p>
          <w:p w14:paraId="73EC4334" w14:textId="77777777" w:rsidR="00AC0280" w:rsidRDefault="00AC0280" w:rsidP="00306806">
            <w:pPr>
              <w:pStyle w:val="NormalWeb"/>
              <w:spacing w:before="0" w:after="0"/>
              <w:ind w:right="-334"/>
              <w:rPr>
                <w:rFonts w:ascii="Arial" w:hAnsi="Arial" w:cs="Arial"/>
                <w:bCs/>
                <w:sz w:val="22"/>
                <w:szCs w:val="22"/>
              </w:rPr>
            </w:pPr>
          </w:p>
          <w:p w14:paraId="49DB120F" w14:textId="77777777" w:rsidR="00AC0280" w:rsidRDefault="00AC0280" w:rsidP="00306806">
            <w:pPr>
              <w:pStyle w:val="NormalWeb"/>
              <w:spacing w:before="0" w:after="0"/>
              <w:ind w:right="-334"/>
              <w:rPr>
                <w:rFonts w:ascii="Arial" w:hAnsi="Arial" w:cs="Arial"/>
                <w:bCs/>
                <w:sz w:val="22"/>
                <w:szCs w:val="22"/>
              </w:rPr>
            </w:pPr>
          </w:p>
          <w:p w14:paraId="7450A023" w14:textId="77777777" w:rsidR="00AC0280" w:rsidRDefault="00AC0280" w:rsidP="00306806">
            <w:pPr>
              <w:pStyle w:val="NormalWeb"/>
              <w:spacing w:before="0" w:after="0"/>
              <w:ind w:right="-334"/>
              <w:rPr>
                <w:rFonts w:ascii="Arial" w:hAnsi="Arial" w:cs="Arial"/>
                <w:bCs/>
                <w:sz w:val="22"/>
                <w:szCs w:val="22"/>
              </w:rPr>
            </w:pPr>
          </w:p>
          <w:p w14:paraId="541C64FC" w14:textId="77777777" w:rsidR="00AC0280" w:rsidRDefault="00AC0280" w:rsidP="00306806">
            <w:pPr>
              <w:pStyle w:val="NormalWeb"/>
              <w:spacing w:before="0" w:after="0"/>
              <w:ind w:right="-334"/>
              <w:rPr>
                <w:rFonts w:ascii="Arial" w:hAnsi="Arial" w:cs="Arial"/>
                <w:bCs/>
                <w:sz w:val="22"/>
                <w:szCs w:val="22"/>
              </w:rPr>
            </w:pPr>
          </w:p>
          <w:p w14:paraId="605B0491" w14:textId="77777777" w:rsidR="00AC0280" w:rsidRDefault="00AC0280" w:rsidP="00306806">
            <w:pPr>
              <w:pStyle w:val="NormalWeb"/>
              <w:spacing w:before="0" w:after="0"/>
              <w:ind w:right="-334"/>
              <w:rPr>
                <w:rFonts w:ascii="Arial" w:hAnsi="Arial" w:cs="Arial"/>
                <w:bCs/>
                <w:sz w:val="22"/>
                <w:szCs w:val="22"/>
              </w:rPr>
            </w:pPr>
          </w:p>
          <w:p w14:paraId="1ECB1388" w14:textId="77777777" w:rsidR="00AC0280" w:rsidRDefault="00AC0280" w:rsidP="00306806">
            <w:pPr>
              <w:pStyle w:val="NormalWeb"/>
              <w:spacing w:before="0" w:after="0"/>
              <w:ind w:right="-334"/>
              <w:rPr>
                <w:rFonts w:ascii="Arial" w:hAnsi="Arial" w:cs="Arial"/>
                <w:bCs/>
                <w:sz w:val="22"/>
                <w:szCs w:val="22"/>
              </w:rPr>
            </w:pPr>
          </w:p>
        </w:tc>
      </w:tr>
      <w:tr w:rsidR="00AC0280" w14:paraId="755F09B4" w14:textId="77777777" w:rsidTr="00306806">
        <w:trPr>
          <w:trHeight w:val="720"/>
        </w:trPr>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9727E72" w14:textId="77777777" w:rsidR="00AC0280" w:rsidRDefault="00AC0280" w:rsidP="00306806">
            <w:pPr>
              <w:pStyle w:val="NormalWeb"/>
              <w:spacing w:before="0" w:after="0"/>
              <w:ind w:right="-334"/>
            </w:pPr>
            <w:r>
              <w:rPr>
                <w:rFonts w:ascii="Arial" w:hAnsi="Arial" w:cs="Arial"/>
                <w:bCs/>
                <w:sz w:val="22"/>
                <w:szCs w:val="22"/>
              </w:rPr>
              <w:t>Marker’s Signature:</w:t>
            </w:r>
          </w:p>
        </w:tc>
        <w:tc>
          <w:tcPr>
            <w:tcW w:w="3645" w:type="dxa"/>
            <w:gridSpan w:val="2"/>
            <w:tcBorders>
              <w:top w:val="single" w:sz="4" w:space="0" w:color="000000"/>
              <w:left w:val="single" w:sz="4" w:space="0" w:color="000000"/>
              <w:bottom w:val="single" w:sz="4" w:space="0" w:color="000000"/>
              <w:right w:val="single" w:sz="4" w:space="0" w:color="000000"/>
            </w:tcBorders>
            <w:shd w:val="clear" w:color="auto" w:fill="auto"/>
          </w:tcPr>
          <w:p w14:paraId="286993FD" w14:textId="77777777" w:rsidR="00AC0280" w:rsidRDefault="00AC0280" w:rsidP="00306806">
            <w:pPr>
              <w:pStyle w:val="NormalWeb"/>
              <w:spacing w:before="0" w:after="0"/>
              <w:ind w:right="-334"/>
            </w:pPr>
            <w:r>
              <w:rPr>
                <w:rFonts w:ascii="Arial" w:hAnsi="Arial" w:cs="Arial"/>
                <w:bCs/>
                <w:sz w:val="22"/>
                <w:szCs w:val="22"/>
              </w:rPr>
              <w:t>Date:</w:t>
            </w:r>
          </w:p>
        </w:tc>
      </w:tr>
      <w:tr w:rsidR="00AC0280" w14:paraId="194D4802" w14:textId="77777777" w:rsidTr="00306806">
        <w:trPr>
          <w:trHeight w:val="720"/>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5A043274" w14:textId="77777777" w:rsidR="00AC0280" w:rsidRDefault="00AC0280" w:rsidP="00306806">
            <w:r>
              <w:rPr>
                <w:rFonts w:ascii="Arial" w:hAnsi="Arial" w:cs="Arial"/>
                <w:b/>
              </w:rPr>
              <w:t>External Examiner’s comments (if relevant)</w:t>
            </w:r>
          </w:p>
          <w:p w14:paraId="6E1073EA" w14:textId="77777777" w:rsidR="00AC0280" w:rsidRDefault="00AC0280" w:rsidP="00306806">
            <w:pPr>
              <w:pStyle w:val="NormalWeb"/>
              <w:spacing w:before="0" w:after="0"/>
              <w:ind w:right="-334"/>
              <w:rPr>
                <w:rFonts w:ascii="Arial" w:hAnsi="Arial" w:cs="Arial"/>
                <w:b/>
                <w:bCs/>
                <w:sz w:val="22"/>
                <w:szCs w:val="22"/>
              </w:rPr>
            </w:pPr>
          </w:p>
          <w:p w14:paraId="083BC7CE" w14:textId="77777777" w:rsidR="00AC0280" w:rsidRDefault="00AC0280" w:rsidP="00306806">
            <w:pPr>
              <w:pStyle w:val="NormalWeb"/>
              <w:spacing w:before="0" w:after="0"/>
              <w:ind w:right="-334"/>
              <w:rPr>
                <w:rFonts w:ascii="Arial" w:hAnsi="Arial" w:cs="Arial"/>
                <w:b/>
                <w:bCs/>
                <w:sz w:val="22"/>
                <w:szCs w:val="22"/>
              </w:rPr>
            </w:pPr>
          </w:p>
          <w:p w14:paraId="786CDD9C" w14:textId="77777777" w:rsidR="00AC0280" w:rsidRDefault="00AC0280" w:rsidP="00306806">
            <w:pPr>
              <w:pStyle w:val="NormalWeb"/>
              <w:spacing w:before="0" w:after="0"/>
              <w:ind w:right="-334"/>
              <w:rPr>
                <w:rFonts w:ascii="Arial" w:hAnsi="Arial" w:cs="Arial"/>
                <w:b/>
                <w:bCs/>
                <w:sz w:val="22"/>
                <w:szCs w:val="22"/>
              </w:rPr>
            </w:pPr>
          </w:p>
          <w:p w14:paraId="037E9739" w14:textId="77777777" w:rsidR="00AC0280" w:rsidRDefault="00AC0280" w:rsidP="00306806">
            <w:pPr>
              <w:pStyle w:val="NormalWeb"/>
              <w:spacing w:before="0" w:after="0"/>
              <w:ind w:right="-334"/>
              <w:rPr>
                <w:rFonts w:ascii="Arial" w:hAnsi="Arial" w:cs="Arial"/>
                <w:b/>
                <w:bCs/>
                <w:sz w:val="22"/>
                <w:szCs w:val="22"/>
              </w:rPr>
            </w:pPr>
          </w:p>
          <w:p w14:paraId="2A7C0867" w14:textId="77777777" w:rsidR="00AC0280" w:rsidRDefault="00AC0280" w:rsidP="00306806">
            <w:pPr>
              <w:pStyle w:val="NormalWeb"/>
              <w:spacing w:before="0" w:after="0"/>
              <w:ind w:right="-334"/>
              <w:rPr>
                <w:rFonts w:ascii="Arial" w:hAnsi="Arial" w:cs="Arial"/>
                <w:bCs/>
                <w:sz w:val="22"/>
                <w:szCs w:val="22"/>
              </w:rPr>
            </w:pPr>
          </w:p>
          <w:p w14:paraId="735B0EB6" w14:textId="77777777" w:rsidR="00AC0280" w:rsidRDefault="00AC0280" w:rsidP="00306806">
            <w:pPr>
              <w:pStyle w:val="NormalWeb"/>
              <w:spacing w:before="0" w:after="0"/>
              <w:ind w:right="-334"/>
              <w:rPr>
                <w:rFonts w:ascii="Arial" w:hAnsi="Arial" w:cs="Arial"/>
                <w:bCs/>
                <w:sz w:val="22"/>
                <w:szCs w:val="22"/>
              </w:rPr>
            </w:pPr>
          </w:p>
          <w:p w14:paraId="07505E45" w14:textId="77777777" w:rsidR="00AC0280" w:rsidRDefault="00AC0280" w:rsidP="00306806">
            <w:pPr>
              <w:pStyle w:val="NormalWeb"/>
              <w:spacing w:before="0" w:after="0"/>
              <w:ind w:right="-334"/>
              <w:rPr>
                <w:rFonts w:ascii="Arial" w:hAnsi="Arial" w:cs="Arial"/>
                <w:bCs/>
                <w:sz w:val="22"/>
                <w:szCs w:val="22"/>
              </w:rPr>
            </w:pPr>
          </w:p>
          <w:p w14:paraId="313D442D" w14:textId="77777777" w:rsidR="00AC0280" w:rsidRDefault="00AC0280" w:rsidP="00306806">
            <w:pPr>
              <w:pStyle w:val="NormalWeb"/>
              <w:spacing w:before="0" w:after="0"/>
              <w:ind w:right="-334"/>
              <w:rPr>
                <w:rFonts w:ascii="Arial" w:hAnsi="Arial" w:cs="Arial"/>
                <w:bCs/>
                <w:sz w:val="22"/>
                <w:szCs w:val="22"/>
              </w:rPr>
            </w:pPr>
          </w:p>
          <w:p w14:paraId="166D344A" w14:textId="77777777" w:rsidR="00AC0280" w:rsidRDefault="00AC0280" w:rsidP="00306806">
            <w:pPr>
              <w:pStyle w:val="NormalWeb"/>
              <w:spacing w:before="0" w:after="0"/>
              <w:ind w:right="-334"/>
              <w:rPr>
                <w:rFonts w:ascii="Arial" w:hAnsi="Arial" w:cs="Arial"/>
                <w:bCs/>
                <w:sz w:val="22"/>
                <w:szCs w:val="22"/>
              </w:rPr>
            </w:pPr>
          </w:p>
          <w:p w14:paraId="767BA85C" w14:textId="77777777" w:rsidR="00AC0280" w:rsidRDefault="00AC0280" w:rsidP="00306806">
            <w:pPr>
              <w:pStyle w:val="NormalWeb"/>
              <w:spacing w:before="0" w:after="0"/>
              <w:ind w:right="-334"/>
              <w:rPr>
                <w:rFonts w:ascii="Arial" w:hAnsi="Arial" w:cs="Arial"/>
                <w:bCs/>
                <w:sz w:val="22"/>
                <w:szCs w:val="22"/>
              </w:rPr>
            </w:pPr>
          </w:p>
          <w:p w14:paraId="00F6DB72" w14:textId="77777777" w:rsidR="00AC0280" w:rsidRDefault="00AC0280" w:rsidP="00306806">
            <w:pPr>
              <w:pStyle w:val="NormalWeb"/>
              <w:spacing w:before="0" w:after="0"/>
              <w:ind w:right="-334"/>
              <w:rPr>
                <w:rFonts w:ascii="Arial" w:hAnsi="Arial" w:cs="Arial"/>
                <w:bCs/>
                <w:sz w:val="22"/>
                <w:szCs w:val="22"/>
              </w:rPr>
            </w:pPr>
          </w:p>
        </w:tc>
      </w:tr>
      <w:tr w:rsidR="00AC0280" w14:paraId="28CCE441" w14:textId="77777777" w:rsidTr="00306806">
        <w:trPr>
          <w:trHeight w:val="720"/>
        </w:trPr>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44D032EB" w14:textId="77777777" w:rsidR="00AC0280" w:rsidRDefault="00AC0280" w:rsidP="00306806">
            <w:r>
              <w:rPr>
                <w:rFonts w:ascii="Arial" w:hAnsi="Arial" w:cs="Arial"/>
              </w:rPr>
              <w:t>External Examiner’s Signature:</w:t>
            </w:r>
          </w:p>
        </w:tc>
        <w:tc>
          <w:tcPr>
            <w:tcW w:w="3645" w:type="dxa"/>
            <w:gridSpan w:val="2"/>
            <w:tcBorders>
              <w:top w:val="single" w:sz="4" w:space="0" w:color="000000"/>
              <w:left w:val="single" w:sz="4" w:space="0" w:color="000000"/>
              <w:bottom w:val="single" w:sz="4" w:space="0" w:color="000000"/>
              <w:right w:val="single" w:sz="4" w:space="0" w:color="000000"/>
            </w:tcBorders>
            <w:shd w:val="clear" w:color="auto" w:fill="auto"/>
          </w:tcPr>
          <w:p w14:paraId="023E3D93" w14:textId="77777777" w:rsidR="00AC0280" w:rsidRDefault="00AC0280" w:rsidP="00306806">
            <w:r>
              <w:rPr>
                <w:rFonts w:ascii="Arial" w:hAnsi="Arial" w:cs="Arial"/>
              </w:rPr>
              <w:t>Date:</w:t>
            </w:r>
          </w:p>
        </w:tc>
      </w:tr>
    </w:tbl>
    <w:p w14:paraId="575D5FC4" w14:textId="77777777" w:rsidR="00AC0280" w:rsidRDefault="00AC0280" w:rsidP="00AC0280">
      <w:pPr>
        <w:pStyle w:val="NormalWeb"/>
        <w:spacing w:before="0" w:after="0"/>
        <w:ind w:right="-334"/>
      </w:pPr>
    </w:p>
    <w:p w14:paraId="2E5347A5" w14:textId="77777777" w:rsidR="00AC0280" w:rsidRPr="00AC0280" w:rsidRDefault="00AC0280" w:rsidP="00AC0280"/>
    <w:p w14:paraId="026BA05F" w14:textId="0E7D5148" w:rsidR="0010066E" w:rsidRDefault="0010066E" w:rsidP="006E4A3C">
      <w:pPr>
        <w:pStyle w:val="Heading1"/>
        <w:jc w:val="center"/>
      </w:pPr>
      <w:r>
        <w:lastRenderedPageBreak/>
        <w:t>‘The stars incline; they do not compel.’ Discuss this statement in relation to the theory and practice of astrology, using the work of two astrologers</w:t>
      </w:r>
      <w:r w:rsidR="006E4A3C">
        <w:t>.</w:t>
      </w:r>
    </w:p>
    <w:p w14:paraId="594D631C" w14:textId="77777777" w:rsidR="009A0093" w:rsidRDefault="009A0093" w:rsidP="0078591B">
      <w:pPr>
        <w:pStyle w:val="NoSpacing"/>
      </w:pPr>
    </w:p>
    <w:p w14:paraId="76938E7C" w14:textId="28AF5C72" w:rsidR="006E4A3C" w:rsidRDefault="006E4A3C" w:rsidP="0078591B">
      <w:pPr>
        <w:pStyle w:val="NoSpacing"/>
      </w:pPr>
      <w:r>
        <w:t>Word count:</w:t>
      </w:r>
    </w:p>
    <w:p w14:paraId="22BF982B" w14:textId="77777777" w:rsidR="006E4A3C" w:rsidRDefault="006E4A3C" w:rsidP="0078591B">
      <w:pPr>
        <w:pStyle w:val="NoSpacing"/>
      </w:pPr>
    </w:p>
    <w:p w14:paraId="16740C7C" w14:textId="2F870FBF" w:rsidR="0078591B" w:rsidRDefault="0078591B" w:rsidP="00AD4FDF">
      <w:pPr>
        <w:pStyle w:val="NoSpacing"/>
        <w:ind w:firstLine="720"/>
      </w:pPr>
      <w:r>
        <w:t xml:space="preserve">This essay considers the above </w:t>
      </w:r>
      <w:r w:rsidR="006E4A3C">
        <w:t>statement</w:t>
      </w:r>
      <w:r>
        <w:t xml:space="preserve"> in the context of </w:t>
      </w:r>
      <w:r w:rsidR="00DB1C54">
        <w:t>theories</w:t>
      </w:r>
      <w:r>
        <w:t xml:space="preserve"> of fate</w:t>
      </w:r>
      <w:r w:rsidR="006E4A3C">
        <w:t>, determinism and free will,</w:t>
      </w:r>
      <w:r>
        <w:t xml:space="preserve"> and the effect of </w:t>
      </w:r>
      <w:r w:rsidR="0033282D">
        <w:t>these theories</w:t>
      </w:r>
      <w:r>
        <w:t xml:space="preserve"> on astrological practice and interpretation. </w:t>
      </w:r>
      <w:r w:rsidR="00DB1C54">
        <w:t>The evolving relationship between astrology and determinism will be explored, focusing on</w:t>
      </w:r>
      <w:r>
        <w:t xml:space="preserve"> the </w:t>
      </w:r>
      <w:r w:rsidR="00E57063">
        <w:t>astrology</w:t>
      </w:r>
      <w:r>
        <w:t xml:space="preserve"> </w:t>
      </w:r>
      <w:r w:rsidR="00DB1C54">
        <w:t xml:space="preserve">of the mid to late twentieth century and specifically the work </w:t>
      </w:r>
      <w:r>
        <w:t xml:space="preserve">of </w:t>
      </w:r>
      <w:r w:rsidR="00DB1C54">
        <w:t xml:space="preserve">Margaret Hone and </w:t>
      </w:r>
      <w:r>
        <w:t>Liz Greene</w:t>
      </w:r>
      <w:r w:rsidR="00DB1C54">
        <w:t>. Greene’s</w:t>
      </w:r>
      <w:r>
        <w:t xml:space="preserve"> work The Astrology of Fate</w:t>
      </w:r>
      <w:r w:rsidR="002C6963">
        <w:rPr>
          <w:rStyle w:val="FootnoteReference"/>
        </w:rPr>
        <w:footnoteReference w:id="1"/>
      </w:r>
      <w:r w:rsidR="00DB1C54">
        <w:t xml:space="preserve"> will be ex</w:t>
      </w:r>
      <w:r w:rsidR="00DB3A5E">
        <w:t>amined</w:t>
      </w:r>
      <w:r w:rsidR="00DB1C54">
        <w:t>.</w:t>
      </w:r>
      <w:r>
        <w:t xml:space="preserve"> The works of Margaret Hone, The Modern Textbook of Astrology</w:t>
      </w:r>
      <w:r w:rsidR="006E4A3C">
        <w:rPr>
          <w:rStyle w:val="FootnoteReference"/>
        </w:rPr>
        <w:footnoteReference w:id="2"/>
      </w:r>
      <w:r>
        <w:t xml:space="preserve"> and Applied Astrology</w:t>
      </w:r>
      <w:r w:rsidR="006E4A3C">
        <w:rPr>
          <w:rStyle w:val="FootnoteReference"/>
        </w:rPr>
        <w:footnoteReference w:id="3"/>
      </w:r>
      <w:r>
        <w:t>, will also be considered.</w:t>
      </w:r>
      <w:r w:rsidR="002B15C9">
        <w:t xml:space="preserve"> Examples will be explored of their astrological interpretations and also of </w:t>
      </w:r>
      <w:r w:rsidR="00DB1C54">
        <w:t xml:space="preserve">theoretical </w:t>
      </w:r>
      <w:r w:rsidR="002B15C9">
        <w:t>discussions around fate and free will in the</w:t>
      </w:r>
      <w:r w:rsidR="00DB1C54">
        <w:t>se</w:t>
      </w:r>
      <w:r w:rsidR="002B15C9">
        <w:t xml:space="preserve"> works.</w:t>
      </w:r>
      <w:r w:rsidR="0033282D">
        <w:t xml:space="preserve"> It is suggested that whilst the two take differing approaches to fate and therefore to astrological interpretation, ultimately, they both espouse a compatibilist approach. </w:t>
      </w:r>
      <w:r w:rsidR="006A4F55">
        <w:t>To begin, the essay will explore concepts of fate and determinism</w:t>
      </w:r>
      <w:r w:rsidR="00A51105">
        <w:t xml:space="preserve"> in the context of astrology</w:t>
      </w:r>
      <w:r w:rsidR="00DB3A5E">
        <w:t>,</w:t>
      </w:r>
      <w:r w:rsidR="006A4F55">
        <w:t xml:space="preserve"> clarify</w:t>
      </w:r>
      <w:r w:rsidR="00DB3A5E">
        <w:t>ing</w:t>
      </w:r>
      <w:r w:rsidR="006A4F55">
        <w:t xml:space="preserve"> relevant definitions </w:t>
      </w:r>
      <w:r w:rsidR="0033282D">
        <w:t>as well as considering</w:t>
      </w:r>
      <w:r w:rsidR="004D47DD">
        <w:t xml:space="preserve"> </w:t>
      </w:r>
      <w:r w:rsidR="0033282D">
        <w:t xml:space="preserve">the importance of Hone and Greene in </w:t>
      </w:r>
      <w:r w:rsidR="002C6963">
        <w:t>twentieth</w:t>
      </w:r>
      <w:r w:rsidR="0033282D">
        <w:t xml:space="preserve"> century astrology. It will continue with in depth analysis of the work of both astrologers.</w:t>
      </w:r>
    </w:p>
    <w:p w14:paraId="14C1D1B6" w14:textId="77777777" w:rsidR="0033282D" w:rsidRDefault="0033282D" w:rsidP="0076570C">
      <w:pPr>
        <w:pStyle w:val="NoSpacing"/>
      </w:pPr>
    </w:p>
    <w:p w14:paraId="7A924381" w14:textId="2BA26086" w:rsidR="00514FDA" w:rsidRDefault="00DB1C54" w:rsidP="00DB1C54">
      <w:pPr>
        <w:pStyle w:val="Heading3"/>
      </w:pPr>
      <w:r>
        <w:t>Astrology, determinism and free will</w:t>
      </w:r>
    </w:p>
    <w:p w14:paraId="2D357CCC" w14:textId="77777777" w:rsidR="00DB1C54" w:rsidRDefault="00DB1C54" w:rsidP="0076570C">
      <w:pPr>
        <w:pStyle w:val="NoSpacing"/>
      </w:pPr>
    </w:p>
    <w:p w14:paraId="2DA1CE21" w14:textId="6683AB71" w:rsidR="00244473" w:rsidRDefault="00DB1C54" w:rsidP="00AD4FDF">
      <w:pPr>
        <w:pStyle w:val="NoSpacing"/>
        <w:ind w:firstLine="720"/>
      </w:pPr>
      <w:r>
        <w:t>As Eccles has noted</w:t>
      </w:r>
      <w:r w:rsidRPr="00E57063">
        <w:rPr>
          <w:rFonts w:ascii="Calibri" w:hAnsi="Calibri" w:cs="Calibri"/>
        </w:rPr>
        <w:t xml:space="preserve">, </w:t>
      </w:r>
      <w:r w:rsidR="00D93978">
        <w:rPr>
          <w:rFonts w:ascii="Calibri" w:hAnsi="Calibri" w:cs="Calibri"/>
        </w:rPr>
        <w:t>‘</w:t>
      </w:r>
      <w:r w:rsidRPr="00E57063">
        <w:rPr>
          <w:rFonts w:ascii="Calibri" w:hAnsi="Calibri" w:cs="Calibri"/>
          <w:color w:val="000000"/>
          <w:shd w:val="clear" w:color="auto" w:fill="FFFFFF"/>
        </w:rPr>
        <w:t>Astrology has had a long struggle with freedom versus determinism</w:t>
      </w:r>
      <w:r w:rsidR="00D93978">
        <w:rPr>
          <w:rFonts w:ascii="Calibri" w:hAnsi="Calibri" w:cs="Calibri"/>
          <w:color w:val="000000"/>
          <w:shd w:val="clear" w:color="auto" w:fill="FFFFFF"/>
        </w:rPr>
        <w:t>’</w:t>
      </w:r>
      <w:r>
        <w:rPr>
          <w:rStyle w:val="FootnoteReference"/>
          <w:rFonts w:ascii="Calibri" w:hAnsi="Calibri" w:cs="Calibri"/>
          <w:color w:val="000000"/>
          <w:shd w:val="clear" w:color="auto" w:fill="FFFFFF"/>
        </w:rPr>
        <w:footnoteReference w:id="4"/>
      </w:r>
      <w:r>
        <w:rPr>
          <w:rFonts w:ascii="Calibri" w:hAnsi="Calibri" w:cs="Calibri"/>
          <w:color w:val="000000"/>
          <w:shd w:val="clear" w:color="auto" w:fill="FFFFFF"/>
        </w:rPr>
        <w:t>. A</w:t>
      </w:r>
      <w:r>
        <w:t xml:space="preserve">ccording to astrology, our destiny is laid down at birth by the placements of the horoscope, and as Lehoux has observed, </w:t>
      </w:r>
      <w:r w:rsidR="00D93978">
        <w:t>‘</w:t>
      </w:r>
      <w:r>
        <w:t>many classical sources straightforwardly equated belief in astrology with belief in determinism</w:t>
      </w:r>
      <w:r w:rsidR="00D93978">
        <w:t>’</w:t>
      </w:r>
      <w:r>
        <w:rPr>
          <w:rStyle w:val="FootnoteReference"/>
        </w:rPr>
        <w:footnoteReference w:id="5"/>
      </w:r>
      <w:r w:rsidR="00DE6D26">
        <w:t xml:space="preserve"> – the stars compel rather than inclining. This common view of astrology dictating how a life is lived was a matter of intense debate throughout history with many of the same arguments used by Classical philosophers still in use by opponents of astrology in the twentieth century, as Brady has explored.</w:t>
      </w:r>
      <w:r w:rsidR="00DE6D26">
        <w:rPr>
          <w:rStyle w:val="FootnoteReference"/>
        </w:rPr>
        <w:footnoteReference w:id="6"/>
      </w:r>
      <w:r w:rsidR="006A4F55">
        <w:t xml:space="preserve"> </w:t>
      </w:r>
      <w:r w:rsidR="00D93978">
        <w:t>‘</w:t>
      </w:r>
      <w:r w:rsidR="00114708">
        <w:t>The stars incline, they do not compel</w:t>
      </w:r>
      <w:r w:rsidR="00D93978">
        <w:t>’</w:t>
      </w:r>
      <w:r w:rsidR="00114708">
        <w:t xml:space="preserve"> is </w:t>
      </w:r>
      <w:r w:rsidR="00A00C1D">
        <w:t>a traditional adage amongst</w:t>
      </w:r>
      <w:r w:rsidR="00114708">
        <w:t xml:space="preserve"> astrologers in response to the determinism inherent in the astrological chart</w:t>
      </w:r>
      <w:r w:rsidR="002C6963">
        <w:t>, as Campion has noted in the context of the work of Alan Leo</w:t>
      </w:r>
      <w:r w:rsidR="00114708">
        <w:t>.</w:t>
      </w:r>
      <w:r w:rsidR="002C6963">
        <w:rPr>
          <w:rStyle w:val="FootnoteReference"/>
        </w:rPr>
        <w:footnoteReference w:id="7"/>
      </w:r>
      <w:r w:rsidR="00114708">
        <w:t xml:space="preserve"> This phrase is offered as a</w:t>
      </w:r>
      <w:r w:rsidR="0033282D">
        <w:t xml:space="preserve"> means of overcoming th</w:t>
      </w:r>
      <w:r w:rsidR="006A4F55">
        <w:t>e disparity between a predetermined horoscope and the human experience of free will</w:t>
      </w:r>
      <w:r w:rsidR="00114708">
        <w:t xml:space="preserve">, suggesting that we are influenced by the stars rather than </w:t>
      </w:r>
      <w:r w:rsidR="004D47DD">
        <w:t>compelled</w:t>
      </w:r>
      <w:r w:rsidR="00114708">
        <w:t xml:space="preserve"> to act in a particula</w:t>
      </w:r>
      <w:r w:rsidR="002C6963">
        <w:t>r</w:t>
      </w:r>
      <w:r w:rsidR="00114708">
        <w:t xml:space="preserve"> way.</w:t>
      </w:r>
      <w:r w:rsidR="006A4F55">
        <w:t xml:space="preserve"> </w:t>
      </w:r>
      <w:r w:rsidR="00244473">
        <w:t>By connecting the life journey with the predetermined movements of the planets, astrologers are by definition working with a concept of fate. The astrologer</w:t>
      </w:r>
      <w:r w:rsidR="002C6963">
        <w:t>’</w:t>
      </w:r>
      <w:r w:rsidR="00244473">
        <w:t>s understanding of fate therefore has an effect on their astrological interpretation, in terms of whether the horoscope is presented simply as a description of reality which will unfold in a particular way, or as a potential which can be developed by application of human will.</w:t>
      </w:r>
    </w:p>
    <w:p w14:paraId="10251364" w14:textId="469BC432" w:rsidR="00244473" w:rsidRDefault="00AD4FDF" w:rsidP="00AD4FDF">
      <w:pPr>
        <w:pStyle w:val="NoSpacing"/>
        <w:ind w:firstLine="720"/>
      </w:pPr>
      <w:r>
        <w:lastRenderedPageBreak/>
        <w:t xml:space="preserve">Issues around our compulsion or influence by the gods, or the stars, have a long </w:t>
      </w:r>
      <w:r w:rsidR="000627A1">
        <w:t>p</w:t>
      </w:r>
      <w:r>
        <w:t>hilosophical history. T</w:t>
      </w:r>
      <w:r w:rsidR="00C760AB">
        <w:t>he Greek goddesses of fate were the Moirai, described by Hesiod as they who ‘</w:t>
      </w:r>
      <w:r w:rsidR="00C760AB" w:rsidRPr="00C760AB">
        <w:rPr>
          <w:rFonts w:cstheme="minorHAnsi"/>
          <w:spacing w:val="-2"/>
          <w:shd w:val="clear" w:color="auto" w:fill="FFFFFF"/>
        </w:rPr>
        <w:t>who hold fast to the transgressions of both men and gods; and the goddesses never cease from their terrible wrath until they give evil punishment to whoever commits a crime</w:t>
      </w:r>
      <w:r w:rsidR="00C760AB">
        <w:rPr>
          <w:rFonts w:cstheme="minorHAnsi"/>
          <w:spacing w:val="-2"/>
          <w:shd w:val="clear" w:color="auto" w:fill="FFFFFF"/>
        </w:rPr>
        <w:t xml:space="preserve">’. </w:t>
      </w:r>
      <w:r w:rsidR="00C760AB">
        <w:rPr>
          <w:rStyle w:val="FootnoteReference"/>
          <w:rFonts w:cstheme="minorHAnsi"/>
          <w:spacing w:val="-2"/>
          <w:shd w:val="clear" w:color="auto" w:fill="FFFFFF"/>
        </w:rPr>
        <w:footnoteReference w:id="8"/>
      </w:r>
      <w:r w:rsidR="00C760AB" w:rsidRPr="00C760AB">
        <w:rPr>
          <w:rFonts w:cstheme="minorHAnsi"/>
          <w:spacing w:val="-2"/>
          <w:shd w:val="clear" w:color="auto" w:fill="FFFFFF"/>
        </w:rPr>
        <w:t> </w:t>
      </w:r>
      <w:r w:rsidR="00C760AB">
        <w:t>As Cornford has explored, ‘</w:t>
      </w:r>
      <w:r w:rsidR="00C760AB" w:rsidRPr="00DB47EA">
        <w:rPr>
          <w:rFonts w:cstheme="minorHAnsi"/>
        </w:rPr>
        <w:t>Moira came to be supreme in Nature over all the subordinate</w:t>
      </w:r>
      <w:r w:rsidR="00C760AB">
        <w:rPr>
          <w:rFonts w:cstheme="minorHAnsi"/>
        </w:rPr>
        <w:t xml:space="preserve"> wi</w:t>
      </w:r>
      <w:r w:rsidR="00C760AB" w:rsidRPr="00DB47EA">
        <w:rPr>
          <w:rFonts w:cstheme="minorHAnsi"/>
        </w:rPr>
        <w:t>lls of men and Gods, because she was first supreme in human</w:t>
      </w:r>
      <w:r w:rsidR="00C760AB">
        <w:rPr>
          <w:rFonts w:cstheme="minorHAnsi"/>
        </w:rPr>
        <w:t xml:space="preserve"> </w:t>
      </w:r>
      <w:r w:rsidR="00C760AB" w:rsidRPr="00DB47EA">
        <w:rPr>
          <w:rFonts w:cstheme="minorHAnsi"/>
        </w:rPr>
        <w:t>society, which was continuous with Nature</w:t>
      </w:r>
      <w:r w:rsidR="00C760AB">
        <w:rPr>
          <w:rFonts w:cstheme="minorHAnsi"/>
        </w:rPr>
        <w:t>’.</w:t>
      </w:r>
      <w:r w:rsidR="00C760AB">
        <w:rPr>
          <w:rStyle w:val="FootnoteReference"/>
          <w:rFonts w:cstheme="minorHAnsi"/>
        </w:rPr>
        <w:footnoteReference w:id="9"/>
      </w:r>
      <w:r w:rsidR="00C760AB">
        <w:rPr>
          <w:rFonts w:cstheme="minorHAnsi"/>
        </w:rPr>
        <w:t xml:space="preserve"> Early Greek conceptions of fate are therefore linked to a kind of hubris, a natural order which must not be transgressed</w:t>
      </w:r>
      <w:r w:rsidR="000627A1">
        <w:rPr>
          <w:rFonts w:cstheme="minorHAnsi"/>
        </w:rPr>
        <w:t xml:space="preserve"> – as Cornford puts it, a ‘pri</w:t>
      </w:r>
      <w:r w:rsidR="000627A1" w:rsidRPr="000627A1">
        <w:rPr>
          <w:rFonts w:cstheme="minorHAnsi"/>
        </w:rPr>
        <w:t>mary notion of Order</w:t>
      </w:r>
      <w:r w:rsidR="000627A1">
        <w:rPr>
          <w:rFonts w:cstheme="minorHAnsi"/>
        </w:rPr>
        <w:t>… which</w:t>
      </w:r>
      <w:r w:rsidR="000627A1" w:rsidRPr="000627A1">
        <w:rPr>
          <w:rFonts w:cstheme="minorHAnsi"/>
        </w:rPr>
        <w:t xml:space="preserve"> to Greek religious</w:t>
      </w:r>
      <w:r w:rsidR="000627A1">
        <w:rPr>
          <w:rFonts w:cstheme="minorHAnsi"/>
        </w:rPr>
        <w:t xml:space="preserve"> </w:t>
      </w:r>
      <w:r w:rsidR="000627A1" w:rsidRPr="000627A1">
        <w:rPr>
          <w:rFonts w:cstheme="minorHAnsi"/>
        </w:rPr>
        <w:t>representation is ultimate and unexplained</w:t>
      </w:r>
      <w:r w:rsidR="000627A1">
        <w:rPr>
          <w:rFonts w:cstheme="minorHAnsi"/>
        </w:rPr>
        <w:t>’</w:t>
      </w:r>
      <w:r w:rsidR="000627A1" w:rsidRPr="000627A1">
        <w:rPr>
          <w:rFonts w:cstheme="minorHAnsi"/>
        </w:rPr>
        <w:t>.</w:t>
      </w:r>
      <w:r w:rsidR="000627A1">
        <w:rPr>
          <w:rStyle w:val="FootnoteReference"/>
          <w:rFonts w:cstheme="minorHAnsi"/>
        </w:rPr>
        <w:footnoteReference w:id="10"/>
      </w:r>
      <w:r w:rsidR="000627A1">
        <w:rPr>
          <w:rFonts w:cstheme="minorHAnsi"/>
        </w:rPr>
        <w:t xml:space="preserve"> </w:t>
      </w:r>
      <w:r w:rsidR="000B1AE1">
        <w:rPr>
          <w:rFonts w:cstheme="minorHAnsi"/>
        </w:rPr>
        <w:t xml:space="preserve">This is refined and developed by Plato in his Myth of Er, in which Er describes souls being punished for actions in life, and then </w:t>
      </w:r>
      <w:r w:rsidR="000B1AE1">
        <w:rPr>
          <w:rFonts w:cstheme="minorHAnsi"/>
        </w:rPr>
        <w:t>souls coming before the Moirai and choosing their lots for their next life</w:t>
      </w:r>
      <w:r w:rsidR="000B1AE1">
        <w:rPr>
          <w:rFonts w:cstheme="minorHAnsi"/>
        </w:rPr>
        <w:t>.</w:t>
      </w:r>
      <w:r w:rsidR="000B1AE1">
        <w:rPr>
          <w:rStyle w:val="FootnoteReference"/>
          <w:rFonts w:cstheme="minorHAnsi"/>
        </w:rPr>
        <w:footnoteReference w:id="11"/>
      </w:r>
      <w:r w:rsidR="000B1AE1">
        <w:rPr>
          <w:rFonts w:cstheme="minorHAnsi"/>
        </w:rPr>
        <w:t xml:space="preserve"> </w:t>
      </w:r>
      <w:r w:rsidR="00E07158">
        <w:t xml:space="preserve">Plato took a dualist approach, </w:t>
      </w:r>
      <w:r w:rsidR="000B1AE1">
        <w:t>stating that ‘we should believe the soul to be immortal’</w:t>
      </w:r>
      <w:r w:rsidR="000B1AE1">
        <w:rPr>
          <w:rStyle w:val="FootnoteReference"/>
        </w:rPr>
        <w:footnoteReference w:id="12"/>
      </w:r>
      <w:r w:rsidR="000B1AE1">
        <w:t xml:space="preserve"> and therefore not subject to fate, unlike the body, which is subject to fate.</w:t>
      </w:r>
      <w:r w:rsidR="00114EB4">
        <w:t xml:space="preserve"> </w:t>
      </w:r>
      <w:r w:rsidR="00E07158">
        <w:t xml:space="preserve">The possibility therefore exists of altering, or transcending, one’s fate by invoking the rational or higher self, </w:t>
      </w:r>
      <w:r w:rsidR="00114EB4">
        <w:t>the immortal soul.</w:t>
      </w:r>
      <w:r w:rsidR="007627E5">
        <w:t xml:space="preserve"> As Brady has observed, ‘The soul’s journey is to deal with the material fate… to be educated by struggling with the desires given to it by fate’. </w:t>
      </w:r>
      <w:r w:rsidR="007627E5">
        <w:rPr>
          <w:rStyle w:val="FootnoteReference"/>
        </w:rPr>
        <w:footnoteReference w:id="13"/>
      </w:r>
      <w:r w:rsidR="007627E5">
        <w:t xml:space="preserve"> </w:t>
      </w:r>
      <w:r w:rsidR="00E07158">
        <w:t xml:space="preserve">By contrast, the Stoics espoused a monist theory of fate, believing that the soul and the whole of the individual are part of nature, of the material world. As Bobzien explains, the Stoics made fate </w:t>
      </w:r>
      <w:r w:rsidR="00D93978">
        <w:t>‘</w:t>
      </w:r>
      <w:r w:rsidR="00E07158">
        <w:t>one aspect of the all-determining principle</w:t>
      </w:r>
      <w:r w:rsidR="00D93978">
        <w:t>’</w:t>
      </w:r>
      <w:r w:rsidR="007627E5">
        <w:t>.</w:t>
      </w:r>
      <w:r w:rsidR="00E07158">
        <w:rPr>
          <w:rStyle w:val="FootnoteReference"/>
        </w:rPr>
        <w:footnoteReference w:id="14"/>
      </w:r>
      <w:r w:rsidR="007627E5">
        <w:t xml:space="preserve"> </w:t>
      </w:r>
      <w:r w:rsidR="00E07158">
        <w:t xml:space="preserve">The Stoic philosopher Seneca defines fate as </w:t>
      </w:r>
      <w:r w:rsidR="00D93978">
        <w:t>‘</w:t>
      </w:r>
      <w:r w:rsidR="00E07158" w:rsidRPr="001C247E">
        <w:rPr>
          <w:rFonts w:cstheme="minorHAnsi"/>
          <w:shd w:val="clear" w:color="auto" w:fill="FFFFFF"/>
        </w:rPr>
        <w:t>a necessity governing all events and actions, one that cannot be broken by any force</w:t>
      </w:r>
      <w:r w:rsidR="00D93978">
        <w:rPr>
          <w:rFonts w:cstheme="minorHAnsi"/>
          <w:shd w:val="clear" w:color="auto" w:fill="FFFFFF"/>
        </w:rPr>
        <w:t>’</w:t>
      </w:r>
      <w:r w:rsidR="00E07158">
        <w:rPr>
          <w:rStyle w:val="FootnoteReference"/>
          <w:rFonts w:cstheme="minorHAnsi"/>
          <w:shd w:val="clear" w:color="auto" w:fill="FFFFFF"/>
        </w:rPr>
        <w:footnoteReference w:id="15"/>
      </w:r>
      <w:r w:rsidR="00E07158">
        <w:rPr>
          <w:rFonts w:cstheme="minorHAnsi"/>
          <w:shd w:val="clear" w:color="auto" w:fill="FFFFFF"/>
        </w:rPr>
        <w:t xml:space="preserve">. </w:t>
      </w:r>
      <w:r w:rsidR="00E07158">
        <w:t xml:space="preserve">Fate therefore cannot be changed and must be accepted rather than transcended. As Epictetus has it in his Discourses </w:t>
      </w:r>
      <w:r w:rsidR="00D93978">
        <w:rPr>
          <w:rFonts w:cstheme="minorHAnsi"/>
        </w:rPr>
        <w:t>‘</w:t>
      </w:r>
      <w:r w:rsidR="00E07158" w:rsidRPr="001C247E">
        <w:rPr>
          <w:rFonts w:cstheme="minorHAnsi"/>
          <w:spacing w:val="-2"/>
          <w:shd w:val="clear" w:color="auto" w:fill="FFFFFF"/>
        </w:rPr>
        <w:t>We must make the best of what is under our control and take the rest as its nature is</w:t>
      </w:r>
      <w:r w:rsidR="00D93978">
        <w:rPr>
          <w:rFonts w:cstheme="minorHAnsi"/>
          <w:spacing w:val="-2"/>
          <w:shd w:val="clear" w:color="auto" w:fill="FFFFFF"/>
        </w:rPr>
        <w:t>’</w:t>
      </w:r>
      <w:r w:rsidR="00E07158">
        <w:rPr>
          <w:rStyle w:val="FootnoteReference"/>
          <w:rFonts w:cstheme="minorHAnsi"/>
          <w:spacing w:val="-2"/>
          <w:shd w:val="clear" w:color="auto" w:fill="FFFFFF"/>
        </w:rPr>
        <w:footnoteReference w:id="16"/>
      </w:r>
      <w:r w:rsidR="00E07158">
        <w:rPr>
          <w:rFonts w:cstheme="minorHAnsi"/>
          <w:spacing w:val="-2"/>
          <w:shd w:val="clear" w:color="auto" w:fill="FFFFFF"/>
        </w:rPr>
        <w:t xml:space="preserve">. </w:t>
      </w:r>
      <w:r w:rsidR="002C6963">
        <w:rPr>
          <w:rFonts w:cstheme="minorHAnsi"/>
          <w:spacing w:val="-2"/>
          <w:shd w:val="clear" w:color="auto" w:fill="FFFFFF"/>
        </w:rPr>
        <w:t xml:space="preserve">The Stoics therefore take a deterministic approach, </w:t>
      </w:r>
      <w:r w:rsidR="004C00A4">
        <w:rPr>
          <w:rFonts w:cstheme="minorHAnsi"/>
          <w:spacing w:val="-2"/>
          <w:shd w:val="clear" w:color="auto" w:fill="FFFFFF"/>
        </w:rPr>
        <w:t xml:space="preserve">based not so much on </w:t>
      </w:r>
      <w:r w:rsidR="00D93978">
        <w:rPr>
          <w:rFonts w:cstheme="minorHAnsi"/>
          <w:spacing w:val="-2"/>
          <w:shd w:val="clear" w:color="auto" w:fill="FFFFFF"/>
        </w:rPr>
        <w:t>‘</w:t>
      </w:r>
      <w:r w:rsidR="004C00A4">
        <w:rPr>
          <w:rFonts w:cstheme="minorHAnsi"/>
          <w:spacing w:val="-2"/>
          <w:shd w:val="clear" w:color="auto" w:fill="FFFFFF"/>
        </w:rPr>
        <w:t>causal determinism, but with a strong teleological element</w:t>
      </w:r>
      <w:r w:rsidR="00D93978">
        <w:rPr>
          <w:rFonts w:cstheme="minorHAnsi"/>
          <w:spacing w:val="-2"/>
          <w:shd w:val="clear" w:color="auto" w:fill="FFFFFF"/>
        </w:rPr>
        <w:t>’</w:t>
      </w:r>
      <w:r w:rsidR="000D6479" w:rsidRPr="000D6479">
        <w:rPr>
          <w:rStyle w:val="FootnoteReference"/>
          <w:rFonts w:cstheme="minorHAnsi"/>
          <w:spacing w:val="-2"/>
          <w:shd w:val="clear" w:color="auto" w:fill="FFFFFF"/>
        </w:rPr>
        <w:t xml:space="preserve"> </w:t>
      </w:r>
      <w:r w:rsidR="000D6479">
        <w:rPr>
          <w:rStyle w:val="FootnoteReference"/>
          <w:rFonts w:cstheme="minorHAnsi"/>
          <w:spacing w:val="-2"/>
          <w:shd w:val="clear" w:color="auto" w:fill="FFFFFF"/>
        </w:rPr>
        <w:footnoteReference w:id="17"/>
      </w:r>
      <w:r w:rsidR="004C00A4">
        <w:rPr>
          <w:rFonts w:cstheme="minorHAnsi"/>
          <w:spacing w:val="-2"/>
          <w:shd w:val="clear" w:color="auto" w:fill="FFFFFF"/>
        </w:rPr>
        <w:t xml:space="preserve"> as Bobzien has explored. </w:t>
      </w:r>
      <w:r w:rsidR="00E07158">
        <w:t>These theories of fate remained influential until the seventeenth century, when science and spirit separated, and new philosophies evolved. The determinism of the Stoics developed into a scientific determinism, which is generally considered as causal and universal, as Brady has noted</w:t>
      </w:r>
      <w:r w:rsidR="00DB3A5E">
        <w:t>.</w:t>
      </w:r>
      <w:r w:rsidR="00E07158">
        <w:rPr>
          <w:rStyle w:val="FootnoteReference"/>
        </w:rPr>
        <w:footnoteReference w:id="18"/>
      </w:r>
      <w:r>
        <w:t xml:space="preserve"> </w:t>
      </w:r>
      <w:r w:rsidR="00E07158">
        <w:t>Philosophers delineate between compatibilist approaches, in which a certain amount of free will is possible within a deterministic framework, and incompatibilist approaches, which do not admit of the possibility of any free will</w:t>
      </w:r>
      <w:r w:rsidR="004714CF">
        <w:t>, as explained for example by Capes</w:t>
      </w:r>
      <w:r w:rsidR="001229E0">
        <w:t>, who defines compatibilism as ‘</w:t>
      </w:r>
      <w:r w:rsidR="001229E0">
        <w:t>the thesis that determinism is compatible with</w:t>
      </w:r>
      <w:r w:rsidR="001229E0">
        <w:t xml:space="preserve"> </w:t>
      </w:r>
      <w:r w:rsidR="001229E0">
        <w:t xml:space="preserve">free action and moral </w:t>
      </w:r>
      <w:r w:rsidR="001229E0">
        <w:lastRenderedPageBreak/>
        <w:t>respon</w:t>
      </w:r>
      <w:r w:rsidR="001229E0">
        <w:t>sibility’</w:t>
      </w:r>
      <w:r w:rsidR="004714CF">
        <w:t>.</w:t>
      </w:r>
      <w:r w:rsidR="004714CF">
        <w:rPr>
          <w:rStyle w:val="FootnoteReference"/>
        </w:rPr>
        <w:footnoteReference w:id="19"/>
      </w:r>
      <w:r w:rsidR="004714CF">
        <w:t xml:space="preserve"> </w:t>
      </w:r>
      <w:r>
        <w:t>These d</w:t>
      </w:r>
      <w:r w:rsidR="00063B12">
        <w:t xml:space="preserve">evelopments in fate, determinism and free </w:t>
      </w:r>
      <w:r w:rsidRPr="00AD4FDF">
        <w:t>will be</w:t>
      </w:r>
      <w:r w:rsidRPr="00AD4FDF">
        <w:rPr>
          <w:sz w:val="20"/>
          <w:szCs w:val="20"/>
        </w:rPr>
        <w:t xml:space="preserve"> </w:t>
      </w:r>
      <w:r w:rsidR="00063B12">
        <w:t>seen as having an influence on the theory and practice of astrology from ancient times to the present day.</w:t>
      </w:r>
    </w:p>
    <w:p w14:paraId="35D8FAA8" w14:textId="77777777" w:rsidR="00514FDA" w:rsidRDefault="00514FDA" w:rsidP="0078591B">
      <w:pPr>
        <w:pStyle w:val="NoSpacing"/>
      </w:pPr>
    </w:p>
    <w:p w14:paraId="18ABAD63" w14:textId="1BE9C9DC" w:rsidR="00514FDA" w:rsidRDefault="00063B12" w:rsidP="00063B12">
      <w:pPr>
        <w:pStyle w:val="Heading3"/>
      </w:pPr>
      <w:r>
        <w:t>The theory and practice of astrology</w:t>
      </w:r>
    </w:p>
    <w:p w14:paraId="015EEC5E" w14:textId="77777777" w:rsidR="00C6349F" w:rsidRDefault="00C6349F" w:rsidP="0078591B">
      <w:pPr>
        <w:pStyle w:val="NoSpacing"/>
      </w:pPr>
    </w:p>
    <w:p w14:paraId="297091D1" w14:textId="6766459D" w:rsidR="0033282D" w:rsidRDefault="002A0601" w:rsidP="00AD4FDF">
      <w:pPr>
        <w:pStyle w:val="NoSpacing"/>
        <w:ind w:firstLine="720"/>
      </w:pPr>
      <w:r>
        <w:t xml:space="preserve">Astrology has been defined by Campion as </w:t>
      </w:r>
      <w:r w:rsidR="00D93978">
        <w:t>‘</w:t>
      </w:r>
      <w:r>
        <w:t>the study of the ways in which significance for life on earth is located in celestial objects and the resulting practices</w:t>
      </w:r>
      <w:r w:rsidR="00D93978">
        <w:t>’</w:t>
      </w:r>
      <w:r>
        <w:rPr>
          <w:rStyle w:val="FootnoteReference"/>
        </w:rPr>
        <w:footnoteReference w:id="20"/>
      </w:r>
      <w:r>
        <w:t xml:space="preserve">. </w:t>
      </w:r>
      <w:r w:rsidR="00114708">
        <w:t>T</w:t>
      </w:r>
      <w:r w:rsidR="00C6349F">
        <w:t>he two astrologers under consideration were chosen due to their significant contribution to th</w:t>
      </w:r>
      <w:r>
        <w:t>ose practices</w:t>
      </w:r>
      <w:r w:rsidR="00C6349F">
        <w:t xml:space="preserve">, as </w:t>
      </w:r>
      <w:r>
        <w:t>they</w:t>
      </w:r>
      <w:r w:rsidR="00C6349F">
        <w:t xml:space="preserve"> developed in the mid to late twentieth century. Margaret </w:t>
      </w:r>
      <w:r w:rsidR="00F91CF3">
        <w:t xml:space="preserve">Hone </w:t>
      </w:r>
      <w:r w:rsidR="00E57063">
        <w:t xml:space="preserve">has been called </w:t>
      </w:r>
      <w:r w:rsidR="00D93978">
        <w:t>‘</w:t>
      </w:r>
      <w:r w:rsidR="00E57063">
        <w:rPr>
          <w:rFonts w:ascii="Verdana" w:hAnsi="Verdana"/>
          <w:color w:val="000000"/>
          <w:sz w:val="18"/>
          <w:szCs w:val="18"/>
          <w:shd w:val="clear" w:color="auto" w:fill="FFFFFF"/>
        </w:rPr>
        <w:t>a leading light in the Faculty of Astrological Studies</w:t>
      </w:r>
      <w:r w:rsidR="00D93978">
        <w:rPr>
          <w:rFonts w:ascii="Verdana" w:hAnsi="Verdana"/>
          <w:color w:val="000000"/>
          <w:sz w:val="18"/>
          <w:szCs w:val="18"/>
          <w:shd w:val="clear" w:color="auto" w:fill="FFFFFF"/>
        </w:rPr>
        <w:t>’</w:t>
      </w:r>
      <w:r w:rsidR="00E57063">
        <w:rPr>
          <w:rStyle w:val="FootnoteReference"/>
          <w:rFonts w:ascii="Verdana" w:hAnsi="Verdana"/>
          <w:color w:val="000000"/>
          <w:sz w:val="18"/>
          <w:szCs w:val="18"/>
          <w:shd w:val="clear" w:color="auto" w:fill="FFFFFF"/>
        </w:rPr>
        <w:footnoteReference w:id="21"/>
      </w:r>
      <w:r w:rsidR="00C6349F">
        <w:t xml:space="preserve">. Her book The Modern Textbook of Astrology was the key textbook for the </w:t>
      </w:r>
      <w:r w:rsidR="0010066E">
        <w:t xml:space="preserve">Diploma of the </w:t>
      </w:r>
      <w:r w:rsidR="00C6349F">
        <w:t>Faculty</w:t>
      </w:r>
      <w:r w:rsidR="0010066E">
        <w:t xml:space="preserve"> of Astrological Studies, </w:t>
      </w:r>
      <w:r w:rsidR="00D93978">
        <w:t>‘</w:t>
      </w:r>
      <w:r w:rsidR="0010066E">
        <w:t>one of the best known qualifications in the world of astrology</w:t>
      </w:r>
      <w:r w:rsidR="00D93978">
        <w:t>’</w:t>
      </w:r>
      <w:r w:rsidR="0010066E">
        <w:t>, as Phillipson has noted.</w:t>
      </w:r>
      <w:r w:rsidR="0010066E">
        <w:rPr>
          <w:rStyle w:val="FootnoteReference"/>
        </w:rPr>
        <w:footnoteReference w:id="22"/>
      </w:r>
      <w:r w:rsidR="0010066E">
        <w:t xml:space="preserve"> Hone can therefore</w:t>
      </w:r>
      <w:r w:rsidR="00C6349F">
        <w:t xml:space="preserve"> be seen as having influenced several generations of astrology students and by extension professional astrologers. </w:t>
      </w:r>
      <w:r w:rsidR="005D2262">
        <w:t>Liz Greene is also an influential astrologer,</w:t>
      </w:r>
      <w:r w:rsidR="00A41976">
        <w:t xml:space="preserve"> referred to for example by Curry as </w:t>
      </w:r>
      <w:r w:rsidR="00D93978">
        <w:t>‘</w:t>
      </w:r>
      <w:r w:rsidR="00A41976">
        <w:t>one of the most influential psychological astrologers</w:t>
      </w:r>
      <w:r w:rsidR="00D93978">
        <w:t>’</w:t>
      </w:r>
      <w:r w:rsidR="00A41976">
        <w:rPr>
          <w:rStyle w:val="FootnoteReference"/>
        </w:rPr>
        <w:footnoteReference w:id="23"/>
      </w:r>
      <w:r w:rsidR="00E07158">
        <w:t xml:space="preserve"> and the founder of the Centre for Psychological Astrology. </w:t>
      </w:r>
      <w:r w:rsidR="0033282D">
        <w:t>Greene has explored the concept of fate in the context of astrology in some depth, writing a book called The Astrology of Fate and exploring theoretical aspects of the subject as well as practical astrological examples.</w:t>
      </w:r>
      <w:r w:rsidR="00244473">
        <w:rPr>
          <w:rStyle w:val="FootnoteReference"/>
        </w:rPr>
        <w:footnoteReference w:id="24"/>
      </w:r>
      <w:r w:rsidR="0033282D">
        <w:t xml:space="preserve"> Hone, in contrast, takes a more practical approach overall, with </w:t>
      </w:r>
      <w:r w:rsidR="00D93978">
        <w:t>‘</w:t>
      </w:r>
      <w:r w:rsidR="0033282D">
        <w:t xml:space="preserve">the aim of </w:t>
      </w:r>
      <w:r w:rsidR="00063B12">
        <w:t>improving and facilitating the work of those who wish to use astrology as their… profession</w:t>
      </w:r>
      <w:r w:rsidR="00D93978">
        <w:t>’</w:t>
      </w:r>
      <w:r w:rsidR="00063B12">
        <w:t>.</w:t>
      </w:r>
      <w:r w:rsidR="00063B12">
        <w:rPr>
          <w:rStyle w:val="FootnoteReference"/>
        </w:rPr>
        <w:footnoteReference w:id="25"/>
      </w:r>
      <w:r w:rsidR="00063B12">
        <w:t xml:space="preserve"> </w:t>
      </w:r>
      <w:r w:rsidR="009E4BD1">
        <w:t>These two astrologers can therefore both be seen as influential in the development of twentieth century western astrology, albeit in different ways.</w:t>
      </w:r>
    </w:p>
    <w:p w14:paraId="13989D1B" w14:textId="77777777" w:rsidR="00DB3A5E" w:rsidRDefault="00DB3A5E" w:rsidP="00063B12">
      <w:pPr>
        <w:pStyle w:val="NoSpacing"/>
      </w:pPr>
    </w:p>
    <w:p w14:paraId="1F4BDE4C" w14:textId="5010A056" w:rsidR="00DB3A5E" w:rsidRDefault="00DB3A5E" w:rsidP="00DB3A5E">
      <w:pPr>
        <w:pStyle w:val="Heading3"/>
      </w:pPr>
      <w:r>
        <w:t>The work of Margaret Hone</w:t>
      </w:r>
    </w:p>
    <w:p w14:paraId="1D510E1F" w14:textId="77777777" w:rsidR="002B1142" w:rsidRDefault="002B1142" w:rsidP="0078591B">
      <w:pPr>
        <w:pStyle w:val="NoSpacing"/>
      </w:pPr>
    </w:p>
    <w:p w14:paraId="3CC233AC" w14:textId="766261AA" w:rsidR="00CF2C22" w:rsidRDefault="00DB3A5E" w:rsidP="00AD4FDF">
      <w:pPr>
        <w:pStyle w:val="NoSpacing"/>
        <w:ind w:firstLine="720"/>
        <w:rPr>
          <w:shd w:val="clear" w:color="auto" w:fill="FFFFFF"/>
        </w:rPr>
      </w:pPr>
      <w:r>
        <w:t xml:space="preserve">In her Textbook, </w:t>
      </w:r>
      <w:r w:rsidR="002B1142">
        <w:t>Hone</w:t>
      </w:r>
      <w:r w:rsidR="00D93978">
        <w:t xml:space="preserve"> takes an overall Stoic approach, defining</w:t>
      </w:r>
      <w:r w:rsidR="002B1142">
        <w:t xml:space="preserve"> astrology as </w:t>
      </w:r>
      <w:r w:rsidR="00D93978">
        <w:t>‘</w:t>
      </w:r>
      <w:r w:rsidR="002B1142">
        <w:t>a unique system of interpretation of the correlation of planetary action in human experience</w:t>
      </w:r>
      <w:r w:rsidR="00D93978">
        <w:t>’</w:t>
      </w:r>
      <w:r w:rsidR="002B1142">
        <w:rPr>
          <w:rStyle w:val="FootnoteReference"/>
        </w:rPr>
        <w:footnoteReference w:id="26"/>
      </w:r>
      <w:r w:rsidR="002B1142">
        <w:t xml:space="preserve">. </w:t>
      </w:r>
      <w:r w:rsidR="00F91CF3">
        <w:t xml:space="preserve">Rather than the planets having a physical effect on human life, </w:t>
      </w:r>
      <w:r w:rsidR="00D93978">
        <w:t xml:space="preserve">in her use of the word ‘correlation’ </w:t>
      </w:r>
      <w:r w:rsidR="00F91CF3">
        <w:t>she invokes the concept of sympathy</w:t>
      </w:r>
      <w:r w:rsidR="009E4BD1">
        <w:t xml:space="preserve">, which again has its origins in classical philosophy. The Stoics </w:t>
      </w:r>
      <w:r w:rsidR="00D93978">
        <w:t>‘</w:t>
      </w:r>
      <w:r w:rsidR="009E4BD1">
        <w:t>perceived a universal sympathy in which everything had connections with everything else</w:t>
      </w:r>
      <w:r w:rsidR="00D93978">
        <w:t>’</w:t>
      </w:r>
      <w:r w:rsidR="009E4BD1">
        <w:rPr>
          <w:rStyle w:val="FootnoteReference"/>
        </w:rPr>
        <w:footnoteReference w:id="27"/>
      </w:r>
      <w:r w:rsidR="009E4BD1">
        <w:t xml:space="preserve">, as Barton has explained. </w:t>
      </w:r>
      <w:r w:rsidR="00D93978">
        <w:t>Hone expressed this same point, explaining that ‘the movements of everything in the universe are correlated’ and notes that this is conveys a ‘truer meaning than the older term of “influence”’.</w:t>
      </w:r>
      <w:r w:rsidR="00D93978">
        <w:rPr>
          <w:rStyle w:val="FootnoteReference"/>
        </w:rPr>
        <w:footnoteReference w:id="28"/>
      </w:r>
      <w:r w:rsidR="00D93978">
        <w:t xml:space="preserve"> </w:t>
      </w:r>
      <w:r w:rsidR="002B1142">
        <w:t xml:space="preserve">She continues by explaining that </w:t>
      </w:r>
      <w:r w:rsidR="00D93978">
        <w:t>‘</w:t>
      </w:r>
      <w:r w:rsidR="002B1142">
        <w:t>astrologers think of the Universe as a whole</w:t>
      </w:r>
      <w:r w:rsidR="00D93978">
        <w:t>’</w:t>
      </w:r>
      <w:r w:rsidR="00D93978">
        <w:rPr>
          <w:rStyle w:val="FootnoteReference"/>
        </w:rPr>
        <w:footnoteReference w:id="29"/>
      </w:r>
      <w:r w:rsidR="002B1142">
        <w:t xml:space="preserve">, </w:t>
      </w:r>
      <w:r w:rsidR="00E57063">
        <w:t xml:space="preserve">suggesting </w:t>
      </w:r>
      <w:r w:rsidR="002B1142">
        <w:t>a monist approach shared by the Stoics</w:t>
      </w:r>
      <w:r w:rsidR="00D93978">
        <w:t>, as explained above</w:t>
      </w:r>
      <w:r w:rsidR="00E57063">
        <w:t xml:space="preserve">. For example, Alexander of Aphrodisias refers to a </w:t>
      </w:r>
      <w:r w:rsidR="00D93978">
        <w:t>‘</w:t>
      </w:r>
      <w:r w:rsidR="00E57063" w:rsidRPr="00E57063">
        <w:rPr>
          <w:shd w:val="clear" w:color="auto" w:fill="FFFFFF"/>
        </w:rPr>
        <w:t>single cosmos lasting forever and administered in accordance with a single order and plan</w:t>
      </w:r>
      <w:r w:rsidR="00D93978">
        <w:rPr>
          <w:shd w:val="clear" w:color="auto" w:fill="FFFFFF"/>
        </w:rPr>
        <w:t>’</w:t>
      </w:r>
      <w:r w:rsidR="00E57063">
        <w:rPr>
          <w:rStyle w:val="FootnoteReference"/>
          <w:shd w:val="clear" w:color="auto" w:fill="FFFFFF"/>
        </w:rPr>
        <w:footnoteReference w:id="30"/>
      </w:r>
      <w:r w:rsidR="00E57063">
        <w:rPr>
          <w:shd w:val="clear" w:color="auto" w:fill="FFFFFF"/>
        </w:rPr>
        <w:t xml:space="preserve">. </w:t>
      </w:r>
      <w:r w:rsidR="00CF2C22">
        <w:rPr>
          <w:shd w:val="clear" w:color="auto" w:fill="FFFFFF"/>
        </w:rPr>
        <w:t xml:space="preserve"> She </w:t>
      </w:r>
      <w:r w:rsidR="00CF2C22">
        <w:t>states that ‘man is only free within limits’ whilst also acknowledging that ‘a planetary pattern apparently denies free will entirely’</w:t>
      </w:r>
      <w:r w:rsidR="00CF2C22">
        <w:rPr>
          <w:rStyle w:val="FootnoteReference"/>
        </w:rPr>
        <w:footnoteReference w:id="31"/>
      </w:r>
      <w:r w:rsidR="00CF2C22">
        <w:t xml:space="preserve">. </w:t>
      </w:r>
      <w:r w:rsidR="00D93978">
        <w:rPr>
          <w:shd w:val="clear" w:color="auto" w:fill="FFFFFF"/>
        </w:rPr>
        <w:t>Many elements of her astrological approach therefore take a Stoic approach</w:t>
      </w:r>
      <w:r>
        <w:rPr>
          <w:shd w:val="clear" w:color="auto" w:fill="FFFFFF"/>
        </w:rPr>
        <w:t xml:space="preserve"> in which free will, if it exists, is limited</w:t>
      </w:r>
      <w:r w:rsidR="00D93978">
        <w:rPr>
          <w:shd w:val="clear" w:color="auto" w:fill="FFFFFF"/>
        </w:rPr>
        <w:t>.</w:t>
      </w:r>
    </w:p>
    <w:p w14:paraId="47A7C63D" w14:textId="77777777" w:rsidR="00CF2C22" w:rsidRDefault="00CF2C22" w:rsidP="0078591B">
      <w:pPr>
        <w:pStyle w:val="NoSpacing"/>
        <w:rPr>
          <w:shd w:val="clear" w:color="auto" w:fill="FFFFFF"/>
        </w:rPr>
      </w:pPr>
    </w:p>
    <w:p w14:paraId="7345C28A" w14:textId="075DE050" w:rsidR="00D93978" w:rsidRDefault="005D2262" w:rsidP="00AD4FDF">
      <w:pPr>
        <w:pStyle w:val="NoSpacing"/>
        <w:ind w:firstLine="720"/>
      </w:pPr>
      <w:r>
        <w:t xml:space="preserve">However, she </w:t>
      </w:r>
      <w:r w:rsidR="00E57063">
        <w:t xml:space="preserve">also hints at </w:t>
      </w:r>
      <w:r>
        <w:t>a more dualist delineation of fate</w:t>
      </w:r>
      <w:r w:rsidR="00746719">
        <w:t>, beginning by noting that</w:t>
      </w:r>
      <w:r w:rsidR="00F91CF3">
        <w:t xml:space="preserve"> </w:t>
      </w:r>
      <w:r w:rsidR="00D93978">
        <w:t>‘</w:t>
      </w:r>
      <w:r w:rsidR="00F91CF3">
        <w:t>i</w:t>
      </w:r>
      <w:r>
        <w:t>nasmuch as a man identifies himself with his physical self and the physical world about him, so he is indissolubly part of it and subject to its changing patterns formed by the planets and their orbits</w:t>
      </w:r>
      <w:r w:rsidR="00D93978">
        <w:t>’</w:t>
      </w:r>
      <w:r>
        <w:rPr>
          <w:rStyle w:val="FootnoteReference"/>
        </w:rPr>
        <w:footnoteReference w:id="32"/>
      </w:r>
      <w:r w:rsidR="00F91CF3">
        <w:t xml:space="preserve"> – reinforcing the </w:t>
      </w:r>
      <w:r w:rsidR="007627E5">
        <w:t>m</w:t>
      </w:r>
      <w:r w:rsidR="00F91CF3">
        <w:t>onist view of the universe as a single entity. However, s</w:t>
      </w:r>
      <w:r>
        <w:t xml:space="preserve">he goes on to stress that he can recognise something </w:t>
      </w:r>
      <w:r w:rsidR="00D93978">
        <w:t>‘</w:t>
      </w:r>
      <w:r>
        <w:t>greater than himself</w:t>
      </w:r>
      <w:r w:rsidR="00D93978">
        <w:t>’</w:t>
      </w:r>
      <w:r>
        <w:t xml:space="preserve"> and that </w:t>
      </w:r>
      <w:r w:rsidR="00D93978">
        <w:t>‘</w:t>
      </w:r>
      <w:r>
        <w:t>by the doctrine of free and willing acceptance, he can ‘will’ that his real self is free in reaction to them</w:t>
      </w:r>
      <w:r w:rsidR="00D93978">
        <w:t>’</w:t>
      </w:r>
      <w:r>
        <w:t>.</w:t>
      </w:r>
      <w:r w:rsidR="00F91CF3">
        <w:rPr>
          <w:rStyle w:val="FootnoteReference"/>
        </w:rPr>
        <w:footnoteReference w:id="33"/>
      </w:r>
      <w:r>
        <w:t xml:space="preserve"> This seems to imply a mix of a Stoic approach of willing acceptance with Platonic duality</w:t>
      </w:r>
      <w:r w:rsidR="004A4D6F">
        <w:t>, a sense of self beyond the physical</w:t>
      </w:r>
      <w:r>
        <w:t xml:space="preserve">. </w:t>
      </w:r>
      <w:r w:rsidR="00F91CF3">
        <w:t xml:space="preserve">As has been seen, </w:t>
      </w:r>
      <w:r>
        <w:t>Plato wrote that whilst the body is subject to fate, the soul</w:t>
      </w:r>
      <w:r w:rsidR="007627E5">
        <w:t xml:space="preserve"> is immortal and free </w:t>
      </w:r>
      <w:r>
        <w:t xml:space="preserve">– </w:t>
      </w:r>
      <w:r w:rsidR="00D93978">
        <w:t>‘</w:t>
      </w:r>
      <w:r>
        <w:t>that his real self is free in its reaction to [the planets]</w:t>
      </w:r>
      <w:r w:rsidR="00D93978">
        <w:t>’</w:t>
      </w:r>
      <w:r>
        <w:t xml:space="preserve"> as Hone has it.</w:t>
      </w:r>
    </w:p>
    <w:p w14:paraId="476C762B" w14:textId="77777777" w:rsidR="004A4D6F" w:rsidRDefault="004A4D6F" w:rsidP="004A4D6F">
      <w:pPr>
        <w:pStyle w:val="NoSpacing"/>
      </w:pPr>
    </w:p>
    <w:p w14:paraId="48D77E23" w14:textId="14BF364F" w:rsidR="00DA7F00" w:rsidRDefault="004B442F" w:rsidP="00AD4FDF">
      <w:pPr>
        <w:pStyle w:val="NoSpacing"/>
        <w:ind w:firstLine="720"/>
      </w:pPr>
      <w:r>
        <w:t xml:space="preserve">Whilst there may be some ambiguity in Hone’s theoretical approach to fate in the horoscope, her actual interpretations can be seen as taking the Stoic approach. She </w:t>
      </w:r>
      <w:r w:rsidR="00DD1D95">
        <w:t>describ</w:t>
      </w:r>
      <w:r>
        <w:t>es</w:t>
      </w:r>
      <w:r w:rsidR="00DD1D95">
        <w:t xml:space="preserve"> the planets as drives or urges, stat</w:t>
      </w:r>
      <w:r>
        <w:t>ing</w:t>
      </w:r>
      <w:r w:rsidR="00DD1D95">
        <w:t xml:space="preserve"> that the chart owner </w:t>
      </w:r>
      <w:r w:rsidR="00D93978">
        <w:t>‘</w:t>
      </w:r>
      <w:r w:rsidR="00DD1D95">
        <w:t>is subject to its compulsion, but the more he becomes consciously aware of it, the better he can deal with it</w:t>
      </w:r>
      <w:r w:rsidR="00D93978">
        <w:t>’</w:t>
      </w:r>
      <w:r w:rsidR="00DD1D95">
        <w:t>.</w:t>
      </w:r>
      <w:r w:rsidR="00646506">
        <w:rPr>
          <w:rStyle w:val="FootnoteReference"/>
        </w:rPr>
        <w:footnoteReference w:id="34"/>
      </w:r>
      <w:r w:rsidR="00DD1D95">
        <w:t xml:space="preserve"> </w:t>
      </w:r>
      <w:r>
        <w:t>T</w:t>
      </w:r>
      <w:r w:rsidR="00DD1D95">
        <w:t>his is a</w:t>
      </w:r>
      <w:r>
        <w:t xml:space="preserve"> clear</w:t>
      </w:r>
      <w:r w:rsidR="00DD1D95">
        <w:t xml:space="preserve"> Stoic approach, suggesting that our planetary pattern can be dealt with but not changed or transcended. It is interesting to note the use of the word </w:t>
      </w:r>
      <w:r w:rsidR="00D93978">
        <w:t>‘</w:t>
      </w:r>
      <w:r w:rsidR="00DD1D95">
        <w:t>compulsion</w:t>
      </w:r>
      <w:r w:rsidR="00D93978">
        <w:t>’</w:t>
      </w:r>
      <w:r w:rsidR="00DD1D95">
        <w:t xml:space="preserve"> in this sentence, implying that for Hone, the planets do compel rather than simply incline</w:t>
      </w:r>
      <w:r w:rsidR="00746719">
        <w:t xml:space="preserve"> or influence</w:t>
      </w:r>
      <w:r w:rsidR="00DD1D95">
        <w:t xml:space="preserve">, and that our work is to </w:t>
      </w:r>
      <w:r w:rsidR="00D93978">
        <w:t>‘</w:t>
      </w:r>
      <w:r w:rsidR="00DD1D95">
        <w:t>deal with it</w:t>
      </w:r>
      <w:r w:rsidR="00D93978">
        <w:t>’</w:t>
      </w:r>
      <w:r w:rsidR="00DD1D95">
        <w:t xml:space="preserve">. Her interpretations tend to be </w:t>
      </w:r>
      <w:r>
        <w:t>rooted in practicality and everyday experience</w:t>
      </w:r>
      <w:r w:rsidR="00DD1D95">
        <w:t xml:space="preserve">, giving descriptions of character which come across as definitive. For example, for Gemini </w:t>
      </w:r>
      <w:r w:rsidR="00D93978">
        <w:t>‘</w:t>
      </w:r>
      <w:r w:rsidR="00DD1D95">
        <w:t>he is intelligent, quick-witted, lively and infinitely versatile</w:t>
      </w:r>
      <w:r w:rsidR="00D93978">
        <w:t>’</w:t>
      </w:r>
      <w:r w:rsidR="00DD1D95">
        <w:t xml:space="preserve">. However, she also offers advice for working with these energies; </w:t>
      </w:r>
      <w:r w:rsidR="00D93978">
        <w:t>‘</w:t>
      </w:r>
      <w:r w:rsidR="00DD1D95">
        <w:t>Stop and look at yourself sometimes and check up on your multitudinous activities</w:t>
      </w:r>
      <w:r w:rsidR="00D93978">
        <w:t>’</w:t>
      </w:r>
      <w:r w:rsidR="00DD1D95">
        <w:t>.</w:t>
      </w:r>
      <w:r w:rsidR="00CF2C22">
        <w:rPr>
          <w:rStyle w:val="FootnoteReference"/>
        </w:rPr>
        <w:footnoteReference w:id="35"/>
      </w:r>
      <w:r w:rsidR="00DD1D95">
        <w:t xml:space="preserve"> She offers ways to work with the </w:t>
      </w:r>
      <w:r>
        <w:t>pattern of the chart</w:t>
      </w:r>
      <w:r w:rsidR="00DD1D95">
        <w:t xml:space="preserve"> and the develop the potential seen as inherent in the pattern of the horoscope, again implying a level of free will within the </w:t>
      </w:r>
      <w:r>
        <w:t>‘</w:t>
      </w:r>
      <w:r w:rsidR="00DD1D95">
        <w:t>compulsion</w:t>
      </w:r>
      <w:r>
        <w:t xml:space="preserve">’. </w:t>
      </w:r>
      <w:r w:rsidR="00AF780B">
        <w:t>Whilst there are possibilities for development, there is also a lack of freedom in these descriptive interpretations. Indeed</w:t>
      </w:r>
      <w:r>
        <w:t>,</w:t>
      </w:r>
      <w:r w:rsidR="00AF780B">
        <w:t xml:space="preserve"> any possibility for free will may be an illusion</w:t>
      </w:r>
      <w:r w:rsidR="004D47DD">
        <w:t>, with one interpretation stating that</w:t>
      </w:r>
      <w:r w:rsidR="00AF780B">
        <w:t xml:space="preserve"> </w:t>
      </w:r>
      <w:r w:rsidR="00D93978">
        <w:t>‘</w:t>
      </w:r>
      <w:r w:rsidR="00AF780B">
        <w:t>he will probably [apply for the job] and think he has ‘chosen’ to do so, but he will be synchronising with his pattern of development</w:t>
      </w:r>
      <w:r w:rsidR="00D93978">
        <w:t>’</w:t>
      </w:r>
      <w:r w:rsidR="00AF780B">
        <w:rPr>
          <w:rStyle w:val="FootnoteReference"/>
        </w:rPr>
        <w:footnoteReference w:id="36"/>
      </w:r>
      <w:r w:rsidR="00AF780B">
        <w:t>. Again, there is an element of compulsion here, a lack of choice</w:t>
      </w:r>
      <w:r w:rsidR="00746719">
        <w:t xml:space="preserve"> which implies a sense of fate or something beyond the control of the individual</w:t>
      </w:r>
      <w:r w:rsidR="00AF780B">
        <w:t>.</w:t>
      </w:r>
      <w:r>
        <w:t xml:space="preserve"> This interpretation is once again in keeping with a Stoic approach to fate, echoing perhaps </w:t>
      </w:r>
      <w:proofErr w:type="spellStart"/>
      <w:r>
        <w:t>Nemesius</w:t>
      </w:r>
      <w:proofErr w:type="spellEnd"/>
      <w:r>
        <w:t xml:space="preserve">: </w:t>
      </w:r>
      <w:r w:rsidR="00D93978">
        <w:t>‘</w:t>
      </w:r>
      <w:r w:rsidRPr="004B442F">
        <w:t>For if they say that impulses too are allotted to us by fate and that they are sometimes hindered by fate and sometimes not, it is clear that everything happens by fate, even what seems to be up to us</w:t>
      </w:r>
      <w:r w:rsidR="00D93978">
        <w:t>’</w:t>
      </w:r>
      <w:r>
        <w:rPr>
          <w:rStyle w:val="FootnoteReference"/>
        </w:rPr>
        <w:footnoteReference w:id="37"/>
      </w:r>
      <w:r>
        <w:t xml:space="preserve">. </w:t>
      </w:r>
      <w:r w:rsidR="00DA7F00">
        <w:t xml:space="preserve">Hone’s Textbook concludes with a section on Acceptance, noting the importance of psychology and quoting Jung as saying that </w:t>
      </w:r>
      <w:r w:rsidR="00D93978">
        <w:t>‘</w:t>
      </w:r>
      <w:r w:rsidR="00DA7F00">
        <w:t>the most important problems of life are fundamentally insoluble. They can never be solved but only outgrown</w:t>
      </w:r>
      <w:r w:rsidR="00D93978">
        <w:t>’</w:t>
      </w:r>
      <w:r w:rsidR="00DA7F00">
        <w:rPr>
          <w:rStyle w:val="FootnoteReference"/>
        </w:rPr>
        <w:footnoteReference w:id="38"/>
      </w:r>
      <w:r w:rsidR="00DA7F00">
        <w:t xml:space="preserve">. The importance, even the point, of astrology, is in giving the person knowledge of their </w:t>
      </w:r>
      <w:r w:rsidR="00D93978">
        <w:t>‘</w:t>
      </w:r>
      <w:r w:rsidR="00DA7F00">
        <w:t>problem as a part of his present pattern in life</w:t>
      </w:r>
      <w:r w:rsidR="00D93978">
        <w:t>’</w:t>
      </w:r>
      <w:r w:rsidR="00DA7F00">
        <w:t xml:space="preserve">, since </w:t>
      </w:r>
      <w:r w:rsidR="00D93978">
        <w:t>‘</w:t>
      </w:r>
      <w:r w:rsidR="00DA7F00">
        <w:t>only by acceptance…can a person find relief from [the problem]</w:t>
      </w:r>
      <w:r w:rsidR="00D93978">
        <w:t>’</w:t>
      </w:r>
      <w:r w:rsidR="00DA7F00">
        <w:rPr>
          <w:rStyle w:val="FootnoteReference"/>
        </w:rPr>
        <w:footnoteReference w:id="39"/>
      </w:r>
      <w:r w:rsidR="00DA7F00">
        <w:t xml:space="preserve">. Once again acceptance and allowing time to </w:t>
      </w:r>
      <w:r w:rsidR="00D93978">
        <w:t>‘</w:t>
      </w:r>
      <w:r w:rsidR="00DA7F00">
        <w:t>grow out</w:t>
      </w:r>
      <w:r w:rsidR="00D93978">
        <w:t>’</w:t>
      </w:r>
      <w:r w:rsidR="00DA7F00">
        <w:t xml:space="preserve"> of planetary compulsions are the only options</w:t>
      </w:r>
      <w:r w:rsidR="00B45611">
        <w:t>, reinforcing the Stoic conception of fate and something we cannot escape or change</w:t>
      </w:r>
      <w:r w:rsidR="00DA7F00">
        <w:t>.</w:t>
      </w:r>
      <w:r w:rsidR="00B45611">
        <w:t xml:space="preserve"> </w:t>
      </w:r>
    </w:p>
    <w:p w14:paraId="12ED0B52" w14:textId="77777777" w:rsidR="00DA7F00" w:rsidRDefault="00DA7F00" w:rsidP="00DD1D95">
      <w:pPr>
        <w:pStyle w:val="NoSpacing"/>
      </w:pPr>
    </w:p>
    <w:p w14:paraId="6372A06F" w14:textId="72D2C6BA" w:rsidR="00546EE0" w:rsidRDefault="00646506" w:rsidP="00646506">
      <w:pPr>
        <w:pStyle w:val="Heading3"/>
      </w:pPr>
      <w:r>
        <w:t>The development of psychological astrology</w:t>
      </w:r>
    </w:p>
    <w:p w14:paraId="481F2054" w14:textId="77777777" w:rsidR="00546EE0" w:rsidRDefault="00546EE0" w:rsidP="00DD1D95">
      <w:pPr>
        <w:pStyle w:val="NoSpacing"/>
      </w:pPr>
    </w:p>
    <w:p w14:paraId="070F3D4D" w14:textId="30E05330" w:rsidR="00B307E1" w:rsidRDefault="00DA7F00" w:rsidP="00AD4FDF">
      <w:pPr>
        <w:pStyle w:val="NoSpacing"/>
        <w:ind w:firstLine="720"/>
      </w:pPr>
      <w:r>
        <w:lastRenderedPageBreak/>
        <w:t xml:space="preserve">In quoting Jung and referring to the importance of psychology, Hone was at the beginning of a major current </w:t>
      </w:r>
      <w:r w:rsidR="0076570C">
        <w:t>in</w:t>
      </w:r>
      <w:r>
        <w:t xml:space="preserve"> twentieth century astrology, the rise of psychological astrology</w:t>
      </w:r>
      <w:r w:rsidR="00646506">
        <w:t xml:space="preserve">. As Phillipson has explained, </w:t>
      </w:r>
      <w:r w:rsidR="00D93978">
        <w:t>‘</w:t>
      </w:r>
      <w:r w:rsidR="00646506">
        <w:t>the attempt to marry astrology and psychology has been a major theme in western astrology over the last seventy years</w:t>
      </w:r>
      <w:r w:rsidR="00D93978">
        <w:t>’</w:t>
      </w:r>
      <w:r>
        <w:t>.</w:t>
      </w:r>
      <w:r w:rsidR="00646506">
        <w:rPr>
          <w:rStyle w:val="FootnoteReference"/>
        </w:rPr>
        <w:footnoteReference w:id="40"/>
      </w:r>
      <w:r>
        <w:t xml:space="preserve"> </w:t>
      </w:r>
      <w:r w:rsidR="00B307E1">
        <w:t>H</w:t>
      </w:r>
      <w:r w:rsidR="00646506">
        <w:t>one’s</w:t>
      </w:r>
      <w:r w:rsidR="00B307E1">
        <w:t xml:space="preserve"> subsequent book Applied Astrology, develops a more explicitly psychological approach, using language such as unconscious and neurosis.</w:t>
      </w:r>
      <w:r w:rsidR="00646506">
        <w:rPr>
          <w:rStyle w:val="FootnoteReference"/>
        </w:rPr>
        <w:footnoteReference w:id="41"/>
      </w:r>
      <w:r w:rsidR="00B307E1">
        <w:t xml:space="preserve"> In this slightly later work, her standard information to astrological clients now states that the horoscope </w:t>
      </w:r>
      <w:r w:rsidR="00D93978">
        <w:t>‘</w:t>
      </w:r>
      <w:r w:rsidR="00B307E1">
        <w:t>attempts to indicate a life pattern</w:t>
      </w:r>
      <w:r w:rsidR="00D93978">
        <w:t>’</w:t>
      </w:r>
      <w:r w:rsidR="00B307E1">
        <w:rPr>
          <w:rStyle w:val="FootnoteReference"/>
        </w:rPr>
        <w:footnoteReference w:id="42"/>
      </w:r>
      <w:r w:rsidR="00B307E1">
        <w:t>, a softening of her previous approach which seems to allow more space for the stars to influence rather than compel.</w:t>
      </w:r>
      <w:r w:rsidR="00746719">
        <w:t xml:space="preserve"> The interpretations given, aimed directly to the</w:t>
      </w:r>
      <w:r w:rsidR="004B442F">
        <w:t xml:space="preserve"> </w:t>
      </w:r>
      <w:r w:rsidR="00746719">
        <w:t>chart owner</w:t>
      </w:r>
      <w:r w:rsidR="004B442F">
        <w:t>,</w:t>
      </w:r>
      <w:r w:rsidR="00746719">
        <w:t xml:space="preserve"> are still fairly deterministic but also include </w:t>
      </w:r>
      <w:r w:rsidR="00480F10">
        <w:t>suggestions</w:t>
      </w:r>
      <w:r w:rsidR="00746719">
        <w:t xml:space="preserve"> on how to make the best of the [planets]. For example, </w:t>
      </w:r>
      <w:r w:rsidR="00D93978">
        <w:t>‘</w:t>
      </w:r>
      <w:r w:rsidR="00746719">
        <w:t>your chart shows the inflammability of the time. This is where some measure of free will comes in</w:t>
      </w:r>
      <w:r w:rsidR="00746719">
        <w:rPr>
          <w:rStyle w:val="FootnoteReference"/>
        </w:rPr>
        <w:footnoteReference w:id="43"/>
      </w:r>
      <w:r w:rsidR="00D93978">
        <w:t>‘</w:t>
      </w:r>
      <w:r w:rsidR="00746719">
        <w:t>. Her approach here is more explicitly compatibilist</w:t>
      </w:r>
      <w:r w:rsidR="001229E0">
        <w:t>, allowing for the ‘free action and moral responsibility’ noted above</w:t>
      </w:r>
      <w:r w:rsidR="00746719">
        <w:t>.</w:t>
      </w:r>
      <w:r w:rsidR="00480F10">
        <w:t xml:space="preserve"> </w:t>
      </w:r>
    </w:p>
    <w:p w14:paraId="548E748A" w14:textId="77777777" w:rsidR="00A51105" w:rsidRDefault="00A51105" w:rsidP="00DD1D95">
      <w:pPr>
        <w:pStyle w:val="NoSpacing"/>
      </w:pPr>
    </w:p>
    <w:p w14:paraId="0FCF9420" w14:textId="101C9CE9" w:rsidR="00A51105" w:rsidRDefault="00A51105" w:rsidP="00A51105">
      <w:pPr>
        <w:pStyle w:val="Heading3"/>
      </w:pPr>
      <w:r>
        <w:t>The work of Liz Greene</w:t>
      </w:r>
    </w:p>
    <w:p w14:paraId="7DDFDFCF" w14:textId="77777777" w:rsidR="00546EE0" w:rsidRDefault="00546EE0" w:rsidP="00DD1D95">
      <w:pPr>
        <w:pStyle w:val="NoSpacing"/>
      </w:pPr>
    </w:p>
    <w:p w14:paraId="02FCE88C" w14:textId="64389C08" w:rsidR="00746719" w:rsidRDefault="00DA7F00" w:rsidP="00901115">
      <w:pPr>
        <w:pStyle w:val="NoSpacing"/>
        <w:ind w:firstLine="720"/>
      </w:pPr>
      <w:r>
        <w:t>Liz Greene</w:t>
      </w:r>
      <w:r w:rsidR="00AB1D60">
        <w:t xml:space="preserve"> can be seen as the inheritor of these beginnings in psychological astrology</w:t>
      </w:r>
      <w:r w:rsidR="00AD4FDF">
        <w:t xml:space="preserve">. </w:t>
      </w:r>
      <w:r w:rsidR="00746719">
        <w:t xml:space="preserve">She begins her consideration of fate by expressing her dissatisfaction with current astrological interpretations of the concept, and indeed she quotes Hone as an example of a general </w:t>
      </w:r>
      <w:r w:rsidR="000627A1">
        <w:t>neoplatonic approach</w:t>
      </w:r>
      <w:r w:rsidR="00CB1B93">
        <w:t>, giving the passage quoted above from page 17 of the Textbook as showing that</w:t>
      </w:r>
      <w:r w:rsidR="00A051A8">
        <w:t xml:space="preserve"> astrologers believe that</w:t>
      </w:r>
      <w:r w:rsidR="00CB1B93">
        <w:t xml:space="preserve"> fate </w:t>
      </w:r>
      <w:r w:rsidR="00D93978">
        <w:t>‘</w:t>
      </w:r>
      <w:r w:rsidR="00CB1B93">
        <w:t>only applies to the corporeal or ‘lower’ nature of man and does not contaminate his spirit</w:t>
      </w:r>
      <w:r w:rsidR="00D93978">
        <w:t>’</w:t>
      </w:r>
      <w:r w:rsidR="00CB1B93">
        <w:rPr>
          <w:rStyle w:val="FootnoteReference"/>
        </w:rPr>
        <w:footnoteReference w:id="44"/>
      </w:r>
      <w:r w:rsidR="00CB1B93">
        <w:t>.</w:t>
      </w:r>
      <w:r w:rsidR="008C02E1">
        <w:t xml:space="preserve"> Later she clarifies her dissatisfaction with the platonic approach, noting that </w:t>
      </w:r>
      <w:r w:rsidR="00D93978">
        <w:t>‘</w:t>
      </w:r>
      <w:r w:rsidR="008C02E1">
        <w:t>this counterbalancing of fate with spirit simply leaves fate in the body and in life</w:t>
      </w:r>
      <w:r w:rsidR="00D93978">
        <w:t>’</w:t>
      </w:r>
      <w:r w:rsidR="008C02E1">
        <w:rPr>
          <w:rStyle w:val="FootnoteReference"/>
        </w:rPr>
        <w:footnoteReference w:id="45"/>
      </w:r>
      <w:r w:rsidR="008C02E1">
        <w:t xml:space="preserve">, implying that we still need to </w:t>
      </w:r>
      <w:r w:rsidR="00AD4FDF">
        <w:t>“</w:t>
      </w:r>
      <w:r w:rsidR="008C02E1">
        <w:t>deal with it</w:t>
      </w:r>
      <w:r w:rsidR="00AD4FDF">
        <w:t xml:space="preserve">” </w:t>
      </w:r>
      <w:r w:rsidR="008C02E1">
        <w:t>as Hone would have it.</w:t>
      </w:r>
      <w:r w:rsidR="00480F10">
        <w:t xml:space="preserve"> Later </w:t>
      </w:r>
      <w:r w:rsidR="00A51105">
        <w:t>on,</w:t>
      </w:r>
      <w:r w:rsidR="00480F10">
        <w:t xml:space="preserve"> she again disavows the platonic approach, noting that </w:t>
      </w:r>
      <w:r w:rsidR="00D93978">
        <w:t>‘</w:t>
      </w:r>
      <w:r w:rsidR="00480F10">
        <w:t>I am not very impressed by that school of astrology which believes one can ‘transcend’ the horoscope</w:t>
      </w:r>
      <w:r w:rsidR="00D93978">
        <w:t>’</w:t>
      </w:r>
      <w:r w:rsidR="00AD4FDF">
        <w:t>.</w:t>
      </w:r>
      <w:r w:rsidR="00480F10">
        <w:rPr>
          <w:rStyle w:val="FootnoteReference"/>
        </w:rPr>
        <w:footnoteReference w:id="46"/>
      </w:r>
      <w:r w:rsidR="00480F10">
        <w:t xml:space="preserve"> </w:t>
      </w:r>
      <w:r w:rsidR="00D66606">
        <w:t xml:space="preserve">This is at odds with the perception, expressed for example by Curry, that psychological astrology </w:t>
      </w:r>
      <w:r w:rsidR="00D93978">
        <w:t>‘</w:t>
      </w:r>
      <w:r w:rsidR="00D66606">
        <w:t>grew out of the theosophical astrology of… the beginning of the twentieth century</w:t>
      </w:r>
      <w:r w:rsidR="00D93978">
        <w:t>’</w:t>
      </w:r>
      <w:r w:rsidR="00D66606">
        <w:rPr>
          <w:rStyle w:val="FootnoteReference"/>
        </w:rPr>
        <w:footnoteReference w:id="47"/>
      </w:r>
      <w:r w:rsidR="00D66606">
        <w:t xml:space="preserve"> which was rooted in the platonic idea of transcendence of the body by the soul</w:t>
      </w:r>
      <w:r w:rsidR="00901115">
        <w:t xml:space="preserve">, again as explored by Campion in the work of Blavatsky and Leo. </w:t>
      </w:r>
      <w:r w:rsidR="00901115">
        <w:rPr>
          <w:rStyle w:val="FootnoteReference"/>
        </w:rPr>
        <w:footnoteReference w:id="48"/>
      </w:r>
      <w:r w:rsidR="00901115">
        <w:t xml:space="preserve"> </w:t>
      </w:r>
      <w:r w:rsidR="00D66606">
        <w:t>Greene’s</w:t>
      </w:r>
      <w:r w:rsidR="00480F10">
        <w:t xml:space="preserve"> own theory of fate is apparently not based on a Platonic approach, unlike </w:t>
      </w:r>
      <w:r w:rsidR="003710DA">
        <w:t xml:space="preserve">her perception of </w:t>
      </w:r>
      <w:r w:rsidR="00480F10">
        <w:t>many of her contemporaries</w:t>
      </w:r>
      <w:r w:rsidR="00D66606">
        <w:t xml:space="preserve"> and perhaps also their perception of her.</w:t>
      </w:r>
    </w:p>
    <w:p w14:paraId="65F136BD" w14:textId="77777777" w:rsidR="00B45611" w:rsidRDefault="00B45611" w:rsidP="00DD1D95">
      <w:pPr>
        <w:pStyle w:val="NoSpacing"/>
      </w:pPr>
    </w:p>
    <w:p w14:paraId="23947A9C" w14:textId="71E4C8C0" w:rsidR="0085729F" w:rsidRDefault="00E44EC0" w:rsidP="00AD4FDF">
      <w:pPr>
        <w:pStyle w:val="NoSpacing"/>
        <w:ind w:firstLine="720"/>
      </w:pPr>
      <w:r>
        <w:t>Greene devotes a considerable amount of space to fate as Moira</w:t>
      </w:r>
      <w:r w:rsidR="009D413B">
        <w:t xml:space="preserve"> or necessity, as defined and explored by the ancient Greeks</w:t>
      </w:r>
      <w:r w:rsidR="000627A1">
        <w:t xml:space="preserve">. </w:t>
      </w:r>
      <w:r w:rsidR="009D413B">
        <w:t xml:space="preserve">She affirms that this is a </w:t>
      </w:r>
      <w:r w:rsidR="00D93978">
        <w:t>‘</w:t>
      </w:r>
      <w:r w:rsidR="009D413B">
        <w:t>very particular kind of fate</w:t>
      </w:r>
      <w:r w:rsidR="00D93978">
        <w:t>’</w:t>
      </w:r>
      <w:r w:rsidR="009D413B">
        <w:t xml:space="preserve">, it is the </w:t>
      </w:r>
      <w:r w:rsidR="00D93978">
        <w:t>‘</w:t>
      </w:r>
      <w:r w:rsidR="0085729F">
        <w:t>minion of justice</w:t>
      </w:r>
      <w:r w:rsidR="009D413B">
        <w:t>: that which balances or avenges the overstepping of the laws of natural development</w:t>
      </w:r>
      <w:r w:rsidR="0085729F">
        <w:rPr>
          <w:rStyle w:val="FootnoteReference"/>
        </w:rPr>
        <w:footnoteReference w:id="49"/>
      </w:r>
      <w:r w:rsidR="00D93978">
        <w:t>‘</w:t>
      </w:r>
      <w:r w:rsidR="00B45611">
        <w:t xml:space="preserve">, drawing on the </w:t>
      </w:r>
      <w:r w:rsidR="009D413B">
        <w:t>Greek conception of an orderly cosmos</w:t>
      </w:r>
      <w:r w:rsidR="00C760AB">
        <w:t xml:space="preserve"> and echoing Hesiod’s descriptions of the Moirai or destinies as </w:t>
      </w:r>
      <w:r w:rsidR="00C760AB" w:rsidRPr="00C760AB">
        <w:rPr>
          <w:rFonts w:cstheme="minorHAnsi"/>
          <w:spacing w:val="-2"/>
          <w:shd w:val="clear" w:color="auto" w:fill="FFFFFF"/>
        </w:rPr>
        <w:t>hold</w:t>
      </w:r>
      <w:r w:rsidR="00C760AB">
        <w:rPr>
          <w:rFonts w:cstheme="minorHAnsi"/>
          <w:spacing w:val="-2"/>
          <w:shd w:val="clear" w:color="auto" w:fill="FFFFFF"/>
        </w:rPr>
        <w:t>ing</w:t>
      </w:r>
      <w:r w:rsidR="00C760AB" w:rsidRPr="00C760AB">
        <w:rPr>
          <w:rFonts w:cstheme="minorHAnsi"/>
          <w:spacing w:val="-2"/>
          <w:shd w:val="clear" w:color="auto" w:fill="FFFFFF"/>
        </w:rPr>
        <w:t xml:space="preserve"> </w:t>
      </w:r>
      <w:r w:rsidR="00C760AB">
        <w:rPr>
          <w:rFonts w:cstheme="minorHAnsi"/>
          <w:spacing w:val="-2"/>
          <w:shd w:val="clear" w:color="auto" w:fill="FFFFFF"/>
        </w:rPr>
        <w:t>‘</w:t>
      </w:r>
      <w:r w:rsidR="00C760AB" w:rsidRPr="00C760AB">
        <w:rPr>
          <w:rFonts w:cstheme="minorHAnsi"/>
          <w:spacing w:val="-2"/>
          <w:shd w:val="clear" w:color="auto" w:fill="FFFFFF"/>
        </w:rPr>
        <w:t>fast to the transgressions of both men and gods</w:t>
      </w:r>
      <w:r w:rsidR="00C760AB">
        <w:rPr>
          <w:rFonts w:cstheme="minorHAnsi"/>
          <w:spacing w:val="-2"/>
          <w:shd w:val="clear" w:color="auto" w:fill="FFFFFF"/>
        </w:rPr>
        <w:t>’, as mentioned above</w:t>
      </w:r>
      <w:r w:rsidR="00B45611">
        <w:t xml:space="preserve">. </w:t>
      </w:r>
      <w:r w:rsidR="00B45611">
        <w:rPr>
          <w:rFonts w:cstheme="minorHAnsi"/>
        </w:rPr>
        <w:t xml:space="preserve">In </w:t>
      </w:r>
      <w:r w:rsidR="00AB1D60">
        <w:rPr>
          <w:rFonts w:cstheme="minorHAnsi"/>
        </w:rPr>
        <w:t>explicitly defining fate as Moira</w:t>
      </w:r>
      <w:r w:rsidR="00B45611">
        <w:rPr>
          <w:rFonts w:cstheme="minorHAnsi"/>
        </w:rPr>
        <w:t xml:space="preserve">, Greene is seeking in the astrological chart information about </w:t>
      </w:r>
      <w:r w:rsidR="00D93978">
        <w:rPr>
          <w:rFonts w:cstheme="minorHAnsi"/>
        </w:rPr>
        <w:t>‘</w:t>
      </w:r>
      <w:r w:rsidR="00B45611">
        <w:rPr>
          <w:rFonts w:cstheme="minorHAnsi"/>
        </w:rPr>
        <w:t>natural law and the transgression of fate-imposed limits</w:t>
      </w:r>
      <w:r w:rsidR="00D93978">
        <w:rPr>
          <w:rFonts w:cstheme="minorHAnsi"/>
        </w:rPr>
        <w:t>’</w:t>
      </w:r>
      <w:r w:rsidR="00B45611">
        <w:rPr>
          <w:rStyle w:val="FootnoteReference"/>
          <w:rFonts w:cstheme="minorHAnsi"/>
        </w:rPr>
        <w:footnoteReference w:id="50"/>
      </w:r>
      <w:r w:rsidR="000627A1">
        <w:rPr>
          <w:rFonts w:cstheme="minorHAnsi"/>
        </w:rPr>
        <w:t xml:space="preserve">, </w:t>
      </w:r>
      <w:r w:rsidR="00DB3132">
        <w:rPr>
          <w:rFonts w:cstheme="minorHAnsi"/>
        </w:rPr>
        <w:t xml:space="preserve">suggesting again Cornford’s primary </w:t>
      </w:r>
      <w:r w:rsidR="00DB3132">
        <w:rPr>
          <w:rFonts w:cstheme="minorHAnsi"/>
        </w:rPr>
        <w:lastRenderedPageBreak/>
        <w:t>notion of order.</w:t>
      </w:r>
      <w:r w:rsidR="00A51105">
        <w:rPr>
          <w:rFonts w:cstheme="minorHAnsi"/>
        </w:rPr>
        <w:t xml:space="preserve"> </w:t>
      </w:r>
      <w:r>
        <w:t>It is interesting that she locates this fate</w:t>
      </w:r>
      <w:r w:rsidR="00B45611">
        <w:t xml:space="preserve"> at</w:t>
      </w:r>
      <w:r>
        <w:t xml:space="preserve"> a specific point in the horoscope, devoting an entire chapter to the symbolism of the planet Pluto which she refers to as a </w:t>
      </w:r>
      <w:r w:rsidR="00D93978">
        <w:t>‘</w:t>
      </w:r>
      <w:r>
        <w:t>symbol of retributive fate</w:t>
      </w:r>
      <w:r w:rsidR="00D93978">
        <w:t>’</w:t>
      </w:r>
      <w:r>
        <w:t xml:space="preserve"> which rules the place </w:t>
      </w:r>
      <w:r w:rsidR="00D93978">
        <w:t>‘</w:t>
      </w:r>
      <w:r>
        <w:t>where the will no longer prevails</w:t>
      </w:r>
      <w:r w:rsidR="00D93978">
        <w:t>’</w:t>
      </w:r>
      <w:r>
        <w:rPr>
          <w:rStyle w:val="FootnoteReference"/>
        </w:rPr>
        <w:footnoteReference w:id="51"/>
      </w:r>
      <w:r w:rsidR="00B45611">
        <w:t xml:space="preserve">, noting also that </w:t>
      </w:r>
      <w:r w:rsidR="00D93978">
        <w:t>‘</w:t>
      </w:r>
      <w:r>
        <w:t>Pluto to me is the symbol of Moira within the human soul</w:t>
      </w:r>
      <w:r w:rsidR="00D93978">
        <w:t>’</w:t>
      </w:r>
      <w:r w:rsidR="00D66606">
        <w:t>.</w:t>
      </w:r>
      <w:r w:rsidR="00B45611">
        <w:rPr>
          <w:rStyle w:val="FootnoteReference"/>
        </w:rPr>
        <w:footnoteReference w:id="52"/>
      </w:r>
      <w:r w:rsidR="00D66606">
        <w:t xml:space="preserve"> </w:t>
      </w:r>
      <w:r>
        <w:t>She is therefore suggesting that our fate can be found within the horoscope, rather than encompassing the horoscope as a whole as Hone suggests</w:t>
      </w:r>
      <w:r w:rsidR="008C02E1">
        <w:t xml:space="preserve"> </w:t>
      </w:r>
      <w:r w:rsidR="00480F10">
        <w:t>in her consideration of the horoscope as pattern</w:t>
      </w:r>
      <w:r w:rsidR="00DB3132">
        <w:t xml:space="preserve"> and indeed as neoplatonic astrologers such as Alan Leo suggest, once again affirming her distance from this current of twentieth century astrology as noted  above</w:t>
      </w:r>
      <w:r>
        <w:t>.</w:t>
      </w:r>
      <w:r w:rsidR="00480F10">
        <w:t xml:space="preserve"> </w:t>
      </w:r>
      <w:r w:rsidR="00B45611">
        <w:t xml:space="preserve">The astrological interpretations </w:t>
      </w:r>
      <w:r w:rsidR="00480F10">
        <w:t>Greene</w:t>
      </w:r>
      <w:r w:rsidR="00B45611">
        <w:t xml:space="preserve"> offers to illustrate this concept of fate tend to cover whole families, and w</w:t>
      </w:r>
      <w:r w:rsidR="00CB2A1B">
        <w:t>hilst the emphasis in interpretation is on inner experience, the interpretations given are often literal, in the sense of externalised experience. Greene refers frequently to necessity</w:t>
      </w:r>
      <w:r w:rsidR="00D66606">
        <w:t xml:space="preserve"> </w:t>
      </w:r>
      <w:r w:rsidR="00CB2A1B">
        <w:t xml:space="preserve">and to a </w:t>
      </w:r>
      <w:r w:rsidR="00D93978">
        <w:t>‘</w:t>
      </w:r>
      <w:r w:rsidR="00CB2A1B">
        <w:t>required sacrifice on the altar of Moira</w:t>
      </w:r>
      <w:r w:rsidR="00D93978">
        <w:t>’</w:t>
      </w:r>
      <w:r w:rsidR="00CB2A1B">
        <w:rPr>
          <w:rStyle w:val="FootnoteReference"/>
        </w:rPr>
        <w:footnoteReference w:id="53"/>
      </w:r>
      <w:r w:rsidR="00CB2A1B">
        <w:t xml:space="preserve">. Her interpretations of ‘difficult’ astrological dynamics include traumatic events such as violence, rape and abuse, which </w:t>
      </w:r>
      <w:r w:rsidR="0093392D">
        <w:t xml:space="preserve">she believes </w:t>
      </w:r>
      <w:r w:rsidR="00CB2A1B">
        <w:t>carry a kind of inevitability</w:t>
      </w:r>
      <w:r w:rsidR="0093392D">
        <w:t>,</w:t>
      </w:r>
      <w:r w:rsidR="00CB2A1B">
        <w:t xml:space="preserve"> stat</w:t>
      </w:r>
      <w:r w:rsidR="0093392D">
        <w:t>ing</w:t>
      </w:r>
      <w:r w:rsidR="00CB2A1B">
        <w:t xml:space="preserve"> that </w:t>
      </w:r>
      <w:r w:rsidR="00D93978">
        <w:t>‘</w:t>
      </w:r>
      <w:r w:rsidR="00CB2A1B">
        <w:t>there might be something in the psyche that draws such experiences. One might even call that something fate</w:t>
      </w:r>
      <w:r w:rsidR="00D93978">
        <w:t>’</w:t>
      </w:r>
      <w:r w:rsidR="00CB2A1B">
        <w:rPr>
          <w:rStyle w:val="FootnoteReference"/>
        </w:rPr>
        <w:footnoteReference w:id="54"/>
      </w:r>
      <w:r w:rsidR="00CB2A1B">
        <w:t xml:space="preserve">. </w:t>
      </w:r>
      <w:r w:rsidR="0085729F">
        <w:t xml:space="preserve">Likewise in discussing another case study chart, she notes that </w:t>
      </w:r>
      <w:r w:rsidR="00D93978">
        <w:t>‘</w:t>
      </w:r>
      <w:r w:rsidR="0085729F">
        <w:t>this fate has fallen upon Ruth to deal with</w:t>
      </w:r>
      <w:r w:rsidR="00D93978">
        <w:t>’</w:t>
      </w:r>
      <w:r w:rsidR="0085729F">
        <w:t>.</w:t>
      </w:r>
      <w:r w:rsidR="00685976">
        <w:rPr>
          <w:rStyle w:val="FootnoteReference"/>
        </w:rPr>
        <w:footnoteReference w:id="55"/>
      </w:r>
      <w:r w:rsidR="0085729F">
        <w:t xml:space="preserve"> She continues </w:t>
      </w:r>
      <w:r w:rsidR="00D93978">
        <w:t>‘</w:t>
      </w:r>
      <w:r w:rsidR="0085729F">
        <w:t xml:space="preserve">fate… is asking her for </w:t>
      </w:r>
      <w:r w:rsidR="00F70C16">
        <w:t>its</w:t>
      </w:r>
      <w:r w:rsidR="0085729F">
        <w:t xml:space="preserve"> own transformation and release</w:t>
      </w:r>
      <w:r w:rsidR="00D93978">
        <w:t>’</w:t>
      </w:r>
      <w:r w:rsidR="0085729F">
        <w:t xml:space="preserve"> which implies that fate has agency. Greene says that there is a </w:t>
      </w:r>
      <w:r w:rsidR="00D93978">
        <w:t>‘</w:t>
      </w:r>
      <w:r w:rsidR="0085729F">
        <w:t>necessity to live in peace with Moira’s allotments</w:t>
      </w:r>
      <w:r w:rsidR="00D93978">
        <w:t>’</w:t>
      </w:r>
      <w:r w:rsidR="0085729F">
        <w:t>.</w:t>
      </w:r>
      <w:r w:rsidR="00685976">
        <w:rPr>
          <w:rStyle w:val="FootnoteReference"/>
        </w:rPr>
        <w:footnoteReference w:id="56"/>
      </w:r>
      <w:r w:rsidR="0085729F">
        <w:t xml:space="preserve"> This latter implies a more Stoic conception of fate as something which cannot change and must simply be accepted. </w:t>
      </w:r>
      <w:r w:rsidR="00480F10">
        <w:t>Green’s theory of fate can therefore be seen perhaps as a blend of psychological or symbolic determinism, also influenced by a Stoic approach as fate as something which must be accepted</w:t>
      </w:r>
      <w:r w:rsidR="005C7260">
        <w:t>.</w:t>
      </w:r>
    </w:p>
    <w:p w14:paraId="67669EFB" w14:textId="77777777" w:rsidR="0085729F" w:rsidRDefault="0085729F" w:rsidP="00DD1D95">
      <w:pPr>
        <w:pStyle w:val="NoSpacing"/>
      </w:pPr>
    </w:p>
    <w:p w14:paraId="538FC526" w14:textId="4719EE0E" w:rsidR="00D47501" w:rsidRDefault="006F4F50" w:rsidP="00AD4FDF">
      <w:pPr>
        <w:pStyle w:val="NoSpacing"/>
        <w:ind w:firstLine="720"/>
      </w:pPr>
      <w:r>
        <w:t xml:space="preserve">Greene’s astrological interpretations reflect the development of her ideas on fate, </w:t>
      </w:r>
      <w:r w:rsidR="00523ED4">
        <w:t xml:space="preserve">giving </w:t>
      </w:r>
      <w:r w:rsidR="00CF2C22">
        <w:t xml:space="preserve">horoscopes as </w:t>
      </w:r>
      <w:r w:rsidR="00523ED4">
        <w:t>examples to show how some of her subjects have variously accepted, been unaware of or worked more consciously with their fate, in some cases using examples from the same family to illustrate these differing responses.</w:t>
      </w:r>
      <w:r w:rsidR="00685976">
        <w:rPr>
          <w:rStyle w:val="FootnoteReference"/>
        </w:rPr>
        <w:footnoteReference w:id="57"/>
      </w:r>
      <w:r w:rsidR="00523ED4">
        <w:t xml:space="preserve"> In including these varied responses to astrological symbolism, she implies that a level of free will is possible, or at least that whilst </w:t>
      </w:r>
      <w:r w:rsidR="00D93978">
        <w:t>‘</w:t>
      </w:r>
      <w:r w:rsidR="00523ED4">
        <w:t>fate may not alter</w:t>
      </w:r>
      <w:r w:rsidR="00715653">
        <w:t xml:space="preserve"> in</w:t>
      </w:r>
      <w:r w:rsidR="00523ED4">
        <w:t xml:space="preserve"> its intrinsic pattern</w:t>
      </w:r>
      <w:r w:rsidR="00715653">
        <w:t>… it may alter in terms of its clothing, its level of expression</w:t>
      </w:r>
      <w:r w:rsidR="00D93978">
        <w:t>’</w:t>
      </w:r>
      <w:r w:rsidR="00685976">
        <w:t>.</w:t>
      </w:r>
      <w:r w:rsidR="00715653">
        <w:rPr>
          <w:rStyle w:val="FootnoteReference"/>
        </w:rPr>
        <w:footnoteReference w:id="58"/>
      </w:r>
      <w:r w:rsidR="00715653">
        <w:t xml:space="preserve"> </w:t>
      </w:r>
      <w:r w:rsidR="00AA0A85">
        <w:t xml:space="preserve">In the later chapters, she takes a more open approach to fate, suggesting that </w:t>
      </w:r>
      <w:r w:rsidR="00D93978">
        <w:t>‘</w:t>
      </w:r>
      <w:r w:rsidR="00AA0A85">
        <w:t>we are not dealing with a ‘causal’ fate which has written everything from the beginning, but rather with a meaningful connection between an inner state and an outer happening</w:t>
      </w:r>
      <w:r w:rsidR="00D93978">
        <w:t>’</w:t>
      </w:r>
      <w:r w:rsidR="00BC70F8">
        <w:t xml:space="preserve"> </w:t>
      </w:r>
      <w:r w:rsidR="00AA0A85">
        <w:t xml:space="preserve">and that </w:t>
      </w:r>
      <w:r w:rsidR="00D93978">
        <w:t>‘</w:t>
      </w:r>
      <w:r w:rsidR="00AA0A85">
        <w:t>if there is any  such thing as a transformation of fate, [it is in] the relationship with the archetypal realm</w:t>
      </w:r>
      <w:r w:rsidR="00D93978">
        <w:t>’</w:t>
      </w:r>
      <w:r w:rsidR="00AA0A85">
        <w:t>.</w:t>
      </w:r>
      <w:r w:rsidR="00BC70F8" w:rsidRPr="00BC70F8">
        <w:rPr>
          <w:rStyle w:val="FootnoteReference"/>
        </w:rPr>
        <w:t xml:space="preserve"> </w:t>
      </w:r>
      <w:r w:rsidR="00BC70F8">
        <w:rPr>
          <w:rStyle w:val="FootnoteReference"/>
        </w:rPr>
        <w:footnoteReference w:id="59"/>
      </w:r>
      <w:r w:rsidR="00BC70F8">
        <w:t xml:space="preserve"> </w:t>
      </w:r>
      <w:r w:rsidR="00AA0A85">
        <w:t>However</w:t>
      </w:r>
      <w:r w:rsidR="00EE471A">
        <w:t>,</w:t>
      </w:r>
      <w:r w:rsidR="00AA0A85">
        <w:t xml:space="preserve"> there is a tone of scepticism in the latter comment especially, and her astrological examples still speak of family fates which cannot be avoided. She explores in some depth the case of David, whose death she sees as</w:t>
      </w:r>
      <w:r w:rsidR="00EE471A">
        <w:t xml:space="preserve"> </w:t>
      </w:r>
      <w:r w:rsidR="00D93978">
        <w:t>‘</w:t>
      </w:r>
      <w:r w:rsidR="00EE471A">
        <w:t>fated</w:t>
      </w:r>
      <w:r w:rsidR="00D93978">
        <w:t>’</w:t>
      </w:r>
      <w:r w:rsidR="00EE471A">
        <w:t xml:space="preserve"> in terms of being a refusal to face inner challenges which may have felt overwhelming. Even her final </w:t>
      </w:r>
      <w:r w:rsidR="00BC70F8">
        <w:t>in-depth</w:t>
      </w:r>
      <w:r w:rsidR="00EE471A">
        <w:t xml:space="preserve"> chart example, specifically chosen as someone who has made </w:t>
      </w:r>
      <w:r w:rsidR="00D93978">
        <w:t>‘</w:t>
      </w:r>
      <w:r w:rsidR="00EE471A">
        <w:t>constructive and creative</w:t>
      </w:r>
      <w:r w:rsidR="00D93978">
        <w:t>’</w:t>
      </w:r>
      <w:r w:rsidR="00EE471A">
        <w:rPr>
          <w:rStyle w:val="FootnoteReference"/>
        </w:rPr>
        <w:footnoteReference w:id="60"/>
      </w:r>
      <w:r w:rsidR="00EE471A">
        <w:t xml:space="preserve"> use of the fate shown in the horoscope, includes references to possible challenges or problems in the family background</w:t>
      </w:r>
      <w:r w:rsidR="00685976">
        <w:t>.</w:t>
      </w:r>
      <w:r w:rsidR="00E43E24">
        <w:rPr>
          <w:rStyle w:val="FootnoteReference"/>
        </w:rPr>
        <w:footnoteReference w:id="61"/>
      </w:r>
      <w:r w:rsidR="00E43E24">
        <w:t xml:space="preserve"> It seems therefore that despite Green</w:t>
      </w:r>
      <w:r w:rsidR="00F70C16">
        <w:t>e’</w:t>
      </w:r>
      <w:r w:rsidR="00E43E24">
        <w:t>s extensive exploration of ideas and theories around fate, her astrology reflects most clearly her original view of fate as</w:t>
      </w:r>
      <w:r w:rsidR="004C5D19">
        <w:t xml:space="preserve"> a deterministic</w:t>
      </w:r>
      <w:r w:rsidR="00E43E24">
        <w:t xml:space="preserve"> Moira</w:t>
      </w:r>
      <w:r w:rsidR="00685976">
        <w:t xml:space="preserve"> or necessity</w:t>
      </w:r>
      <w:r w:rsidR="004C5D19">
        <w:t>.</w:t>
      </w:r>
      <w:r w:rsidR="00685976">
        <w:t xml:space="preserve"> </w:t>
      </w:r>
      <w:r w:rsidR="00D47501">
        <w:t xml:space="preserve">This can be seen as in keeping with psychological astrology more generally, in which, as Willis and Curry have </w:t>
      </w:r>
      <w:r w:rsidR="00BC70F8">
        <w:t>observed</w:t>
      </w:r>
      <w:r w:rsidR="00D47501">
        <w:t xml:space="preserve">, </w:t>
      </w:r>
      <w:r w:rsidR="00D93978">
        <w:t>‘</w:t>
      </w:r>
      <w:r w:rsidR="00D47501">
        <w:t xml:space="preserve">there is still a unidirectional determinism at work, albeit a </w:t>
      </w:r>
      <w:r w:rsidR="00D47501">
        <w:lastRenderedPageBreak/>
        <w:t>subjective/spiritual one</w:t>
      </w:r>
      <w:r w:rsidR="00D93978">
        <w:t>’</w:t>
      </w:r>
      <w:r w:rsidR="00D47501">
        <w:rPr>
          <w:rStyle w:val="FootnoteReference"/>
        </w:rPr>
        <w:footnoteReference w:id="62"/>
      </w:r>
      <w:r w:rsidR="00D47501">
        <w:t xml:space="preserve">. For Greene’s </w:t>
      </w:r>
      <w:r w:rsidR="00A51105">
        <w:t xml:space="preserve">practical as well as theoretical </w:t>
      </w:r>
      <w:r w:rsidR="00D47501">
        <w:t>astrology, the antecedent or determining cause can be seen as the family or ancestral inheritance, which the individual is compelled to respond to / work within</w:t>
      </w:r>
      <w:r w:rsidR="00A51105">
        <w:t>.</w:t>
      </w:r>
    </w:p>
    <w:p w14:paraId="5E487C8C" w14:textId="77777777" w:rsidR="0093392D" w:rsidRDefault="0093392D" w:rsidP="00DD1D95">
      <w:pPr>
        <w:pStyle w:val="NoSpacing"/>
      </w:pPr>
    </w:p>
    <w:p w14:paraId="09BB2C13" w14:textId="41407105" w:rsidR="0093392D" w:rsidRDefault="0093392D" w:rsidP="0093392D">
      <w:pPr>
        <w:pStyle w:val="Heading3"/>
      </w:pPr>
      <w:r>
        <w:t xml:space="preserve">Fate as a </w:t>
      </w:r>
      <w:r w:rsidR="00D93978">
        <w:t>‘</w:t>
      </w:r>
      <w:r>
        <w:t>marker of change</w:t>
      </w:r>
      <w:r w:rsidR="00D93978">
        <w:t>’</w:t>
      </w:r>
      <w:r>
        <w:rPr>
          <w:rStyle w:val="FootnoteReference"/>
        </w:rPr>
        <w:footnoteReference w:id="63"/>
      </w:r>
    </w:p>
    <w:p w14:paraId="2A2C55F0" w14:textId="77777777" w:rsidR="004A4D6F" w:rsidRDefault="004A4D6F" w:rsidP="00DD1D95">
      <w:pPr>
        <w:pStyle w:val="NoSpacing"/>
      </w:pPr>
    </w:p>
    <w:p w14:paraId="27CEF477" w14:textId="6C377639" w:rsidR="00737191" w:rsidRDefault="0069392B" w:rsidP="00AD4FDF">
      <w:pPr>
        <w:pStyle w:val="NoSpacing"/>
        <w:ind w:firstLine="720"/>
      </w:pPr>
      <w:r>
        <w:t>Both astrologers give fate space to evolve, to a greater or lesser extent</w:t>
      </w:r>
      <w:r w:rsidR="005C7260">
        <w:t xml:space="preserve">, </w:t>
      </w:r>
      <w:r w:rsidR="0093392D">
        <w:t>and i</w:t>
      </w:r>
      <w:r>
        <w:t xml:space="preserve">t is important to note that the act of seeking information, for example through an astrology reading, can lead to changes in our actions. As Willis and Curry note, </w:t>
      </w:r>
      <w:r w:rsidR="00D93978">
        <w:t>‘</w:t>
      </w:r>
      <w:r>
        <w:t>the very act of cognizing and recognizing one’s fate changes it…thus every prediction is also necessarily an intervention</w:t>
      </w:r>
      <w:r w:rsidR="00D93978">
        <w:t>’</w:t>
      </w:r>
      <w:r w:rsidR="00D47501">
        <w:rPr>
          <w:rStyle w:val="FootnoteReference"/>
        </w:rPr>
        <w:footnoteReference w:id="64"/>
      </w:r>
      <w:r>
        <w:t xml:space="preserve">. </w:t>
      </w:r>
      <w:r w:rsidR="00737191">
        <w:t>Indeed,</w:t>
      </w:r>
      <w:r>
        <w:t xml:space="preserve"> Hone encourages this, asking in her reports to astrological clients </w:t>
      </w:r>
      <w:r w:rsidR="00D93978">
        <w:t>‘</w:t>
      </w:r>
      <w:r>
        <w:t>What are you going to</w:t>
      </w:r>
      <w:r w:rsidR="00737191">
        <w:t xml:space="preserve"> make of this</w:t>
      </w:r>
      <w:r>
        <w:t>?</w:t>
      </w:r>
      <w:r w:rsidR="00D93978">
        <w:t>’</w:t>
      </w:r>
      <w:r>
        <w:t>.</w:t>
      </w:r>
      <w:r w:rsidR="00737191">
        <w:rPr>
          <w:rStyle w:val="FootnoteReference"/>
        </w:rPr>
        <w:footnoteReference w:id="65"/>
      </w:r>
      <w:r>
        <w:t xml:space="preserve"> The implication here is that this new self knowledge is to be put to use, leading perhaps to a change in actions or responses, suggesting again that the client can exercise free will at least within the constraints of their horoscope. </w:t>
      </w:r>
      <w:r w:rsidR="00737191">
        <w:t>Greene notes that whilst ‘fate may not alter in its intrinsic pattern, [it] may alter… its level of expression’.</w:t>
      </w:r>
      <w:r w:rsidR="00737191">
        <w:rPr>
          <w:rStyle w:val="FootnoteReference"/>
        </w:rPr>
        <w:footnoteReference w:id="66"/>
      </w:r>
      <w:r w:rsidR="00737191">
        <w:t xml:space="preserve"> Again, a level of compatibilism is implied here, in that the symbol or archetype through which fate expressed itself can be changed. </w:t>
      </w:r>
      <w:r w:rsidR="0094750C">
        <w:t>In her astrological interpretation, she gives some examples of symbolism, for example in dreams, manifesting differently as the active process of astrological and psychological analysis unfolds</w:t>
      </w:r>
      <w:r w:rsidR="0094750C">
        <w:rPr>
          <w:rStyle w:val="FootnoteReference"/>
        </w:rPr>
        <w:footnoteReference w:id="67"/>
      </w:r>
      <w:r w:rsidR="0094750C">
        <w:t>, noting that rather than transcending the chart it is possible to ‘become more like [the] horoscope as consciousness of self increases.</w:t>
      </w:r>
      <w:r w:rsidR="0094750C">
        <w:rPr>
          <w:rStyle w:val="FootnoteReference"/>
        </w:rPr>
        <w:footnoteReference w:id="68"/>
      </w:r>
      <w:r w:rsidR="0094750C">
        <w:t xml:space="preserve"> This suggests the </w:t>
      </w:r>
      <w:r w:rsidR="0094750C">
        <w:t>‘fluid, ongoing, intimate, contingent and messy process of negotiation (within limits) with the divine’</w:t>
      </w:r>
      <w:r w:rsidR="0094750C">
        <w:rPr>
          <w:rStyle w:val="FootnoteReference"/>
        </w:rPr>
        <w:footnoteReference w:id="69"/>
      </w:r>
      <w:r w:rsidR="0094750C">
        <w:t xml:space="preserve"> explored by Willis and Curry, a conscious process of working with fate.</w:t>
      </w:r>
    </w:p>
    <w:p w14:paraId="6F687D6E" w14:textId="77777777" w:rsidR="00AF780B" w:rsidRDefault="00AF780B" w:rsidP="00DD1D95">
      <w:pPr>
        <w:pStyle w:val="NoSpacing"/>
      </w:pPr>
    </w:p>
    <w:p w14:paraId="467F365F" w14:textId="47B56A49" w:rsidR="00676BAA" w:rsidRDefault="00676BAA" w:rsidP="00913253">
      <w:pPr>
        <w:pStyle w:val="Heading3"/>
      </w:pPr>
      <w:r>
        <w:t>Conclusion</w:t>
      </w:r>
    </w:p>
    <w:p w14:paraId="5072744E" w14:textId="77777777" w:rsidR="00676BAA" w:rsidRDefault="00676BAA" w:rsidP="0078591B">
      <w:pPr>
        <w:pStyle w:val="NoSpacing"/>
      </w:pPr>
    </w:p>
    <w:p w14:paraId="4D81DFF1" w14:textId="3DE37833" w:rsidR="00676BAA" w:rsidRDefault="005C7260" w:rsidP="00AD4FDF">
      <w:pPr>
        <w:pStyle w:val="NoSpacing"/>
        <w:ind w:firstLine="720"/>
      </w:pPr>
      <w:r>
        <w:t>This essay has explored the approaches to fate</w:t>
      </w:r>
      <w:r w:rsidR="0093392D">
        <w:t>, determinism and free will</w:t>
      </w:r>
      <w:r>
        <w:t xml:space="preserve"> explored by two major twentieth century astrologers, using examples from their work to explore whether their actual delineation of astrological factors backs up their theoretical approach. Concepts of fate and determinism have been explored</w:t>
      </w:r>
      <w:r w:rsidR="00737191">
        <w:t xml:space="preserve"> in terms of developments in ancient Greek philosophies of fate and later definitions of determinism and compatibilism. I</w:t>
      </w:r>
      <w:r>
        <w:t xml:space="preserve">t has been seen that Hone takes a largely Stoic approach, despite hints of Platonic thinking in her explorations of how to work with an astrological chart. </w:t>
      </w:r>
      <w:r w:rsidR="00737191">
        <w:t xml:space="preserve">She refers to correlations between the planets and their symbolic unfolding, drawing on Stoic ideas of sympathy and highlights the importance of acceptance. </w:t>
      </w:r>
      <w:r>
        <w:t xml:space="preserve">Greene, on the other hand, </w:t>
      </w:r>
      <w:r w:rsidR="00737191">
        <w:t xml:space="preserve">rejects Platonic dualism and </w:t>
      </w:r>
      <w:r>
        <w:t xml:space="preserve">explores fate as necessity, taking a psychological and symbolic approach to consider the family or ancestral inheritance as the determining factor in the fate of the individual. </w:t>
      </w:r>
      <w:r w:rsidR="00737191">
        <w:t xml:space="preserve">A more Stoic approach in dealing with this fate is also implied. </w:t>
      </w:r>
      <w:r>
        <w:t xml:space="preserve">Both astrologers offer some leeway for working with the astrological chart as a way of accepting their fate or working consciously to evolve it, backing up </w:t>
      </w:r>
      <w:r w:rsidR="00676BAA">
        <w:t xml:space="preserve">Brady’s comment that </w:t>
      </w:r>
      <w:r w:rsidR="00D93978">
        <w:t>‘</w:t>
      </w:r>
      <w:r w:rsidR="00676BAA">
        <w:t>fate is one of humanity’s great therapeutic philosophies</w:t>
      </w:r>
      <w:r w:rsidR="00D93978">
        <w:t>’</w:t>
      </w:r>
      <w:r>
        <w:t>.</w:t>
      </w:r>
      <w:r w:rsidR="0093392D">
        <w:rPr>
          <w:rStyle w:val="FootnoteReference"/>
        </w:rPr>
        <w:footnoteReference w:id="70"/>
      </w:r>
    </w:p>
    <w:p w14:paraId="7502307C" w14:textId="77777777" w:rsidR="00D35CB2" w:rsidRDefault="00D35CB2" w:rsidP="0078591B">
      <w:pPr>
        <w:pStyle w:val="NoSpacing"/>
      </w:pPr>
    </w:p>
    <w:p w14:paraId="72A430AF" w14:textId="77777777" w:rsidR="00D35CB2" w:rsidRDefault="00D35CB2" w:rsidP="0078591B">
      <w:pPr>
        <w:pStyle w:val="NoSpacing"/>
      </w:pPr>
    </w:p>
    <w:p w14:paraId="51FE2E49" w14:textId="77777777" w:rsidR="00D35CB2" w:rsidRDefault="00D35CB2" w:rsidP="0078591B">
      <w:pPr>
        <w:pStyle w:val="NoSpacing"/>
      </w:pPr>
    </w:p>
    <w:p w14:paraId="51F3EE40" w14:textId="77777777" w:rsidR="00D35CB2" w:rsidRDefault="00D35CB2" w:rsidP="0078591B">
      <w:pPr>
        <w:pStyle w:val="NoSpacing"/>
      </w:pPr>
    </w:p>
    <w:p w14:paraId="48308F6A" w14:textId="69747627" w:rsidR="00D35CB2" w:rsidRDefault="00D35CB2" w:rsidP="00D35CB2">
      <w:pPr>
        <w:pStyle w:val="Heading3"/>
      </w:pPr>
      <w:r>
        <w:t>References</w:t>
      </w:r>
    </w:p>
    <w:p w14:paraId="0A145FEB" w14:textId="77777777" w:rsidR="00D35CB2" w:rsidRDefault="00D35CB2" w:rsidP="0078591B">
      <w:pPr>
        <w:pStyle w:val="NoSpacing"/>
      </w:pPr>
    </w:p>
    <w:p w14:paraId="6D33B259" w14:textId="694F3E5C" w:rsidR="00D35CB2" w:rsidRDefault="0094750C" w:rsidP="0078591B">
      <w:pPr>
        <w:pStyle w:val="NoSpacing"/>
      </w:pPr>
      <w:proofErr w:type="spellStart"/>
      <w:r>
        <w:t>H</w:t>
      </w:r>
      <w:r w:rsidR="00D35CB2">
        <w:t>hhjj</w:t>
      </w:r>
      <w:r>
        <w:t>nnnnn</w:t>
      </w:r>
      <w:proofErr w:type="spellEnd"/>
      <w:r>
        <w:t xml:space="preserve"> </w:t>
      </w:r>
    </w:p>
    <w:sectPr w:rsidR="00D35CB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D1815" w14:textId="77777777" w:rsidR="004F2AB6" w:rsidRDefault="004F2AB6" w:rsidP="002B1142">
      <w:pPr>
        <w:spacing w:after="0" w:line="240" w:lineRule="auto"/>
      </w:pPr>
      <w:r>
        <w:separator/>
      </w:r>
    </w:p>
  </w:endnote>
  <w:endnote w:type="continuationSeparator" w:id="0">
    <w:p w14:paraId="2EA00E67" w14:textId="77777777" w:rsidR="004F2AB6" w:rsidRDefault="004F2AB6" w:rsidP="002B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D27A3" w14:textId="77777777" w:rsidR="004F2AB6" w:rsidRDefault="004F2AB6" w:rsidP="002B1142">
      <w:pPr>
        <w:spacing w:after="0" w:line="240" w:lineRule="auto"/>
      </w:pPr>
      <w:r>
        <w:separator/>
      </w:r>
    </w:p>
  </w:footnote>
  <w:footnote w:type="continuationSeparator" w:id="0">
    <w:p w14:paraId="51BEDD8D" w14:textId="77777777" w:rsidR="004F2AB6" w:rsidRDefault="004F2AB6" w:rsidP="002B1142">
      <w:pPr>
        <w:spacing w:after="0" w:line="240" w:lineRule="auto"/>
      </w:pPr>
      <w:r>
        <w:continuationSeparator/>
      </w:r>
    </w:p>
  </w:footnote>
  <w:footnote w:id="1">
    <w:p w14:paraId="3D907B47" w14:textId="77777777" w:rsidR="002C6963" w:rsidRDefault="002C6963" w:rsidP="002C6963">
      <w:pPr>
        <w:pStyle w:val="FootnoteText"/>
      </w:pPr>
      <w:r>
        <w:rPr>
          <w:rStyle w:val="FootnoteReference"/>
        </w:rPr>
        <w:footnoteRef/>
      </w:r>
      <w:r>
        <w:t xml:space="preserve"> Liz Greene, </w:t>
      </w:r>
      <w:r w:rsidRPr="006E4A3C">
        <w:rPr>
          <w:i/>
          <w:iCs/>
        </w:rPr>
        <w:t>The Astrology of Fate</w:t>
      </w:r>
      <w:r>
        <w:t>, (London; Unwin Hyman), 1984</w:t>
      </w:r>
    </w:p>
  </w:footnote>
  <w:footnote w:id="2">
    <w:p w14:paraId="731476F2" w14:textId="28DE14A7" w:rsidR="006E4A3C" w:rsidRDefault="006E4A3C">
      <w:pPr>
        <w:pStyle w:val="FootnoteText"/>
      </w:pPr>
      <w:r>
        <w:rPr>
          <w:rStyle w:val="FootnoteReference"/>
        </w:rPr>
        <w:footnoteRef/>
      </w:r>
      <w:r>
        <w:t xml:space="preserve"> Margaret Hone, </w:t>
      </w:r>
      <w:r w:rsidRPr="006E4A3C">
        <w:rPr>
          <w:i/>
          <w:iCs/>
        </w:rPr>
        <w:t>The Modern Textbook of Astrology</w:t>
      </w:r>
      <w:r>
        <w:t>, (Romford; L.N. Fowler &amp; Co.), 1978 edition CHECK EDITIONS</w:t>
      </w:r>
      <w:r w:rsidR="006A4F55">
        <w:t xml:space="preserve"> HOW TO REF</w:t>
      </w:r>
    </w:p>
  </w:footnote>
  <w:footnote w:id="3">
    <w:p w14:paraId="4E145B86" w14:textId="230D58DA" w:rsidR="006E4A3C" w:rsidRDefault="006E4A3C">
      <w:pPr>
        <w:pStyle w:val="FootnoteText"/>
      </w:pPr>
      <w:r>
        <w:rPr>
          <w:rStyle w:val="FootnoteReference"/>
        </w:rPr>
        <w:footnoteRef/>
      </w:r>
      <w:r>
        <w:t xml:space="preserve"> Margaret Hone, Applied Astrology, (Romford; L.N. Fowler &amp; Co.), 1979 edition</w:t>
      </w:r>
    </w:p>
  </w:footnote>
  <w:footnote w:id="4">
    <w:p w14:paraId="4A549FA8" w14:textId="77777777" w:rsidR="00DB1C54" w:rsidRDefault="00DB1C54" w:rsidP="00DB1C54">
      <w:pPr>
        <w:pStyle w:val="FootnoteText"/>
      </w:pPr>
      <w:r>
        <w:rPr>
          <w:rStyle w:val="FootnoteReference"/>
        </w:rPr>
        <w:footnoteRef/>
      </w:r>
      <w:r>
        <w:t xml:space="preserve"> Bernard Eccles, </w:t>
      </w:r>
      <w:r w:rsidRPr="00E57063">
        <w:rPr>
          <w:i/>
          <w:iCs/>
        </w:rPr>
        <w:t>Fate, and how to avoid it</w:t>
      </w:r>
      <w:r>
        <w:t xml:space="preserve">, </w:t>
      </w:r>
      <w:hyperlink r:id="rId1" w:history="1">
        <w:r w:rsidRPr="00021BF1">
          <w:rPr>
            <w:rStyle w:val="Hyperlink"/>
          </w:rPr>
          <w:t>https://www.skyscript.co.uk/fate.html</w:t>
        </w:r>
      </w:hyperlink>
      <w:r>
        <w:t xml:space="preserve"> Accessed 10/12/2023</w:t>
      </w:r>
    </w:p>
  </w:footnote>
  <w:footnote w:id="5">
    <w:p w14:paraId="1B7387AA" w14:textId="3210953C" w:rsidR="00DB1C54" w:rsidRDefault="00DB1C54">
      <w:pPr>
        <w:pStyle w:val="FootnoteText"/>
      </w:pPr>
      <w:r>
        <w:rPr>
          <w:rStyle w:val="FootnoteReference"/>
        </w:rPr>
        <w:footnoteRef/>
      </w:r>
      <w:r>
        <w:t xml:space="preserve"> Daryn Lehoux, </w:t>
      </w:r>
      <w:r w:rsidRPr="00DE6D26">
        <w:rPr>
          <w:i/>
          <w:iCs/>
        </w:rPr>
        <w:t>Tomorrow’s New</w:t>
      </w:r>
      <w:r w:rsidR="00DE6D26">
        <w:rPr>
          <w:i/>
          <w:iCs/>
        </w:rPr>
        <w:t>s</w:t>
      </w:r>
      <w:r w:rsidRPr="00DE6D26">
        <w:rPr>
          <w:i/>
          <w:iCs/>
        </w:rPr>
        <w:t xml:space="preserve"> </w:t>
      </w:r>
      <w:r w:rsidR="00DE6D26">
        <w:rPr>
          <w:i/>
          <w:iCs/>
        </w:rPr>
        <w:t>T</w:t>
      </w:r>
      <w:r w:rsidRPr="00DE6D26">
        <w:rPr>
          <w:i/>
          <w:iCs/>
        </w:rPr>
        <w:t>oday: Astrology, Fate and the Way Out</w:t>
      </w:r>
      <w:r>
        <w:t>, Representations, Vol. 95, No. 1 2006, p. 113</w:t>
      </w:r>
    </w:p>
  </w:footnote>
  <w:footnote w:id="6">
    <w:p w14:paraId="19A31E82" w14:textId="47600B6B" w:rsidR="00DE6D26" w:rsidRDefault="00DE6D26" w:rsidP="002C6963">
      <w:pPr>
        <w:pStyle w:val="NoSpacing"/>
      </w:pPr>
      <w:r>
        <w:rPr>
          <w:rStyle w:val="FootnoteReference"/>
        </w:rPr>
        <w:footnoteRef/>
      </w:r>
      <w:r>
        <w:t xml:space="preserve"> </w:t>
      </w:r>
      <w:r w:rsidRPr="00DE6D26">
        <w:rPr>
          <w:sz w:val="20"/>
          <w:szCs w:val="20"/>
          <w:lang w:eastAsia="en-GB"/>
        </w:rPr>
        <w:t xml:space="preserve">Brady, B. (2019). Living with Fate: The Lifestyle of Contemporary Astrologers. </w:t>
      </w:r>
      <w:r w:rsidRPr="00DE6D26">
        <w:rPr>
          <w:i/>
          <w:iCs/>
          <w:sz w:val="20"/>
          <w:szCs w:val="20"/>
          <w:lang w:eastAsia="en-GB"/>
        </w:rPr>
        <w:t>Journal for the Study of Religion, Nature and Culture</w:t>
      </w:r>
      <w:r w:rsidRPr="006A4F55">
        <w:rPr>
          <w:sz w:val="20"/>
          <w:szCs w:val="20"/>
          <w:lang w:eastAsia="en-GB"/>
        </w:rPr>
        <w:t>, 13(</w:t>
      </w:r>
      <w:r w:rsidRPr="00DE6D26">
        <w:rPr>
          <w:sz w:val="20"/>
          <w:szCs w:val="20"/>
          <w:lang w:eastAsia="en-GB"/>
        </w:rPr>
        <w:t>1), p. 34</w:t>
      </w:r>
    </w:p>
  </w:footnote>
  <w:footnote w:id="7">
    <w:p w14:paraId="3198E274" w14:textId="56C7ECD7" w:rsidR="002C6963" w:rsidRDefault="002C6963">
      <w:pPr>
        <w:pStyle w:val="FootnoteText"/>
      </w:pPr>
      <w:r>
        <w:rPr>
          <w:rStyle w:val="FootnoteReference"/>
        </w:rPr>
        <w:footnoteRef/>
      </w:r>
      <w:r>
        <w:t xml:space="preserve"> Campion, Nicholas, ‘</w:t>
      </w:r>
      <w:r w:rsidRPr="002C6963">
        <w:rPr>
          <w:i/>
          <w:iCs/>
        </w:rPr>
        <w:t>Prophecy, Cosmology and the New Age Movement: the extent and nature of contemporary belief in astrology’</w:t>
      </w:r>
      <w:r>
        <w:t xml:space="preserve">, PhD thesis, Bath Spa University/University of the West of England, 2004, </w:t>
      </w:r>
      <w:r w:rsidR="00901115">
        <w:t>p</w:t>
      </w:r>
      <w:r>
        <w:t>. 113</w:t>
      </w:r>
    </w:p>
  </w:footnote>
  <w:footnote w:id="8">
    <w:p w14:paraId="4C9E81DD" w14:textId="4A07DE67" w:rsidR="00C760AB" w:rsidRPr="00C760AB" w:rsidRDefault="00C760AB" w:rsidP="00C760AB">
      <w:pPr>
        <w:pStyle w:val="NoSpacing"/>
        <w:rPr>
          <w:sz w:val="20"/>
          <w:szCs w:val="20"/>
        </w:rPr>
      </w:pPr>
      <w:r>
        <w:rPr>
          <w:rStyle w:val="FootnoteReference"/>
        </w:rPr>
        <w:footnoteRef/>
      </w:r>
      <w:r>
        <w:t xml:space="preserve"> </w:t>
      </w:r>
      <w:r w:rsidRPr="00C760AB">
        <w:rPr>
          <w:sz w:val="20"/>
          <w:szCs w:val="20"/>
        </w:rPr>
        <w:t>Hesiod. </w:t>
      </w:r>
      <w:r w:rsidRPr="00C760AB">
        <w:rPr>
          <w:i/>
          <w:iCs/>
          <w:sz w:val="20"/>
          <w:szCs w:val="20"/>
        </w:rPr>
        <w:t>Theogony. Works and Days. Testimonia</w:t>
      </w:r>
      <w:r w:rsidRPr="00C760AB">
        <w:rPr>
          <w:sz w:val="20"/>
          <w:szCs w:val="20"/>
        </w:rPr>
        <w:t>. Edited and translated by Glenn W. Most. Loeb Classical Library 57. Cambridge, MA: Harvard University Press, 2018</w:t>
      </w:r>
      <w:r>
        <w:rPr>
          <w:sz w:val="20"/>
          <w:szCs w:val="20"/>
        </w:rPr>
        <w:t>, 220</w:t>
      </w:r>
    </w:p>
  </w:footnote>
  <w:footnote w:id="9">
    <w:p w14:paraId="2FA48140" w14:textId="779A1605" w:rsidR="00C760AB" w:rsidRPr="00B45611" w:rsidRDefault="00C760AB" w:rsidP="00C760AB">
      <w:pPr>
        <w:spacing w:after="0" w:line="240" w:lineRule="auto"/>
        <w:rPr>
          <w:rFonts w:ascii="Calibri" w:eastAsia="Times New Roman" w:hAnsi="Calibri" w:cs="Calibri"/>
          <w:kern w:val="0"/>
          <w:sz w:val="20"/>
          <w:szCs w:val="20"/>
          <w:lang w:eastAsia="en-GB"/>
          <w14:ligatures w14:val="none"/>
        </w:rPr>
      </w:pPr>
      <w:r>
        <w:rPr>
          <w:rStyle w:val="FootnoteReference"/>
        </w:rPr>
        <w:footnoteRef/>
      </w:r>
      <w:r>
        <w:t xml:space="preserve"> </w:t>
      </w:r>
      <w:r w:rsidRPr="00DB47EA">
        <w:rPr>
          <w:rFonts w:ascii="Calibri" w:eastAsia="Times New Roman" w:hAnsi="Calibri" w:cs="Calibri"/>
          <w:kern w:val="0"/>
          <w:sz w:val="20"/>
          <w:szCs w:val="20"/>
          <w:lang w:eastAsia="en-GB"/>
          <w14:ligatures w14:val="none"/>
        </w:rPr>
        <w:t xml:space="preserve">Cornford, F. M., and Robert Ackerman. </w:t>
      </w:r>
      <w:r>
        <w:rPr>
          <w:rFonts w:ascii="Calibri" w:eastAsia="Times New Roman" w:hAnsi="Calibri" w:cs="Calibri"/>
          <w:kern w:val="0"/>
          <w:sz w:val="20"/>
          <w:szCs w:val="20"/>
          <w:lang w:eastAsia="en-GB"/>
          <w14:ligatures w14:val="none"/>
        </w:rPr>
        <w:t>‘</w:t>
      </w:r>
      <w:r w:rsidRPr="00DB47EA">
        <w:rPr>
          <w:rFonts w:ascii="Calibri" w:eastAsia="Times New Roman" w:hAnsi="Calibri" w:cs="Calibri"/>
          <w:kern w:val="0"/>
          <w:sz w:val="20"/>
          <w:szCs w:val="20"/>
          <w:lang w:eastAsia="en-GB"/>
          <w14:ligatures w14:val="none"/>
        </w:rPr>
        <w:t xml:space="preserve">The </w:t>
      </w:r>
      <w:r>
        <w:rPr>
          <w:rFonts w:ascii="Calibri" w:eastAsia="Times New Roman" w:hAnsi="Calibri" w:cs="Calibri"/>
          <w:kern w:val="0"/>
          <w:sz w:val="20"/>
          <w:szCs w:val="20"/>
          <w:lang w:eastAsia="en-GB"/>
          <w14:ligatures w14:val="none"/>
        </w:rPr>
        <w:t>O</w:t>
      </w:r>
      <w:r w:rsidRPr="00DB47EA">
        <w:rPr>
          <w:rFonts w:ascii="Calibri" w:eastAsia="Times New Roman" w:hAnsi="Calibri" w:cs="Calibri"/>
          <w:kern w:val="0"/>
          <w:sz w:val="20"/>
          <w:szCs w:val="20"/>
          <w:lang w:eastAsia="en-GB"/>
          <w14:ligatures w14:val="none"/>
        </w:rPr>
        <w:t>rigin of Moira.</w:t>
      </w:r>
      <w:r>
        <w:rPr>
          <w:rFonts w:ascii="Calibri" w:eastAsia="Times New Roman" w:hAnsi="Calibri" w:cs="Calibri"/>
          <w:kern w:val="0"/>
          <w:sz w:val="20"/>
          <w:szCs w:val="20"/>
          <w:lang w:eastAsia="en-GB"/>
          <w14:ligatures w14:val="none"/>
        </w:rPr>
        <w:t>’</w:t>
      </w:r>
      <w:r w:rsidRPr="00DB47EA">
        <w:rPr>
          <w:rFonts w:ascii="Calibri" w:eastAsia="Times New Roman" w:hAnsi="Calibri" w:cs="Calibri"/>
          <w:kern w:val="0"/>
          <w:sz w:val="20"/>
          <w:szCs w:val="20"/>
          <w:lang w:eastAsia="en-GB"/>
          <w14:ligatures w14:val="none"/>
        </w:rPr>
        <w:t xml:space="preserve"> </w:t>
      </w:r>
      <w:r w:rsidRPr="00DB47EA">
        <w:rPr>
          <w:rFonts w:ascii="Calibri" w:eastAsia="Times New Roman" w:hAnsi="Calibri" w:cs="Calibri"/>
          <w:i/>
          <w:iCs/>
          <w:kern w:val="0"/>
          <w:sz w:val="20"/>
          <w:szCs w:val="20"/>
          <w:lang w:eastAsia="en-GB"/>
          <w14:ligatures w14:val="none"/>
        </w:rPr>
        <w:t>From Religion to Philosophy: A Study in the Origins of Western Speculation</w:t>
      </w:r>
      <w:r w:rsidRPr="00DB47EA">
        <w:rPr>
          <w:rFonts w:ascii="Calibri" w:eastAsia="Times New Roman" w:hAnsi="Calibri" w:cs="Calibri"/>
          <w:kern w:val="0"/>
          <w:sz w:val="20"/>
          <w:szCs w:val="20"/>
          <w:lang w:eastAsia="en-GB"/>
          <w14:ligatures w14:val="none"/>
        </w:rPr>
        <w:t xml:space="preserve">, Princeton University Press, 1991, pp. 40 </w:t>
      </w:r>
    </w:p>
  </w:footnote>
  <w:footnote w:id="10">
    <w:p w14:paraId="0BCBAE54" w14:textId="4404EE3B" w:rsidR="000627A1" w:rsidRPr="000627A1" w:rsidRDefault="000627A1" w:rsidP="000627A1">
      <w:pPr>
        <w:spacing w:after="0" w:line="240" w:lineRule="auto"/>
        <w:rPr>
          <w:rFonts w:ascii="Calibri" w:eastAsia="Times New Roman" w:hAnsi="Calibri" w:cs="Calibri"/>
          <w:kern w:val="0"/>
          <w:sz w:val="20"/>
          <w:szCs w:val="20"/>
          <w:lang w:eastAsia="en-GB"/>
          <w14:ligatures w14:val="none"/>
        </w:rPr>
      </w:pPr>
      <w:r>
        <w:rPr>
          <w:rStyle w:val="FootnoteReference"/>
        </w:rPr>
        <w:footnoteRef/>
      </w:r>
      <w:r>
        <w:t xml:space="preserve"> </w:t>
      </w:r>
      <w:r w:rsidRPr="00DB47EA">
        <w:rPr>
          <w:rFonts w:ascii="Calibri" w:eastAsia="Times New Roman" w:hAnsi="Calibri" w:cs="Calibri"/>
          <w:kern w:val="0"/>
          <w:sz w:val="20"/>
          <w:szCs w:val="20"/>
          <w:lang w:eastAsia="en-GB"/>
          <w14:ligatures w14:val="none"/>
        </w:rPr>
        <w:t xml:space="preserve">Cornford, F. M., and Robert Ackerman. </w:t>
      </w:r>
      <w:r>
        <w:rPr>
          <w:rFonts w:ascii="Calibri" w:eastAsia="Times New Roman" w:hAnsi="Calibri" w:cs="Calibri"/>
          <w:kern w:val="0"/>
          <w:sz w:val="20"/>
          <w:szCs w:val="20"/>
          <w:lang w:eastAsia="en-GB"/>
          <w14:ligatures w14:val="none"/>
        </w:rPr>
        <w:t>‘</w:t>
      </w:r>
      <w:r w:rsidRPr="00DB47EA">
        <w:rPr>
          <w:rFonts w:ascii="Calibri" w:eastAsia="Times New Roman" w:hAnsi="Calibri" w:cs="Calibri"/>
          <w:kern w:val="0"/>
          <w:sz w:val="20"/>
          <w:szCs w:val="20"/>
          <w:lang w:eastAsia="en-GB"/>
          <w14:ligatures w14:val="none"/>
        </w:rPr>
        <w:t xml:space="preserve">The </w:t>
      </w:r>
      <w:r>
        <w:rPr>
          <w:rFonts w:ascii="Calibri" w:eastAsia="Times New Roman" w:hAnsi="Calibri" w:cs="Calibri"/>
          <w:kern w:val="0"/>
          <w:sz w:val="20"/>
          <w:szCs w:val="20"/>
          <w:lang w:eastAsia="en-GB"/>
          <w14:ligatures w14:val="none"/>
        </w:rPr>
        <w:t>O</w:t>
      </w:r>
      <w:r w:rsidRPr="00DB47EA">
        <w:rPr>
          <w:rFonts w:ascii="Calibri" w:eastAsia="Times New Roman" w:hAnsi="Calibri" w:cs="Calibri"/>
          <w:kern w:val="0"/>
          <w:sz w:val="20"/>
          <w:szCs w:val="20"/>
          <w:lang w:eastAsia="en-GB"/>
          <w14:ligatures w14:val="none"/>
        </w:rPr>
        <w:t>rigin of Moira.</w:t>
      </w:r>
      <w:r>
        <w:rPr>
          <w:rFonts w:ascii="Calibri" w:eastAsia="Times New Roman" w:hAnsi="Calibri" w:cs="Calibri"/>
          <w:kern w:val="0"/>
          <w:sz w:val="20"/>
          <w:szCs w:val="20"/>
          <w:lang w:eastAsia="en-GB"/>
          <w14:ligatures w14:val="none"/>
        </w:rPr>
        <w:t>’</w:t>
      </w:r>
      <w:r w:rsidRPr="00DB47EA">
        <w:rPr>
          <w:rFonts w:ascii="Calibri" w:eastAsia="Times New Roman" w:hAnsi="Calibri" w:cs="Calibri"/>
          <w:kern w:val="0"/>
          <w:sz w:val="20"/>
          <w:szCs w:val="20"/>
          <w:lang w:eastAsia="en-GB"/>
          <w14:ligatures w14:val="none"/>
        </w:rPr>
        <w:t xml:space="preserve"> </w:t>
      </w:r>
      <w:r w:rsidRPr="00DB47EA">
        <w:rPr>
          <w:rFonts w:ascii="Calibri" w:eastAsia="Times New Roman" w:hAnsi="Calibri" w:cs="Calibri"/>
          <w:i/>
          <w:iCs/>
          <w:kern w:val="0"/>
          <w:sz w:val="20"/>
          <w:szCs w:val="20"/>
          <w:lang w:eastAsia="en-GB"/>
          <w14:ligatures w14:val="none"/>
        </w:rPr>
        <w:t>From Religion to Philosophy: A Study in the Origins of Western Speculation</w:t>
      </w:r>
      <w:r w:rsidRPr="00DB47EA">
        <w:rPr>
          <w:rFonts w:ascii="Calibri" w:eastAsia="Times New Roman" w:hAnsi="Calibri" w:cs="Calibri"/>
          <w:kern w:val="0"/>
          <w:sz w:val="20"/>
          <w:szCs w:val="20"/>
          <w:lang w:eastAsia="en-GB"/>
          <w14:ligatures w14:val="none"/>
        </w:rPr>
        <w:t xml:space="preserve">, Princeton University Press, 1991, pp. 40 </w:t>
      </w:r>
    </w:p>
  </w:footnote>
  <w:footnote w:id="11">
    <w:p w14:paraId="3F260224" w14:textId="2AE1AC28" w:rsidR="000B1AE1" w:rsidRDefault="000B1AE1">
      <w:pPr>
        <w:pStyle w:val="FootnoteText"/>
      </w:pPr>
      <w:r>
        <w:rPr>
          <w:rStyle w:val="FootnoteReference"/>
        </w:rPr>
        <w:footnoteRef/>
      </w:r>
      <w:r>
        <w:t xml:space="preserve"> Plato, The Republic, 1955 2007 edition Penguin books London 615d p.362</w:t>
      </w:r>
    </w:p>
  </w:footnote>
  <w:footnote w:id="12">
    <w:p w14:paraId="4ABFDED4" w14:textId="21774339" w:rsidR="000B1AE1" w:rsidRDefault="000B1AE1">
      <w:pPr>
        <w:pStyle w:val="FootnoteText"/>
      </w:pPr>
      <w:r>
        <w:rPr>
          <w:rStyle w:val="FootnoteReference"/>
        </w:rPr>
        <w:footnoteRef/>
      </w:r>
      <w:r>
        <w:t xml:space="preserve"> </w:t>
      </w:r>
      <w:r>
        <w:t>Plato, The Republic, 1955</w:t>
      </w:r>
      <w:r>
        <w:t xml:space="preserve"> 617c p. 368</w:t>
      </w:r>
    </w:p>
  </w:footnote>
  <w:footnote w:id="13">
    <w:p w14:paraId="680AEC56" w14:textId="0C7EA8FC" w:rsidR="007627E5" w:rsidRDefault="007627E5">
      <w:pPr>
        <w:pStyle w:val="FootnoteText"/>
      </w:pPr>
      <w:r>
        <w:rPr>
          <w:rStyle w:val="FootnoteReference"/>
        </w:rPr>
        <w:footnoteRef/>
      </w:r>
      <w:r>
        <w:t xml:space="preserve"> </w:t>
      </w:r>
      <w:r>
        <w:t xml:space="preserve">Bernadette Brady, </w:t>
      </w:r>
      <w:r w:rsidRPr="00AC2350">
        <w:rPr>
          <w:i/>
          <w:iCs/>
        </w:rPr>
        <w:t>Some philosophical roots of determinism in astrology</w:t>
      </w:r>
      <w:r>
        <w:t xml:space="preserve">, Paper presented at Bath Spa University Graduate School seminar 18 February 2008 </w:t>
      </w:r>
      <w:r>
        <w:t xml:space="preserve">p. 9 </w:t>
      </w:r>
      <w:hyperlink r:id="rId2" w:history="1">
        <w:r w:rsidRPr="00B6153C">
          <w:rPr>
            <w:rStyle w:val="Hyperlink"/>
          </w:rPr>
          <w:t>https://www.academia.edu/2068087/Some_Philosophical_Roots_of_Determinism_in_Astrology</w:t>
        </w:r>
      </w:hyperlink>
      <w:r>
        <w:t xml:space="preserve"> Accessed 17/12/2023</w:t>
      </w:r>
    </w:p>
  </w:footnote>
  <w:footnote w:id="14">
    <w:p w14:paraId="3C3C12F2" w14:textId="77777777" w:rsidR="00E07158" w:rsidRPr="001C247E" w:rsidRDefault="00E07158" w:rsidP="00E07158">
      <w:pPr>
        <w:pStyle w:val="NoSpacing"/>
        <w:rPr>
          <w:sz w:val="20"/>
          <w:szCs w:val="20"/>
        </w:rPr>
      </w:pPr>
      <w:r>
        <w:rPr>
          <w:rStyle w:val="FootnoteReference"/>
        </w:rPr>
        <w:footnoteRef/>
      </w:r>
      <w:r>
        <w:t xml:space="preserve"> </w:t>
      </w:r>
      <w:r w:rsidRPr="001C247E">
        <w:rPr>
          <w:sz w:val="20"/>
          <w:szCs w:val="20"/>
        </w:rPr>
        <w:t>Susanne Bobzien, Determinism and Fate (Oxford; Oxford University Press) 2001</w:t>
      </w:r>
      <w:r>
        <w:rPr>
          <w:sz w:val="20"/>
          <w:szCs w:val="20"/>
        </w:rPr>
        <w:t>, p. 3</w:t>
      </w:r>
    </w:p>
    <w:p w14:paraId="67AFAF18" w14:textId="77777777" w:rsidR="00E07158" w:rsidRDefault="00000000" w:rsidP="00E07158">
      <w:pPr>
        <w:pStyle w:val="NoSpacing"/>
      </w:pPr>
      <w:hyperlink r:id="rId3" w:history="1">
        <w:r w:rsidR="00E07158" w:rsidRPr="00021BF1">
          <w:rPr>
            <w:rStyle w:val="Hyperlink"/>
            <w:sz w:val="20"/>
            <w:szCs w:val="20"/>
          </w:rPr>
          <w:t>https://doi.org/10.1093/0199247676.003.0002</w:t>
        </w:r>
      </w:hyperlink>
      <w:r w:rsidR="00E07158">
        <w:rPr>
          <w:sz w:val="20"/>
          <w:szCs w:val="20"/>
        </w:rPr>
        <w:t xml:space="preserve"> Accessed 11/12/2023</w:t>
      </w:r>
    </w:p>
  </w:footnote>
  <w:footnote w:id="15">
    <w:p w14:paraId="59DD1C1C" w14:textId="77777777" w:rsidR="00E07158" w:rsidRDefault="00E07158" w:rsidP="00E07158">
      <w:pPr>
        <w:pStyle w:val="FootnoteText"/>
      </w:pPr>
      <w:r>
        <w:rPr>
          <w:rStyle w:val="FootnoteReference"/>
        </w:rPr>
        <w:footnoteRef/>
      </w:r>
      <w:r>
        <w:t xml:space="preserve"> </w:t>
      </w:r>
      <w:r w:rsidRPr="001C247E">
        <w:rPr>
          <w:rStyle w:val="label"/>
          <w:rFonts w:cstheme="minorHAnsi"/>
          <w:bdr w:val="none" w:sz="0" w:space="0" w:color="auto" w:frame="1"/>
        </w:rPr>
        <w:t>IV-20]</w:t>
      </w:r>
      <w:r w:rsidRPr="001C247E">
        <w:rPr>
          <w:rFonts w:cstheme="minorHAnsi"/>
        </w:rPr>
        <w:t> Seneca </w:t>
      </w:r>
      <w:r w:rsidRPr="001C247E">
        <w:rPr>
          <w:rStyle w:val="Emphasis"/>
          <w:rFonts w:cstheme="minorHAnsi"/>
          <w:bdr w:val="none" w:sz="0" w:space="0" w:color="auto" w:frame="1"/>
        </w:rPr>
        <w:t>Natural Questions</w:t>
      </w:r>
      <w:r w:rsidRPr="001C247E">
        <w:rPr>
          <w:rFonts w:cstheme="minorHAnsi"/>
        </w:rPr>
        <w:t> p.36 FIND FULL REF LOEB</w:t>
      </w:r>
    </w:p>
  </w:footnote>
  <w:footnote w:id="16">
    <w:p w14:paraId="128C49B2" w14:textId="77777777" w:rsidR="00E07158" w:rsidRDefault="00E07158" w:rsidP="00E07158">
      <w:pPr>
        <w:pStyle w:val="FootnoteText"/>
      </w:pPr>
      <w:r>
        <w:rPr>
          <w:rStyle w:val="FootnoteReference"/>
        </w:rPr>
        <w:footnoteRef/>
      </w:r>
      <w:r>
        <w:t xml:space="preserve"> Epictetus Discourses book 1, p. 11 </w:t>
      </w:r>
      <w:r w:rsidRPr="001C247E">
        <w:rPr>
          <w:rFonts w:cstheme="minorHAnsi"/>
        </w:rPr>
        <w:t>FIND FULL REF LOEB</w:t>
      </w:r>
    </w:p>
  </w:footnote>
  <w:footnote w:id="17">
    <w:p w14:paraId="68A250DB" w14:textId="77777777" w:rsidR="000D6479" w:rsidRDefault="000D6479" w:rsidP="000D6479">
      <w:pPr>
        <w:pStyle w:val="NoSpacing"/>
      </w:pPr>
      <w:r>
        <w:rPr>
          <w:rStyle w:val="FootnoteReference"/>
        </w:rPr>
        <w:footnoteRef/>
      </w:r>
      <w:r>
        <w:t xml:space="preserve"> </w:t>
      </w:r>
      <w:r w:rsidRPr="004C00A4">
        <w:rPr>
          <w:sz w:val="20"/>
          <w:szCs w:val="20"/>
        </w:rPr>
        <w:t xml:space="preserve">Suzanne Bobzien, </w:t>
      </w:r>
      <w:r w:rsidRPr="004C00A4">
        <w:rPr>
          <w:i/>
          <w:iCs/>
          <w:sz w:val="20"/>
          <w:szCs w:val="20"/>
          <w:lang w:eastAsia="en-GB"/>
        </w:rPr>
        <w:t>Determinism and Freedom in Stoic Philosophy</w:t>
      </w:r>
      <w:r w:rsidRPr="004C00A4">
        <w:rPr>
          <w:sz w:val="20"/>
          <w:szCs w:val="20"/>
          <w:lang w:eastAsia="en-GB"/>
        </w:rPr>
        <w:t>. (2001).</w:t>
      </w:r>
      <w:r>
        <w:rPr>
          <w:sz w:val="20"/>
          <w:szCs w:val="20"/>
          <w:lang w:eastAsia="en-GB"/>
        </w:rPr>
        <w:t xml:space="preserve"> (Oxford; </w:t>
      </w:r>
      <w:r w:rsidRPr="004C00A4">
        <w:rPr>
          <w:sz w:val="20"/>
          <w:szCs w:val="20"/>
          <w:lang w:eastAsia="en-GB"/>
        </w:rPr>
        <w:t>Oxford University Press</w:t>
      </w:r>
      <w:r>
        <w:rPr>
          <w:sz w:val="20"/>
          <w:szCs w:val="20"/>
          <w:lang w:eastAsia="en-GB"/>
        </w:rPr>
        <w:t>) p. 16</w:t>
      </w:r>
      <w:r w:rsidRPr="004C00A4">
        <w:rPr>
          <w:sz w:val="20"/>
          <w:szCs w:val="20"/>
          <w:lang w:eastAsia="en-GB"/>
        </w:rPr>
        <w:t>https://doi.org/10.1093/0199247676.001.0001</w:t>
      </w:r>
    </w:p>
  </w:footnote>
  <w:footnote w:id="18">
    <w:p w14:paraId="2AF3FE3E" w14:textId="77777777" w:rsidR="00E07158" w:rsidRDefault="00E07158" w:rsidP="00E07158">
      <w:pPr>
        <w:pStyle w:val="FootnoteText"/>
      </w:pPr>
      <w:r>
        <w:rPr>
          <w:rStyle w:val="FootnoteReference"/>
        </w:rPr>
        <w:footnoteRef/>
      </w:r>
      <w:r>
        <w:t xml:space="preserve"> Bernadette Brady, </w:t>
      </w:r>
      <w:r w:rsidRPr="00AC2350">
        <w:rPr>
          <w:i/>
          <w:iCs/>
        </w:rPr>
        <w:t>Some philosophical roots of determinism in astrology</w:t>
      </w:r>
      <w:r>
        <w:t xml:space="preserve">, Paper presented at Bath Spa University Graduate School seminar 18 February 2008 </w:t>
      </w:r>
      <w:hyperlink r:id="rId4" w:history="1">
        <w:r w:rsidRPr="00BF586B">
          <w:rPr>
            <w:rStyle w:val="Hyperlink"/>
          </w:rPr>
          <w:t>https://www.academia.edu/2068087/Some_Philosophical_Roots_of_Determinism_in_Astrology</w:t>
        </w:r>
      </w:hyperlink>
      <w:r>
        <w:t xml:space="preserve"> Accessed 17/12/2023</w:t>
      </w:r>
    </w:p>
  </w:footnote>
  <w:footnote w:id="19">
    <w:p w14:paraId="6828690F" w14:textId="37290D21" w:rsidR="004714CF" w:rsidRPr="004714CF" w:rsidRDefault="004714CF" w:rsidP="004714CF">
      <w:pPr>
        <w:pStyle w:val="NoSpacing"/>
        <w:rPr>
          <w:sz w:val="20"/>
          <w:szCs w:val="20"/>
          <w:lang w:eastAsia="en-GB"/>
        </w:rPr>
      </w:pPr>
      <w:r>
        <w:rPr>
          <w:rStyle w:val="FootnoteReference"/>
        </w:rPr>
        <w:footnoteRef/>
      </w:r>
      <w:r>
        <w:t xml:space="preserve"> </w:t>
      </w:r>
      <w:r w:rsidRPr="004714CF">
        <w:rPr>
          <w:sz w:val="20"/>
          <w:szCs w:val="20"/>
          <w:lang w:eastAsia="en-GB"/>
        </w:rPr>
        <w:t>J</w:t>
      </w:r>
      <w:r w:rsidR="00AD4FDF" w:rsidRPr="004714CF">
        <w:rPr>
          <w:sz w:val="20"/>
          <w:szCs w:val="20"/>
          <w:lang w:eastAsia="en-GB"/>
        </w:rPr>
        <w:t>ustin</w:t>
      </w:r>
      <w:r w:rsidRPr="004714CF">
        <w:rPr>
          <w:sz w:val="20"/>
          <w:szCs w:val="20"/>
          <w:lang w:eastAsia="en-GB"/>
        </w:rPr>
        <w:t xml:space="preserve"> A.</w:t>
      </w:r>
      <w:r w:rsidR="00AD4FDF">
        <w:rPr>
          <w:sz w:val="20"/>
          <w:szCs w:val="20"/>
          <w:lang w:eastAsia="en-GB"/>
        </w:rPr>
        <w:t xml:space="preserve"> </w:t>
      </w:r>
      <w:r w:rsidR="00AD4FDF" w:rsidRPr="004714CF">
        <w:rPr>
          <w:sz w:val="20"/>
          <w:szCs w:val="20"/>
          <w:lang w:eastAsia="en-GB"/>
        </w:rPr>
        <w:t>C</w:t>
      </w:r>
      <w:r w:rsidR="00AD4FDF" w:rsidRPr="004714CF">
        <w:rPr>
          <w:sz w:val="20"/>
          <w:szCs w:val="20"/>
          <w:lang w:eastAsia="en-GB"/>
        </w:rPr>
        <w:t>apes</w:t>
      </w:r>
      <w:r w:rsidR="00AD4FDF" w:rsidRPr="004714CF">
        <w:rPr>
          <w:sz w:val="20"/>
          <w:szCs w:val="20"/>
          <w:lang w:eastAsia="en-GB"/>
        </w:rPr>
        <w:t>,</w:t>
      </w:r>
      <w:r w:rsidRPr="004714CF">
        <w:rPr>
          <w:sz w:val="20"/>
          <w:szCs w:val="20"/>
          <w:lang w:eastAsia="en-GB"/>
        </w:rPr>
        <w:t xml:space="preserve"> </w:t>
      </w:r>
      <w:r w:rsidR="00D93978">
        <w:rPr>
          <w:sz w:val="20"/>
          <w:szCs w:val="20"/>
          <w:lang w:eastAsia="en-GB"/>
        </w:rPr>
        <w:t>‘</w:t>
      </w:r>
      <w:r w:rsidRPr="004714CF">
        <w:rPr>
          <w:sz w:val="20"/>
          <w:szCs w:val="20"/>
          <w:lang w:eastAsia="en-GB"/>
        </w:rPr>
        <w:t>Mitigating Soft Compatibilism.</w:t>
      </w:r>
      <w:r w:rsidR="00D93978">
        <w:rPr>
          <w:sz w:val="20"/>
          <w:szCs w:val="20"/>
          <w:lang w:eastAsia="en-GB"/>
        </w:rPr>
        <w:t>’</w:t>
      </w:r>
      <w:r w:rsidRPr="004714CF">
        <w:rPr>
          <w:sz w:val="20"/>
          <w:szCs w:val="20"/>
          <w:lang w:eastAsia="en-GB"/>
        </w:rPr>
        <w:t xml:space="preserve"> </w:t>
      </w:r>
      <w:r w:rsidRPr="004714CF">
        <w:rPr>
          <w:i/>
          <w:iCs/>
          <w:sz w:val="20"/>
          <w:szCs w:val="20"/>
          <w:lang w:eastAsia="en-GB"/>
        </w:rPr>
        <w:t>Philosophy and Phenomenological Research</w:t>
      </w:r>
      <w:r w:rsidRPr="004714CF">
        <w:rPr>
          <w:sz w:val="20"/>
          <w:szCs w:val="20"/>
          <w:lang w:eastAsia="en-GB"/>
        </w:rPr>
        <w:t>, vol. 87, no. 3, 2013, p. 640</w:t>
      </w:r>
    </w:p>
  </w:footnote>
  <w:footnote w:id="20">
    <w:p w14:paraId="4059405F" w14:textId="10A8F616" w:rsidR="002A0601" w:rsidRPr="002A0601" w:rsidRDefault="002A0601">
      <w:pPr>
        <w:pStyle w:val="FootnoteText"/>
        <w:rPr>
          <w:rFonts w:ascii="Calibri" w:hAnsi="Calibri" w:cs="Calibri"/>
        </w:rPr>
      </w:pPr>
      <w:r>
        <w:rPr>
          <w:rStyle w:val="FootnoteReference"/>
        </w:rPr>
        <w:footnoteRef/>
      </w:r>
      <w:r>
        <w:t xml:space="preserve"> </w:t>
      </w:r>
      <w:r w:rsidRPr="002A0601">
        <w:rPr>
          <w:rFonts w:ascii="Calibri" w:hAnsi="Calibri" w:cs="Calibri"/>
          <w:shd w:val="clear" w:color="auto" w:fill="FFFFFF"/>
        </w:rPr>
        <w:t>Nicholas Campio</w:t>
      </w:r>
      <w:r>
        <w:rPr>
          <w:rFonts w:ascii="Calibri" w:hAnsi="Calibri" w:cs="Calibri"/>
          <w:shd w:val="clear" w:color="auto" w:fill="FFFFFF"/>
        </w:rPr>
        <w:t>n, A History of Western Astrology Volume 1, (Bloomsbury</w:t>
      </w:r>
      <w:r w:rsidR="00E07158">
        <w:rPr>
          <w:rFonts w:ascii="Calibri" w:hAnsi="Calibri" w:cs="Calibri"/>
          <w:shd w:val="clear" w:color="auto" w:fill="FFFFFF"/>
        </w:rPr>
        <w:t>;</w:t>
      </w:r>
      <w:r>
        <w:rPr>
          <w:rFonts w:ascii="Calibri" w:hAnsi="Calibri" w:cs="Calibri"/>
          <w:shd w:val="clear" w:color="auto" w:fill="FFFFFF"/>
        </w:rPr>
        <w:t xml:space="preserve"> London) 2008, p. xi </w:t>
      </w:r>
    </w:p>
  </w:footnote>
  <w:footnote w:id="21">
    <w:p w14:paraId="1E86E483" w14:textId="4A916539" w:rsidR="00E57063" w:rsidRDefault="00E57063">
      <w:pPr>
        <w:pStyle w:val="FootnoteText"/>
      </w:pPr>
      <w:r>
        <w:rPr>
          <w:rStyle w:val="FootnoteReference"/>
        </w:rPr>
        <w:footnoteRef/>
      </w:r>
      <w:r>
        <w:t xml:space="preserve"> Bernard Eccles, </w:t>
      </w:r>
      <w:r w:rsidRPr="00E57063">
        <w:rPr>
          <w:i/>
          <w:iCs/>
        </w:rPr>
        <w:t>Fate, and how to avoid it</w:t>
      </w:r>
      <w:r>
        <w:t xml:space="preserve">, </w:t>
      </w:r>
      <w:hyperlink r:id="rId5" w:history="1">
        <w:r w:rsidRPr="00021BF1">
          <w:rPr>
            <w:rStyle w:val="Hyperlink"/>
          </w:rPr>
          <w:t>https://www.skyscript.co.uk/fate.html</w:t>
        </w:r>
      </w:hyperlink>
      <w:r>
        <w:t xml:space="preserve"> Accessed 10/12/2023</w:t>
      </w:r>
    </w:p>
  </w:footnote>
  <w:footnote w:id="22">
    <w:p w14:paraId="47889FC6" w14:textId="1F1368B4" w:rsidR="0010066E" w:rsidRDefault="0010066E">
      <w:pPr>
        <w:pStyle w:val="FootnoteText"/>
      </w:pPr>
      <w:r>
        <w:rPr>
          <w:rStyle w:val="FootnoteReference"/>
        </w:rPr>
        <w:footnoteRef/>
      </w:r>
      <w:r>
        <w:t xml:space="preserve"> Garry Phillipson, Astrology in the Year Zero, (London; Flare Publications) 2000, p. 53</w:t>
      </w:r>
    </w:p>
  </w:footnote>
  <w:footnote w:id="23">
    <w:p w14:paraId="54279D91" w14:textId="2D89B228" w:rsidR="00A41976" w:rsidRDefault="00A41976">
      <w:pPr>
        <w:pStyle w:val="FootnoteText"/>
      </w:pPr>
      <w:r>
        <w:rPr>
          <w:rStyle w:val="FootnoteReference"/>
        </w:rPr>
        <w:footnoteRef/>
      </w:r>
      <w:r>
        <w:t xml:space="preserve"> Roy Willis and Patrick Curry, </w:t>
      </w:r>
      <w:r w:rsidRPr="00523ED4">
        <w:rPr>
          <w:i/>
          <w:iCs/>
        </w:rPr>
        <w:t>Astrology, Science and Culture: Pulling down the Moon</w:t>
      </w:r>
      <w:r>
        <w:t>, p.76</w:t>
      </w:r>
    </w:p>
  </w:footnote>
  <w:footnote w:id="24">
    <w:p w14:paraId="6EC01401" w14:textId="42A56D38" w:rsidR="00244473" w:rsidRDefault="00244473">
      <w:pPr>
        <w:pStyle w:val="FootnoteText"/>
      </w:pPr>
      <w:r>
        <w:rPr>
          <w:rStyle w:val="FootnoteReference"/>
        </w:rPr>
        <w:footnoteRef/>
      </w:r>
      <w:r>
        <w:t xml:space="preserve"> Liz Greene, </w:t>
      </w:r>
      <w:r w:rsidRPr="00244473">
        <w:rPr>
          <w:i/>
          <w:iCs/>
        </w:rPr>
        <w:t>The Astrology of Fate</w:t>
      </w:r>
      <w:r>
        <w:t xml:space="preserve">, </w:t>
      </w:r>
    </w:p>
  </w:footnote>
  <w:footnote w:id="25">
    <w:p w14:paraId="116CA79D" w14:textId="53F1B741" w:rsidR="00063B12" w:rsidRDefault="00063B12">
      <w:pPr>
        <w:pStyle w:val="FootnoteText"/>
      </w:pPr>
      <w:r>
        <w:rPr>
          <w:rStyle w:val="FootnoteReference"/>
        </w:rPr>
        <w:footnoteRef/>
      </w:r>
      <w:r>
        <w:t xml:space="preserve"> Margaret Hone, The Modern Textbook of Astrology, p. xi</w:t>
      </w:r>
    </w:p>
  </w:footnote>
  <w:footnote w:id="26">
    <w:p w14:paraId="0EB4DEC4" w14:textId="1826D065" w:rsidR="002B1142" w:rsidRDefault="002B1142">
      <w:pPr>
        <w:pStyle w:val="FootnoteText"/>
      </w:pPr>
      <w:r>
        <w:rPr>
          <w:rStyle w:val="FootnoteReference"/>
        </w:rPr>
        <w:footnoteRef/>
      </w:r>
      <w:r>
        <w:t xml:space="preserve"> Margaret Hone, The Modern Textbook of Astrology, p.16</w:t>
      </w:r>
    </w:p>
  </w:footnote>
  <w:footnote w:id="27">
    <w:p w14:paraId="524E4127" w14:textId="0323FB18" w:rsidR="009E4BD1" w:rsidRPr="009E4BD1" w:rsidRDefault="009E4BD1" w:rsidP="009E4BD1">
      <w:pPr>
        <w:pStyle w:val="NoSpacing"/>
        <w:rPr>
          <w:sz w:val="20"/>
          <w:szCs w:val="20"/>
          <w:lang w:eastAsia="en-GB"/>
        </w:rPr>
      </w:pPr>
      <w:r>
        <w:rPr>
          <w:rStyle w:val="FootnoteReference"/>
        </w:rPr>
        <w:footnoteRef/>
      </w:r>
      <w:r>
        <w:t xml:space="preserve"> </w:t>
      </w:r>
      <w:r w:rsidRPr="009E4BD1">
        <w:rPr>
          <w:sz w:val="20"/>
          <w:szCs w:val="20"/>
          <w:lang w:eastAsia="en-GB"/>
        </w:rPr>
        <w:t xml:space="preserve">Tamsyn Barton, (1994). </w:t>
      </w:r>
      <w:r w:rsidRPr="009E4BD1">
        <w:rPr>
          <w:i/>
          <w:iCs/>
          <w:sz w:val="20"/>
          <w:szCs w:val="20"/>
          <w:lang w:eastAsia="en-GB"/>
        </w:rPr>
        <w:t>Ancient astrology</w:t>
      </w:r>
      <w:r w:rsidRPr="009E4BD1">
        <w:rPr>
          <w:sz w:val="20"/>
          <w:szCs w:val="20"/>
          <w:lang w:eastAsia="en-GB"/>
        </w:rPr>
        <w:t xml:space="preserve">. Routledge </w:t>
      </w:r>
      <w:r>
        <w:rPr>
          <w:sz w:val="20"/>
          <w:szCs w:val="20"/>
          <w:lang w:eastAsia="en-GB"/>
        </w:rPr>
        <w:t>p</w:t>
      </w:r>
      <w:r w:rsidRPr="009E4BD1">
        <w:rPr>
          <w:sz w:val="20"/>
          <w:szCs w:val="20"/>
          <w:lang w:eastAsia="en-GB"/>
        </w:rPr>
        <w:t>.</w:t>
      </w:r>
      <w:r>
        <w:rPr>
          <w:sz w:val="20"/>
          <w:szCs w:val="20"/>
          <w:lang w:eastAsia="en-GB"/>
        </w:rPr>
        <w:t xml:space="preserve"> </w:t>
      </w:r>
      <w:r w:rsidRPr="009E4BD1">
        <w:rPr>
          <w:sz w:val="20"/>
          <w:szCs w:val="20"/>
          <w:lang w:eastAsia="en-GB"/>
        </w:rPr>
        <w:t>104</w:t>
      </w:r>
    </w:p>
  </w:footnote>
  <w:footnote w:id="28">
    <w:p w14:paraId="5E581AC6" w14:textId="355DFE20" w:rsidR="00D93978" w:rsidRDefault="00D93978">
      <w:pPr>
        <w:pStyle w:val="FootnoteText"/>
      </w:pPr>
      <w:r>
        <w:rPr>
          <w:rStyle w:val="FootnoteReference"/>
        </w:rPr>
        <w:footnoteRef/>
      </w:r>
      <w:r>
        <w:t xml:space="preserve"> Margaret Hone, The Modern Textbook of Astrology, p.16</w:t>
      </w:r>
    </w:p>
  </w:footnote>
  <w:footnote w:id="29">
    <w:p w14:paraId="29A14787" w14:textId="3A4F8C93" w:rsidR="00D93978" w:rsidRDefault="00D93978">
      <w:pPr>
        <w:pStyle w:val="FootnoteText"/>
      </w:pPr>
      <w:r>
        <w:rPr>
          <w:rStyle w:val="FootnoteReference"/>
        </w:rPr>
        <w:footnoteRef/>
      </w:r>
      <w:r>
        <w:t xml:space="preserve"> Margaret Hone, The Modern Textbook of Astrology, p.16</w:t>
      </w:r>
    </w:p>
  </w:footnote>
  <w:footnote w:id="30">
    <w:p w14:paraId="3A214D6D" w14:textId="38ADAEF3" w:rsidR="00E57063" w:rsidRPr="00646506" w:rsidRDefault="00E57063" w:rsidP="00E57063">
      <w:pPr>
        <w:pStyle w:val="Heading3"/>
        <w:shd w:val="clear" w:color="auto" w:fill="FFFFFF"/>
        <w:spacing w:before="0"/>
        <w:textAlignment w:val="baseline"/>
        <w:rPr>
          <w:rFonts w:asciiTheme="minorHAnsi" w:hAnsiTheme="minorHAnsi" w:cstheme="minorHAnsi"/>
          <w:color w:val="333333"/>
          <w:sz w:val="20"/>
          <w:szCs w:val="20"/>
        </w:rPr>
      </w:pPr>
      <w:r w:rsidRPr="00646506">
        <w:rPr>
          <w:rStyle w:val="FootnoteReference"/>
          <w:rFonts w:asciiTheme="minorHAnsi" w:hAnsiTheme="minorHAnsi" w:cstheme="minorHAnsi"/>
          <w:sz w:val="20"/>
          <w:szCs w:val="20"/>
        </w:rPr>
        <w:footnoteRef/>
      </w:r>
      <w:r w:rsidRPr="00646506">
        <w:rPr>
          <w:rFonts w:asciiTheme="minorHAnsi" w:hAnsiTheme="minorHAnsi" w:cstheme="minorHAnsi"/>
          <w:sz w:val="20"/>
          <w:szCs w:val="20"/>
        </w:rPr>
        <w:t xml:space="preserve"> </w:t>
      </w:r>
      <w:r w:rsidRPr="00646506">
        <w:rPr>
          <w:rStyle w:val="label"/>
          <w:rFonts w:asciiTheme="minorHAnsi" w:hAnsiTheme="minorHAnsi" w:cstheme="minorHAnsi"/>
          <w:color w:val="333333"/>
          <w:sz w:val="20"/>
          <w:szCs w:val="20"/>
          <w:bdr w:val="none" w:sz="0" w:space="0" w:color="auto" w:frame="1"/>
        </w:rPr>
        <w:t>[</w:t>
      </w:r>
      <w:r w:rsidRPr="00646506">
        <w:rPr>
          <w:rStyle w:val="label"/>
          <w:rFonts w:asciiTheme="minorHAnsi" w:hAnsiTheme="minorHAnsi" w:cstheme="minorHAnsi"/>
          <w:color w:val="auto"/>
          <w:sz w:val="20"/>
          <w:szCs w:val="20"/>
          <w:bdr w:val="none" w:sz="0" w:space="0" w:color="auto" w:frame="1"/>
        </w:rPr>
        <w:t>VI-45]</w:t>
      </w:r>
      <w:r w:rsidRPr="00646506">
        <w:rPr>
          <w:rFonts w:asciiTheme="minorHAnsi" w:hAnsiTheme="minorHAnsi" w:cstheme="minorHAnsi"/>
          <w:color w:val="auto"/>
          <w:sz w:val="20"/>
          <w:szCs w:val="20"/>
        </w:rPr>
        <w:t> Alexander of Aphrodisias </w:t>
      </w:r>
      <w:r w:rsidRPr="00646506">
        <w:rPr>
          <w:rStyle w:val="Emphasis"/>
          <w:rFonts w:asciiTheme="minorHAnsi" w:hAnsiTheme="minorHAnsi" w:cstheme="minorHAnsi"/>
          <w:color w:val="auto"/>
          <w:sz w:val="20"/>
          <w:szCs w:val="20"/>
          <w:bdr w:val="none" w:sz="0" w:space="0" w:color="auto" w:frame="1"/>
        </w:rPr>
        <w:t>On Fate</w:t>
      </w:r>
      <w:r w:rsidRPr="00646506">
        <w:rPr>
          <w:rFonts w:asciiTheme="minorHAnsi" w:hAnsiTheme="minorHAnsi" w:cstheme="minorHAnsi"/>
          <w:color w:val="auto"/>
          <w:sz w:val="20"/>
          <w:szCs w:val="20"/>
        </w:rPr>
        <w:t> 191.26–193.1 GET PROPER REF OR INWOOD</w:t>
      </w:r>
    </w:p>
  </w:footnote>
  <w:footnote w:id="31">
    <w:p w14:paraId="095EDADA" w14:textId="77777777" w:rsidR="00CF2C22" w:rsidRDefault="00CF2C22" w:rsidP="00CF2C22">
      <w:pPr>
        <w:pStyle w:val="FootnoteText"/>
      </w:pPr>
      <w:r>
        <w:rPr>
          <w:rStyle w:val="FootnoteReference"/>
        </w:rPr>
        <w:footnoteRef/>
      </w:r>
      <w:r>
        <w:t xml:space="preserve"> Margaret Hone, The Modern Textbook of Astrology, p.17</w:t>
      </w:r>
    </w:p>
  </w:footnote>
  <w:footnote w:id="32">
    <w:p w14:paraId="6CE2C679" w14:textId="45EB4573" w:rsidR="005D2262" w:rsidRDefault="005D2262">
      <w:pPr>
        <w:pStyle w:val="FootnoteText"/>
      </w:pPr>
      <w:r>
        <w:rPr>
          <w:rStyle w:val="FootnoteReference"/>
        </w:rPr>
        <w:footnoteRef/>
      </w:r>
      <w:r>
        <w:t xml:space="preserve"> Margaret Hone, The Modern Textbook of Astrology, p.17</w:t>
      </w:r>
    </w:p>
  </w:footnote>
  <w:footnote w:id="33">
    <w:p w14:paraId="52BF5795" w14:textId="14F3E4DA" w:rsidR="00F91CF3" w:rsidRDefault="00F91CF3">
      <w:pPr>
        <w:pStyle w:val="FootnoteText"/>
      </w:pPr>
      <w:r>
        <w:rPr>
          <w:rStyle w:val="FootnoteReference"/>
        </w:rPr>
        <w:footnoteRef/>
      </w:r>
      <w:r>
        <w:t xml:space="preserve"> Margaret Hone, The Modern Textbook of Astrology, p.17 CHECK IF CAN USE IBID.</w:t>
      </w:r>
    </w:p>
  </w:footnote>
  <w:footnote w:id="34">
    <w:p w14:paraId="25BA1A68" w14:textId="57FE8DF7" w:rsidR="00646506" w:rsidRDefault="00646506">
      <w:pPr>
        <w:pStyle w:val="FootnoteText"/>
      </w:pPr>
      <w:r>
        <w:rPr>
          <w:rStyle w:val="FootnoteReference"/>
        </w:rPr>
        <w:footnoteRef/>
      </w:r>
      <w:r>
        <w:t xml:space="preserve"> Margaret Hone, The Modern Textbook of Astrology, p.</w:t>
      </w:r>
      <w:r w:rsidR="00CF2C22">
        <w:t xml:space="preserve"> </w:t>
      </w:r>
      <w:r>
        <w:t>19</w:t>
      </w:r>
    </w:p>
  </w:footnote>
  <w:footnote w:id="35">
    <w:p w14:paraId="06933C56" w14:textId="55CA968D" w:rsidR="00CF2C22" w:rsidRDefault="00CF2C22">
      <w:pPr>
        <w:pStyle w:val="FootnoteText"/>
      </w:pPr>
      <w:r>
        <w:rPr>
          <w:rStyle w:val="FootnoteReference"/>
        </w:rPr>
        <w:footnoteRef/>
      </w:r>
      <w:r>
        <w:t xml:space="preserve"> Margaret Hone, The Modern Textbook of Astrology, p. 55</w:t>
      </w:r>
    </w:p>
  </w:footnote>
  <w:footnote w:id="36">
    <w:p w14:paraId="2F4CEAA3" w14:textId="1F12D2B4" w:rsidR="00AF780B" w:rsidRDefault="00AF780B">
      <w:pPr>
        <w:pStyle w:val="FootnoteText"/>
      </w:pPr>
      <w:r>
        <w:rPr>
          <w:rStyle w:val="FootnoteReference"/>
        </w:rPr>
        <w:footnoteRef/>
      </w:r>
      <w:r>
        <w:t xml:space="preserve"> Margaret Hone, The Modern Textbook of Astrology, p.243</w:t>
      </w:r>
    </w:p>
  </w:footnote>
  <w:footnote w:id="37">
    <w:p w14:paraId="28F89EC3" w14:textId="05ECF5CD" w:rsidR="004B442F" w:rsidRPr="00CF2C22" w:rsidRDefault="004B442F" w:rsidP="00CF2C22">
      <w:pPr>
        <w:pStyle w:val="NoSpacing"/>
        <w:rPr>
          <w:sz w:val="20"/>
          <w:szCs w:val="20"/>
        </w:rPr>
      </w:pPr>
      <w:r>
        <w:rPr>
          <w:rStyle w:val="FootnoteReference"/>
        </w:rPr>
        <w:footnoteRef/>
      </w:r>
      <w:r>
        <w:t xml:space="preserve"> </w:t>
      </w:r>
      <w:r w:rsidRPr="004B442F">
        <w:rPr>
          <w:rStyle w:val="label"/>
          <w:rFonts w:cstheme="minorHAnsi"/>
          <w:sz w:val="20"/>
          <w:szCs w:val="20"/>
          <w:bdr w:val="none" w:sz="0" w:space="0" w:color="auto" w:frame="1"/>
        </w:rPr>
        <w:t>[VI-44]</w:t>
      </w:r>
      <w:r w:rsidRPr="004B442F">
        <w:rPr>
          <w:rFonts w:cstheme="minorHAnsi"/>
          <w:sz w:val="20"/>
          <w:szCs w:val="20"/>
        </w:rPr>
        <w:t> </w:t>
      </w:r>
      <w:proofErr w:type="spellStart"/>
      <w:r w:rsidRPr="004B442F">
        <w:rPr>
          <w:rFonts w:cstheme="minorHAnsi"/>
          <w:sz w:val="20"/>
          <w:szCs w:val="20"/>
        </w:rPr>
        <w:t>Nemesius</w:t>
      </w:r>
      <w:proofErr w:type="spellEnd"/>
      <w:r w:rsidRPr="004B442F">
        <w:rPr>
          <w:rFonts w:cstheme="minorHAnsi"/>
          <w:sz w:val="20"/>
          <w:szCs w:val="20"/>
        </w:rPr>
        <w:t> </w:t>
      </w:r>
      <w:r w:rsidRPr="004B442F">
        <w:rPr>
          <w:rStyle w:val="Emphasis"/>
          <w:rFonts w:cstheme="minorHAnsi"/>
          <w:sz w:val="20"/>
          <w:szCs w:val="20"/>
          <w:bdr w:val="none" w:sz="0" w:space="0" w:color="auto" w:frame="1"/>
        </w:rPr>
        <w:t>On the Nature of Man</w:t>
      </w:r>
      <w:r w:rsidRPr="004B442F">
        <w:rPr>
          <w:rFonts w:cstheme="minorHAnsi"/>
          <w:sz w:val="20"/>
          <w:szCs w:val="20"/>
        </w:rPr>
        <w:t> 35</w:t>
      </w:r>
      <w:r w:rsidR="00CF2C22">
        <w:rPr>
          <w:rFonts w:cstheme="minorHAnsi"/>
          <w:sz w:val="20"/>
          <w:szCs w:val="20"/>
        </w:rPr>
        <w:t xml:space="preserve">, quoted in </w:t>
      </w:r>
      <w:r w:rsidR="00CF2C22" w:rsidRPr="00CF2C22">
        <w:rPr>
          <w:sz w:val="20"/>
          <w:szCs w:val="20"/>
          <w:shd w:val="clear" w:color="auto" w:fill="FFFFFF"/>
        </w:rPr>
        <w:t>Inwood B. </w:t>
      </w:r>
      <w:r w:rsidR="00CF2C22" w:rsidRPr="00CF2C22">
        <w:rPr>
          <w:sz w:val="20"/>
          <w:szCs w:val="20"/>
          <w:bdr w:val="none" w:sz="0" w:space="0" w:color="auto" w:frame="1"/>
          <w:shd w:val="clear" w:color="auto" w:fill="FFFFFF"/>
        </w:rPr>
        <w:t>Later Stoicism 155 BC to AD 200: An Introduction and Collection of Sources in Translation</w:t>
      </w:r>
      <w:r w:rsidR="00CF2C22" w:rsidRPr="00CF2C22">
        <w:rPr>
          <w:sz w:val="20"/>
          <w:szCs w:val="20"/>
          <w:shd w:val="clear" w:color="auto" w:fill="FFFFFF"/>
        </w:rPr>
        <w:t>. Cambridge: Cambridge University Press; 2022.</w:t>
      </w:r>
    </w:p>
  </w:footnote>
  <w:footnote w:id="38">
    <w:p w14:paraId="0A0A1F91" w14:textId="1F325064" w:rsidR="00DA7F00" w:rsidRDefault="00DA7F00">
      <w:pPr>
        <w:pStyle w:val="FootnoteText"/>
      </w:pPr>
      <w:r>
        <w:rPr>
          <w:rStyle w:val="FootnoteReference"/>
        </w:rPr>
        <w:footnoteRef/>
      </w:r>
      <w:r>
        <w:t xml:space="preserve"> Jung quoted without reference, Margaret Hone, The Modern Textbook of Astrology, p.302</w:t>
      </w:r>
      <w:r w:rsidR="006B31E7">
        <w:t xml:space="preserve"> ADD JUNG REF</w:t>
      </w:r>
    </w:p>
  </w:footnote>
  <w:footnote w:id="39">
    <w:p w14:paraId="5C2DA37A" w14:textId="04EF021C" w:rsidR="00DA7F00" w:rsidRDefault="00DA7F00">
      <w:pPr>
        <w:pStyle w:val="FootnoteText"/>
      </w:pPr>
      <w:r>
        <w:rPr>
          <w:rStyle w:val="FootnoteReference"/>
        </w:rPr>
        <w:footnoteRef/>
      </w:r>
      <w:r>
        <w:t xml:space="preserve"> Margaret Hone, </w:t>
      </w:r>
      <w:r w:rsidRPr="004A4D6F">
        <w:rPr>
          <w:i/>
          <w:iCs/>
        </w:rPr>
        <w:t>The Modern Textbook of Astrology</w:t>
      </w:r>
      <w:r>
        <w:t>, p.302</w:t>
      </w:r>
    </w:p>
  </w:footnote>
  <w:footnote w:id="40">
    <w:p w14:paraId="173A9E75" w14:textId="4BECDAAB" w:rsidR="00646506" w:rsidRDefault="00646506">
      <w:pPr>
        <w:pStyle w:val="FootnoteText"/>
      </w:pPr>
      <w:r>
        <w:rPr>
          <w:rStyle w:val="FootnoteReference"/>
        </w:rPr>
        <w:footnoteRef/>
      </w:r>
      <w:r>
        <w:t xml:space="preserve"> Garry Phillipson, Astrology in the Year Zero, (London; Flare Publications) 2000, p. 94</w:t>
      </w:r>
    </w:p>
  </w:footnote>
  <w:footnote w:id="41">
    <w:p w14:paraId="64B4A001" w14:textId="1B5E9AEC" w:rsidR="00646506" w:rsidRDefault="00646506">
      <w:pPr>
        <w:pStyle w:val="FootnoteText"/>
      </w:pPr>
      <w:r>
        <w:rPr>
          <w:rStyle w:val="FootnoteReference"/>
        </w:rPr>
        <w:footnoteRef/>
      </w:r>
      <w:r>
        <w:t xml:space="preserve"> Margaret Hone, </w:t>
      </w:r>
      <w:r w:rsidRPr="00B307E1">
        <w:rPr>
          <w:i/>
          <w:iCs/>
        </w:rPr>
        <w:t>Applied Astrology</w:t>
      </w:r>
      <w:r>
        <w:t>, p. 30</w:t>
      </w:r>
    </w:p>
  </w:footnote>
  <w:footnote w:id="42">
    <w:p w14:paraId="2BA0B01C" w14:textId="37069976" w:rsidR="00B307E1" w:rsidRDefault="00B307E1">
      <w:pPr>
        <w:pStyle w:val="FootnoteText"/>
      </w:pPr>
      <w:r>
        <w:rPr>
          <w:rStyle w:val="FootnoteReference"/>
        </w:rPr>
        <w:footnoteRef/>
      </w:r>
      <w:r>
        <w:t xml:space="preserve"> Margaret Hone, </w:t>
      </w:r>
      <w:r w:rsidRPr="00B307E1">
        <w:rPr>
          <w:i/>
          <w:iCs/>
        </w:rPr>
        <w:t>Applied Astrology</w:t>
      </w:r>
      <w:r>
        <w:t>, p. 34</w:t>
      </w:r>
    </w:p>
  </w:footnote>
  <w:footnote w:id="43">
    <w:p w14:paraId="73D422C3" w14:textId="402CAC00" w:rsidR="00746719" w:rsidRDefault="00746719">
      <w:pPr>
        <w:pStyle w:val="FootnoteText"/>
      </w:pPr>
      <w:r>
        <w:rPr>
          <w:rStyle w:val="FootnoteReference"/>
        </w:rPr>
        <w:footnoteRef/>
      </w:r>
      <w:r>
        <w:t xml:space="preserve"> Margaret Hone, </w:t>
      </w:r>
      <w:r w:rsidRPr="00B307E1">
        <w:rPr>
          <w:i/>
          <w:iCs/>
        </w:rPr>
        <w:t>Applied Astrology</w:t>
      </w:r>
      <w:r>
        <w:t>, p. 76</w:t>
      </w:r>
    </w:p>
  </w:footnote>
  <w:footnote w:id="44">
    <w:p w14:paraId="0B645CA8" w14:textId="788B053B" w:rsidR="00CB1B93" w:rsidRDefault="00CB1B93">
      <w:pPr>
        <w:pStyle w:val="FootnoteText"/>
      </w:pPr>
      <w:r>
        <w:rPr>
          <w:rStyle w:val="FootnoteReference"/>
        </w:rPr>
        <w:footnoteRef/>
      </w:r>
      <w:r>
        <w:t xml:space="preserve"> Liz Green</w:t>
      </w:r>
      <w:r w:rsidR="008C02E1">
        <w:t>e</w:t>
      </w:r>
      <w:r>
        <w:t>, The Astrology of Fate, p. 5</w:t>
      </w:r>
    </w:p>
  </w:footnote>
  <w:footnote w:id="45">
    <w:p w14:paraId="1538DD0F" w14:textId="3EE81493" w:rsidR="008C02E1" w:rsidRDefault="008C02E1">
      <w:pPr>
        <w:pStyle w:val="FootnoteText"/>
      </w:pPr>
      <w:r>
        <w:rPr>
          <w:rStyle w:val="FootnoteReference"/>
        </w:rPr>
        <w:footnoteRef/>
      </w:r>
      <w:r>
        <w:t xml:space="preserve"> Liz Greene, The Astrology of Fate, p. 123</w:t>
      </w:r>
    </w:p>
  </w:footnote>
  <w:footnote w:id="46">
    <w:p w14:paraId="5103B4EE" w14:textId="77777777" w:rsidR="00480F10" w:rsidRDefault="00480F10" w:rsidP="00480F10">
      <w:pPr>
        <w:pStyle w:val="FootnoteText"/>
      </w:pPr>
      <w:r>
        <w:rPr>
          <w:rStyle w:val="FootnoteReference"/>
        </w:rPr>
        <w:footnoteRef/>
      </w:r>
      <w:r>
        <w:t xml:space="preserve"> Liz Greene, </w:t>
      </w:r>
      <w:r w:rsidRPr="00CB2A1B">
        <w:rPr>
          <w:i/>
          <w:iCs/>
        </w:rPr>
        <w:t>The Astrology of Fate</w:t>
      </w:r>
      <w:r>
        <w:t>, p. 154</w:t>
      </w:r>
    </w:p>
  </w:footnote>
  <w:footnote w:id="47">
    <w:p w14:paraId="2688B97C" w14:textId="4FF3F448" w:rsidR="00D66606" w:rsidRDefault="00D66606">
      <w:pPr>
        <w:pStyle w:val="FootnoteText"/>
      </w:pPr>
      <w:r>
        <w:rPr>
          <w:rStyle w:val="FootnoteReference"/>
        </w:rPr>
        <w:footnoteRef/>
      </w:r>
      <w:r>
        <w:t xml:space="preserve"> Roy Willis and Patrick Curry, </w:t>
      </w:r>
      <w:r w:rsidRPr="004A4D6F">
        <w:rPr>
          <w:i/>
          <w:iCs/>
        </w:rPr>
        <w:t>Astrology, Science and Culture</w:t>
      </w:r>
      <w:r w:rsidRPr="004A4D6F">
        <w:t>, p.74</w:t>
      </w:r>
    </w:p>
  </w:footnote>
  <w:footnote w:id="48">
    <w:p w14:paraId="57ED417E" w14:textId="609CB53F" w:rsidR="00901115" w:rsidRDefault="00901115">
      <w:pPr>
        <w:pStyle w:val="FootnoteText"/>
      </w:pPr>
      <w:r>
        <w:rPr>
          <w:rStyle w:val="FootnoteReference"/>
        </w:rPr>
        <w:footnoteRef/>
      </w:r>
      <w:r>
        <w:t xml:space="preserve"> </w:t>
      </w:r>
      <w:r>
        <w:t>Campion, Nicholas, ‘</w:t>
      </w:r>
      <w:r w:rsidRPr="002C6963">
        <w:rPr>
          <w:i/>
          <w:iCs/>
        </w:rPr>
        <w:t>Prophecy, Cosmology and the New Age Movement: the extent and nature of contemporary belief in astrology’</w:t>
      </w:r>
      <w:r>
        <w:t>, PhD thesis, Bath Spa University/University of the West of England, 2004, p. 1</w:t>
      </w:r>
      <w:r>
        <w:t>09</w:t>
      </w:r>
    </w:p>
  </w:footnote>
  <w:footnote w:id="49">
    <w:p w14:paraId="4CE23766" w14:textId="12F653ED" w:rsidR="0085729F" w:rsidRDefault="0085729F">
      <w:pPr>
        <w:pStyle w:val="FootnoteText"/>
      </w:pPr>
      <w:r>
        <w:rPr>
          <w:rStyle w:val="FootnoteReference"/>
        </w:rPr>
        <w:footnoteRef/>
      </w:r>
      <w:r>
        <w:t xml:space="preserve"> Liz Greene, </w:t>
      </w:r>
      <w:r w:rsidRPr="00CB2A1B">
        <w:rPr>
          <w:i/>
          <w:iCs/>
        </w:rPr>
        <w:t>The Astrology of Fate</w:t>
      </w:r>
      <w:r>
        <w:t>, p. 19</w:t>
      </w:r>
    </w:p>
  </w:footnote>
  <w:footnote w:id="50">
    <w:p w14:paraId="30DA64CF" w14:textId="6A8446EB" w:rsidR="00B45611" w:rsidRDefault="00B45611">
      <w:pPr>
        <w:pStyle w:val="FootnoteText"/>
      </w:pPr>
      <w:r>
        <w:rPr>
          <w:rStyle w:val="FootnoteReference"/>
        </w:rPr>
        <w:footnoteRef/>
      </w:r>
      <w:r>
        <w:t xml:space="preserve"> Liz Greene, </w:t>
      </w:r>
      <w:r w:rsidRPr="00CB2A1B">
        <w:rPr>
          <w:i/>
          <w:iCs/>
        </w:rPr>
        <w:t>The Astrology of Fate</w:t>
      </w:r>
      <w:r>
        <w:t>, p. 20</w:t>
      </w:r>
    </w:p>
  </w:footnote>
  <w:footnote w:id="51">
    <w:p w14:paraId="4AE88E94" w14:textId="351D6AA1" w:rsidR="00E44EC0" w:rsidRDefault="00E44EC0">
      <w:pPr>
        <w:pStyle w:val="FootnoteText"/>
      </w:pPr>
      <w:r>
        <w:rPr>
          <w:rStyle w:val="FootnoteReference"/>
        </w:rPr>
        <w:footnoteRef/>
      </w:r>
      <w:r>
        <w:t xml:space="preserve"> Liz Greene, </w:t>
      </w:r>
      <w:r w:rsidRPr="00CB2A1B">
        <w:rPr>
          <w:i/>
          <w:iCs/>
        </w:rPr>
        <w:t>The Astrology of Fate</w:t>
      </w:r>
      <w:r>
        <w:t>, p. 50</w:t>
      </w:r>
    </w:p>
  </w:footnote>
  <w:footnote w:id="52">
    <w:p w14:paraId="33219F0B" w14:textId="0DEDA999" w:rsidR="00B45611" w:rsidRDefault="00B45611">
      <w:pPr>
        <w:pStyle w:val="FootnoteText"/>
      </w:pPr>
      <w:r>
        <w:rPr>
          <w:rStyle w:val="FootnoteReference"/>
        </w:rPr>
        <w:footnoteRef/>
      </w:r>
      <w:r>
        <w:t xml:space="preserve"> Liz Greene, </w:t>
      </w:r>
      <w:r w:rsidRPr="00CB2A1B">
        <w:rPr>
          <w:i/>
          <w:iCs/>
        </w:rPr>
        <w:t>The Astrology of Fate</w:t>
      </w:r>
      <w:r>
        <w:t>, p. 54</w:t>
      </w:r>
    </w:p>
  </w:footnote>
  <w:footnote w:id="53">
    <w:p w14:paraId="65A7AB1E" w14:textId="2715855F" w:rsidR="00CB2A1B" w:rsidRDefault="00CB2A1B">
      <w:pPr>
        <w:pStyle w:val="FootnoteText"/>
      </w:pPr>
      <w:r>
        <w:rPr>
          <w:rStyle w:val="FootnoteReference"/>
        </w:rPr>
        <w:footnoteRef/>
      </w:r>
      <w:r>
        <w:t xml:space="preserve"> Liz Greene, </w:t>
      </w:r>
      <w:r w:rsidRPr="00CB2A1B">
        <w:rPr>
          <w:i/>
          <w:iCs/>
        </w:rPr>
        <w:t>The Astrology of Fate</w:t>
      </w:r>
      <w:r>
        <w:t>, p. 75</w:t>
      </w:r>
    </w:p>
  </w:footnote>
  <w:footnote w:id="54">
    <w:p w14:paraId="0341EE2F" w14:textId="6641D08B" w:rsidR="00CB2A1B" w:rsidRDefault="00CB2A1B">
      <w:pPr>
        <w:pStyle w:val="FootnoteText"/>
      </w:pPr>
      <w:r>
        <w:rPr>
          <w:rStyle w:val="FootnoteReference"/>
        </w:rPr>
        <w:footnoteRef/>
      </w:r>
      <w:r>
        <w:t xml:space="preserve"> Liz Greene, </w:t>
      </w:r>
      <w:r w:rsidRPr="00CB2A1B">
        <w:rPr>
          <w:i/>
          <w:iCs/>
        </w:rPr>
        <w:t>The Astrology of Fate</w:t>
      </w:r>
      <w:r>
        <w:t>, p. 77</w:t>
      </w:r>
    </w:p>
  </w:footnote>
  <w:footnote w:id="55">
    <w:p w14:paraId="4BEECD30" w14:textId="48683A4B" w:rsidR="00685976" w:rsidRDefault="00685976">
      <w:pPr>
        <w:pStyle w:val="FootnoteText"/>
      </w:pPr>
      <w:r>
        <w:rPr>
          <w:rStyle w:val="FootnoteReference"/>
        </w:rPr>
        <w:footnoteRef/>
      </w:r>
      <w:r>
        <w:t xml:space="preserve"> </w:t>
      </w:r>
      <w:r>
        <w:t xml:space="preserve">Liz Greene, </w:t>
      </w:r>
      <w:r w:rsidRPr="00CB2A1B">
        <w:rPr>
          <w:i/>
          <w:iCs/>
        </w:rPr>
        <w:t>The Astrology of Fate</w:t>
      </w:r>
      <w:r>
        <w:t xml:space="preserve">, p. </w:t>
      </w:r>
      <w:r>
        <w:t>83</w:t>
      </w:r>
    </w:p>
  </w:footnote>
  <w:footnote w:id="56">
    <w:p w14:paraId="70F65E4A" w14:textId="2ED914B6" w:rsidR="00685976" w:rsidRDefault="00685976">
      <w:pPr>
        <w:pStyle w:val="FootnoteText"/>
      </w:pPr>
      <w:r>
        <w:rPr>
          <w:rStyle w:val="FootnoteReference"/>
        </w:rPr>
        <w:footnoteRef/>
      </w:r>
      <w:r>
        <w:t xml:space="preserve"> </w:t>
      </w:r>
      <w:r>
        <w:t xml:space="preserve">Liz Greene, </w:t>
      </w:r>
      <w:r w:rsidRPr="00CB2A1B">
        <w:rPr>
          <w:i/>
          <w:iCs/>
        </w:rPr>
        <w:t>The Astrology of Fate</w:t>
      </w:r>
      <w:r>
        <w:t>, p. 8</w:t>
      </w:r>
      <w:r>
        <w:t>5</w:t>
      </w:r>
    </w:p>
  </w:footnote>
  <w:footnote w:id="57">
    <w:p w14:paraId="7F2A8872" w14:textId="7AD5609E" w:rsidR="00685976" w:rsidRDefault="00685976">
      <w:pPr>
        <w:pStyle w:val="FootnoteText"/>
      </w:pPr>
      <w:r>
        <w:rPr>
          <w:rStyle w:val="FootnoteReference"/>
        </w:rPr>
        <w:footnoteRef/>
      </w:r>
      <w:r>
        <w:t xml:space="preserve"> </w:t>
      </w:r>
      <w:r>
        <w:t xml:space="preserve">Liz Greene, </w:t>
      </w:r>
      <w:r w:rsidRPr="00CB2A1B">
        <w:rPr>
          <w:i/>
          <w:iCs/>
        </w:rPr>
        <w:t>The Astrology of Fate</w:t>
      </w:r>
      <w:r>
        <w:t xml:space="preserve">, p. </w:t>
      </w:r>
      <w:r>
        <w:t>108</w:t>
      </w:r>
    </w:p>
  </w:footnote>
  <w:footnote w:id="58">
    <w:p w14:paraId="56464B71" w14:textId="0F15A529" w:rsidR="00715653" w:rsidRDefault="00715653">
      <w:pPr>
        <w:pStyle w:val="FootnoteText"/>
      </w:pPr>
      <w:r>
        <w:rPr>
          <w:rStyle w:val="FootnoteReference"/>
        </w:rPr>
        <w:footnoteRef/>
      </w:r>
      <w:r>
        <w:t xml:space="preserve"> Liz Greene, </w:t>
      </w:r>
      <w:r w:rsidRPr="00CB2A1B">
        <w:rPr>
          <w:i/>
          <w:iCs/>
        </w:rPr>
        <w:t>The Astrology of Fate</w:t>
      </w:r>
      <w:r>
        <w:t>, p. 153</w:t>
      </w:r>
    </w:p>
  </w:footnote>
  <w:footnote w:id="59">
    <w:p w14:paraId="15AFA6DA" w14:textId="77777777" w:rsidR="00BC70F8" w:rsidRDefault="00BC70F8" w:rsidP="00BC70F8">
      <w:pPr>
        <w:pStyle w:val="FootnoteText"/>
      </w:pPr>
      <w:r>
        <w:rPr>
          <w:rStyle w:val="FootnoteReference"/>
        </w:rPr>
        <w:footnoteRef/>
      </w:r>
      <w:r>
        <w:t xml:space="preserve"> Liz Greene, </w:t>
      </w:r>
      <w:r w:rsidRPr="00CB2A1B">
        <w:rPr>
          <w:i/>
          <w:iCs/>
        </w:rPr>
        <w:t>The Astrology of Fate</w:t>
      </w:r>
      <w:r>
        <w:t>, p. 283</w:t>
      </w:r>
    </w:p>
  </w:footnote>
  <w:footnote w:id="60">
    <w:p w14:paraId="7FBFF501" w14:textId="6543D2FB" w:rsidR="00EE471A" w:rsidRDefault="00EE471A">
      <w:pPr>
        <w:pStyle w:val="FootnoteText"/>
      </w:pPr>
      <w:r>
        <w:rPr>
          <w:rStyle w:val="FootnoteReference"/>
        </w:rPr>
        <w:footnoteRef/>
      </w:r>
      <w:r>
        <w:t xml:space="preserve"> Liz Greene, </w:t>
      </w:r>
      <w:r w:rsidRPr="00CB2A1B">
        <w:rPr>
          <w:i/>
          <w:iCs/>
        </w:rPr>
        <w:t>The Astrology of Fate</w:t>
      </w:r>
      <w:r>
        <w:t>, p. 329</w:t>
      </w:r>
    </w:p>
  </w:footnote>
  <w:footnote w:id="61">
    <w:p w14:paraId="70D86B50" w14:textId="3DE6BAAE" w:rsidR="00E43E24" w:rsidRDefault="00E43E24">
      <w:pPr>
        <w:pStyle w:val="FootnoteText"/>
      </w:pPr>
      <w:r>
        <w:rPr>
          <w:rStyle w:val="FootnoteReference"/>
        </w:rPr>
        <w:footnoteRef/>
      </w:r>
      <w:r>
        <w:t xml:space="preserve"> Liz Greene, </w:t>
      </w:r>
      <w:r w:rsidRPr="00CB2A1B">
        <w:rPr>
          <w:i/>
          <w:iCs/>
        </w:rPr>
        <w:t>The Astrology of Fate</w:t>
      </w:r>
      <w:r>
        <w:t>, p. 330</w:t>
      </w:r>
    </w:p>
  </w:footnote>
  <w:footnote w:id="62">
    <w:p w14:paraId="0CAECE80" w14:textId="3CA6DC09" w:rsidR="00D47501" w:rsidRDefault="00D47501">
      <w:pPr>
        <w:pStyle w:val="FootnoteText"/>
      </w:pPr>
      <w:r>
        <w:rPr>
          <w:rStyle w:val="FootnoteReference"/>
        </w:rPr>
        <w:footnoteRef/>
      </w:r>
      <w:r>
        <w:t xml:space="preserve"> Roy Willis and Patrick Curry, </w:t>
      </w:r>
      <w:r w:rsidRPr="004A4D6F">
        <w:rPr>
          <w:i/>
          <w:iCs/>
        </w:rPr>
        <w:t>Astrology, Science and Culture</w:t>
      </w:r>
      <w:r w:rsidRPr="004A4D6F">
        <w:t>, p.</w:t>
      </w:r>
      <w:r>
        <w:t xml:space="preserve"> 74</w:t>
      </w:r>
    </w:p>
  </w:footnote>
  <w:footnote w:id="63">
    <w:p w14:paraId="650A82F1" w14:textId="34311140" w:rsidR="0093392D" w:rsidRDefault="0093392D">
      <w:pPr>
        <w:pStyle w:val="FootnoteText"/>
      </w:pPr>
      <w:r>
        <w:rPr>
          <w:rStyle w:val="FootnoteReference"/>
        </w:rPr>
        <w:footnoteRef/>
      </w:r>
      <w:r>
        <w:t xml:space="preserve"> </w:t>
      </w:r>
      <w:r w:rsidRPr="00DE6D26">
        <w:rPr>
          <w:lang w:eastAsia="en-GB"/>
        </w:rPr>
        <w:t xml:space="preserve">Brady, B. (2019). Living with Fate: The Lifestyle of Contemporary Astrologers. </w:t>
      </w:r>
      <w:r w:rsidRPr="00DE6D26">
        <w:rPr>
          <w:i/>
          <w:iCs/>
          <w:lang w:eastAsia="en-GB"/>
        </w:rPr>
        <w:t>Journal for the Study of Religion, Nature and Culture</w:t>
      </w:r>
      <w:r w:rsidRPr="006A4F55">
        <w:rPr>
          <w:lang w:eastAsia="en-GB"/>
        </w:rPr>
        <w:t>, 13(</w:t>
      </w:r>
      <w:r w:rsidRPr="00DE6D26">
        <w:rPr>
          <w:lang w:eastAsia="en-GB"/>
        </w:rPr>
        <w:t>1), p. 34</w:t>
      </w:r>
    </w:p>
  </w:footnote>
  <w:footnote w:id="64">
    <w:p w14:paraId="22AF6C25" w14:textId="0AB825DB" w:rsidR="00D47501" w:rsidRDefault="00D47501">
      <w:pPr>
        <w:pStyle w:val="FootnoteText"/>
      </w:pPr>
      <w:r>
        <w:rPr>
          <w:rStyle w:val="FootnoteReference"/>
        </w:rPr>
        <w:footnoteRef/>
      </w:r>
      <w:r>
        <w:t xml:space="preserve"> Roy Willis and Patrick Curry, </w:t>
      </w:r>
      <w:r w:rsidRPr="004A4D6F">
        <w:rPr>
          <w:i/>
          <w:iCs/>
        </w:rPr>
        <w:t>Astrology, Science and Culture</w:t>
      </w:r>
      <w:r w:rsidRPr="004A4D6F">
        <w:t>, p.</w:t>
      </w:r>
      <w:r>
        <w:t xml:space="preserve"> 55</w:t>
      </w:r>
    </w:p>
  </w:footnote>
  <w:footnote w:id="65">
    <w:p w14:paraId="41941D32" w14:textId="3BEC82F4" w:rsidR="00737191" w:rsidRDefault="00737191">
      <w:pPr>
        <w:pStyle w:val="FootnoteText"/>
      </w:pPr>
      <w:r>
        <w:rPr>
          <w:rStyle w:val="FootnoteReference"/>
        </w:rPr>
        <w:footnoteRef/>
      </w:r>
      <w:r>
        <w:t xml:space="preserve"> </w:t>
      </w:r>
      <w:r>
        <w:t xml:space="preserve">Margaret Hone, </w:t>
      </w:r>
      <w:r w:rsidRPr="00B307E1">
        <w:rPr>
          <w:i/>
          <w:iCs/>
        </w:rPr>
        <w:t>Applied Astrology</w:t>
      </w:r>
      <w:r>
        <w:t xml:space="preserve">, p. </w:t>
      </w:r>
      <w:r>
        <w:t>88</w:t>
      </w:r>
    </w:p>
  </w:footnote>
  <w:footnote w:id="66">
    <w:p w14:paraId="1E3DDF35" w14:textId="20A72892" w:rsidR="00737191" w:rsidRDefault="00737191">
      <w:pPr>
        <w:pStyle w:val="FootnoteText"/>
      </w:pPr>
      <w:r>
        <w:rPr>
          <w:rStyle w:val="FootnoteReference"/>
        </w:rPr>
        <w:footnoteRef/>
      </w:r>
      <w:r>
        <w:t xml:space="preserve"> </w:t>
      </w:r>
      <w:r>
        <w:t xml:space="preserve">Liz Greene, </w:t>
      </w:r>
      <w:r w:rsidRPr="00CB2A1B">
        <w:rPr>
          <w:i/>
          <w:iCs/>
        </w:rPr>
        <w:t>The Astrology of Fate</w:t>
      </w:r>
      <w:r>
        <w:t xml:space="preserve">, p. </w:t>
      </w:r>
      <w:r>
        <w:t>153</w:t>
      </w:r>
    </w:p>
  </w:footnote>
  <w:footnote w:id="67">
    <w:p w14:paraId="1F69E634" w14:textId="690A24C0" w:rsidR="0094750C" w:rsidRDefault="0094750C">
      <w:pPr>
        <w:pStyle w:val="FootnoteText"/>
      </w:pPr>
      <w:r>
        <w:rPr>
          <w:rStyle w:val="FootnoteReference"/>
        </w:rPr>
        <w:footnoteRef/>
      </w:r>
      <w:r>
        <w:t xml:space="preserve"> </w:t>
      </w:r>
      <w:r>
        <w:t xml:space="preserve">Liz Greene, </w:t>
      </w:r>
      <w:r w:rsidRPr="00CB2A1B">
        <w:rPr>
          <w:i/>
          <w:iCs/>
        </w:rPr>
        <w:t>The Astrology of Fate</w:t>
      </w:r>
      <w:r>
        <w:t>, p. 1</w:t>
      </w:r>
      <w:r>
        <w:t>38</w:t>
      </w:r>
    </w:p>
  </w:footnote>
  <w:footnote w:id="68">
    <w:p w14:paraId="59EB3216" w14:textId="10EDAC9B" w:rsidR="0094750C" w:rsidRDefault="0094750C">
      <w:pPr>
        <w:pStyle w:val="FootnoteText"/>
      </w:pPr>
      <w:r>
        <w:rPr>
          <w:rStyle w:val="FootnoteReference"/>
        </w:rPr>
        <w:footnoteRef/>
      </w:r>
      <w:r>
        <w:t xml:space="preserve"> </w:t>
      </w:r>
      <w:r>
        <w:t xml:space="preserve">Liz Greene, </w:t>
      </w:r>
      <w:r w:rsidRPr="00CB2A1B">
        <w:rPr>
          <w:i/>
          <w:iCs/>
        </w:rPr>
        <w:t>The Astrology of Fate</w:t>
      </w:r>
      <w:r>
        <w:t xml:space="preserve">, p. </w:t>
      </w:r>
      <w:r>
        <w:t>317</w:t>
      </w:r>
    </w:p>
  </w:footnote>
  <w:footnote w:id="69">
    <w:p w14:paraId="4A0F6C05" w14:textId="77777777" w:rsidR="0094750C" w:rsidRDefault="0094750C" w:rsidP="0094750C">
      <w:pPr>
        <w:pStyle w:val="FootnoteText"/>
      </w:pPr>
      <w:r>
        <w:rPr>
          <w:rStyle w:val="FootnoteReference"/>
        </w:rPr>
        <w:footnoteRef/>
      </w:r>
      <w:r>
        <w:t xml:space="preserve"> Roy Willis and Patrick Curry, </w:t>
      </w:r>
      <w:r w:rsidRPr="004A4D6F">
        <w:rPr>
          <w:i/>
          <w:iCs/>
        </w:rPr>
        <w:t>Astrology, Science and Culture</w:t>
      </w:r>
      <w:r w:rsidRPr="004A4D6F">
        <w:t>, p.</w:t>
      </w:r>
      <w:r>
        <w:t xml:space="preserve"> 58</w:t>
      </w:r>
    </w:p>
  </w:footnote>
  <w:footnote w:id="70">
    <w:p w14:paraId="63824BB6" w14:textId="189F810D" w:rsidR="00D35CB2" w:rsidRDefault="0093392D">
      <w:pPr>
        <w:pStyle w:val="FootnoteText"/>
      </w:pPr>
      <w:r>
        <w:rPr>
          <w:rStyle w:val="FootnoteReference"/>
        </w:rPr>
        <w:footnoteRef/>
      </w:r>
      <w:r>
        <w:t xml:space="preserve"> Bernadette Brady, </w:t>
      </w:r>
      <w:r w:rsidRPr="008F60D3">
        <w:rPr>
          <w:i/>
          <w:iCs/>
        </w:rPr>
        <w:t>Fate, Sympathy and the Individual</w:t>
      </w:r>
      <w:r>
        <w:t>, Paper presented at ESSWE4 – Gothenburg 26-29 June 2013, p.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828027"/>
      <w:docPartObj>
        <w:docPartGallery w:val="Page Numbers (Top of Page)"/>
        <w:docPartUnique/>
      </w:docPartObj>
    </w:sdtPr>
    <w:sdtContent>
      <w:p w14:paraId="75A578EC" w14:textId="48F00261" w:rsidR="006E4A3C" w:rsidRDefault="006E4A3C">
        <w:pPr>
          <w:pStyle w:val="Header"/>
          <w:jc w:val="right"/>
        </w:pPr>
        <w:r w:rsidRPr="006E4A3C">
          <w:rPr>
            <w:sz w:val="24"/>
            <w:szCs w:val="24"/>
          </w:rPr>
          <w:t>Lisa Stockley 2307752</w:t>
        </w:r>
        <w:r>
          <w:rPr>
            <w:color w:val="8496B0" w:themeColor="text2" w:themeTint="99"/>
            <w:sz w:val="24"/>
            <w:szCs w:val="24"/>
          </w:rPr>
          <w:tab/>
        </w:r>
        <w:r>
          <w:rPr>
            <w:color w:val="8496B0" w:themeColor="text2" w:themeTint="99"/>
            <w:sz w:val="24"/>
            <w:szCs w:val="24"/>
          </w:rPr>
          <w:tab/>
        </w:r>
        <w:r>
          <w:fldChar w:fldCharType="begin"/>
        </w:r>
        <w:r>
          <w:instrText>PAGE   \* MERGEFORMAT</w:instrText>
        </w:r>
        <w:r>
          <w:fldChar w:fldCharType="separate"/>
        </w:r>
        <w:r>
          <w:t>2</w:t>
        </w:r>
        <w:r>
          <w:fldChar w:fldCharType="end"/>
        </w:r>
        <w:r>
          <w:t xml:space="preserve"> of </w:t>
        </w:r>
        <w:r w:rsidR="0094750C">
          <w:t>10</w:t>
        </w:r>
      </w:p>
    </w:sdtContent>
  </w:sdt>
  <w:p w14:paraId="71ECC8D7" w14:textId="77777777" w:rsidR="006E4A3C" w:rsidRDefault="006E4A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1B"/>
    <w:rsid w:val="00056390"/>
    <w:rsid w:val="000627A1"/>
    <w:rsid w:val="00063B12"/>
    <w:rsid w:val="000B1AE1"/>
    <w:rsid w:val="000D6479"/>
    <w:rsid w:val="0010066E"/>
    <w:rsid w:val="00114708"/>
    <w:rsid w:val="00114EB4"/>
    <w:rsid w:val="001229E0"/>
    <w:rsid w:val="001A1070"/>
    <w:rsid w:val="001C247E"/>
    <w:rsid w:val="00223EE6"/>
    <w:rsid w:val="00244473"/>
    <w:rsid w:val="0026073E"/>
    <w:rsid w:val="0026341A"/>
    <w:rsid w:val="00285796"/>
    <w:rsid w:val="002A0601"/>
    <w:rsid w:val="002B1142"/>
    <w:rsid w:val="002B15C9"/>
    <w:rsid w:val="002C6963"/>
    <w:rsid w:val="002E72EF"/>
    <w:rsid w:val="0033282D"/>
    <w:rsid w:val="003710DA"/>
    <w:rsid w:val="004714CF"/>
    <w:rsid w:val="00472257"/>
    <w:rsid w:val="00480F10"/>
    <w:rsid w:val="004A3ACC"/>
    <w:rsid w:val="004A4D6F"/>
    <w:rsid w:val="004B442F"/>
    <w:rsid w:val="004C00A4"/>
    <w:rsid w:val="004C5D19"/>
    <w:rsid w:val="004D47DD"/>
    <w:rsid w:val="004F2AB6"/>
    <w:rsid w:val="00514FDA"/>
    <w:rsid w:val="00523ED4"/>
    <w:rsid w:val="00546EE0"/>
    <w:rsid w:val="00593309"/>
    <w:rsid w:val="005C7260"/>
    <w:rsid w:val="005D2262"/>
    <w:rsid w:val="005F3F23"/>
    <w:rsid w:val="00646506"/>
    <w:rsid w:val="00676BAA"/>
    <w:rsid w:val="00685976"/>
    <w:rsid w:val="0069392B"/>
    <w:rsid w:val="006A4F55"/>
    <w:rsid w:val="006B31E7"/>
    <w:rsid w:val="006B6D0A"/>
    <w:rsid w:val="006E4A3C"/>
    <w:rsid w:val="006F4F50"/>
    <w:rsid w:val="00705CC6"/>
    <w:rsid w:val="00715653"/>
    <w:rsid w:val="00737191"/>
    <w:rsid w:val="00746719"/>
    <w:rsid w:val="007627E5"/>
    <w:rsid w:val="0076570C"/>
    <w:rsid w:val="0078591B"/>
    <w:rsid w:val="0085729F"/>
    <w:rsid w:val="008C02E1"/>
    <w:rsid w:val="008C6952"/>
    <w:rsid w:val="008F60D3"/>
    <w:rsid w:val="00901115"/>
    <w:rsid w:val="00913253"/>
    <w:rsid w:val="0093392D"/>
    <w:rsid w:val="0094092A"/>
    <w:rsid w:val="0094750C"/>
    <w:rsid w:val="00984ED2"/>
    <w:rsid w:val="00990FCC"/>
    <w:rsid w:val="009A0093"/>
    <w:rsid w:val="009D413B"/>
    <w:rsid w:val="009E4BD1"/>
    <w:rsid w:val="00A00C1D"/>
    <w:rsid w:val="00A051A8"/>
    <w:rsid w:val="00A41976"/>
    <w:rsid w:val="00A51105"/>
    <w:rsid w:val="00AA0A85"/>
    <w:rsid w:val="00AB1D60"/>
    <w:rsid w:val="00AB2043"/>
    <w:rsid w:val="00AC0280"/>
    <w:rsid w:val="00AC2350"/>
    <w:rsid w:val="00AD4FDF"/>
    <w:rsid w:val="00AF661E"/>
    <w:rsid w:val="00AF780B"/>
    <w:rsid w:val="00B307E1"/>
    <w:rsid w:val="00B45611"/>
    <w:rsid w:val="00BC70F8"/>
    <w:rsid w:val="00C01D11"/>
    <w:rsid w:val="00C01D4F"/>
    <w:rsid w:val="00C40BD4"/>
    <w:rsid w:val="00C6349F"/>
    <w:rsid w:val="00C760AB"/>
    <w:rsid w:val="00C90E9D"/>
    <w:rsid w:val="00CB1B93"/>
    <w:rsid w:val="00CB2A1B"/>
    <w:rsid w:val="00CE2185"/>
    <w:rsid w:val="00CF2C22"/>
    <w:rsid w:val="00D01064"/>
    <w:rsid w:val="00D23290"/>
    <w:rsid w:val="00D35CB2"/>
    <w:rsid w:val="00D40B4A"/>
    <w:rsid w:val="00D47501"/>
    <w:rsid w:val="00D66606"/>
    <w:rsid w:val="00D93978"/>
    <w:rsid w:val="00DA7F00"/>
    <w:rsid w:val="00DB1C54"/>
    <w:rsid w:val="00DB3132"/>
    <w:rsid w:val="00DB3A5E"/>
    <w:rsid w:val="00DD1D95"/>
    <w:rsid w:val="00DE237B"/>
    <w:rsid w:val="00DE6D26"/>
    <w:rsid w:val="00E07158"/>
    <w:rsid w:val="00E43E24"/>
    <w:rsid w:val="00E44EC0"/>
    <w:rsid w:val="00E57063"/>
    <w:rsid w:val="00E658B2"/>
    <w:rsid w:val="00EE471A"/>
    <w:rsid w:val="00F00500"/>
    <w:rsid w:val="00F012D5"/>
    <w:rsid w:val="00F03336"/>
    <w:rsid w:val="00F35E58"/>
    <w:rsid w:val="00F70C16"/>
    <w:rsid w:val="00F91CF3"/>
    <w:rsid w:val="00F9651A"/>
    <w:rsid w:val="00FD4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26772B"/>
  <w15:chartTrackingRefBased/>
  <w15:docId w15:val="{ADFB7139-78AA-46CD-AB92-BA1C17541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A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570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591B"/>
    <w:pPr>
      <w:spacing w:after="0" w:line="240" w:lineRule="auto"/>
    </w:pPr>
  </w:style>
  <w:style w:type="paragraph" w:styleId="FootnoteText">
    <w:name w:val="footnote text"/>
    <w:basedOn w:val="Normal"/>
    <w:link w:val="FootnoteTextChar"/>
    <w:uiPriority w:val="99"/>
    <w:semiHidden/>
    <w:unhideWhenUsed/>
    <w:rsid w:val="002B11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1142"/>
    <w:rPr>
      <w:sz w:val="20"/>
      <w:szCs w:val="20"/>
    </w:rPr>
  </w:style>
  <w:style w:type="character" w:styleId="FootnoteReference">
    <w:name w:val="footnote reference"/>
    <w:basedOn w:val="DefaultParagraphFont"/>
    <w:uiPriority w:val="99"/>
    <w:semiHidden/>
    <w:unhideWhenUsed/>
    <w:rsid w:val="002B1142"/>
    <w:rPr>
      <w:vertAlign w:val="superscript"/>
    </w:rPr>
  </w:style>
  <w:style w:type="character" w:styleId="Hyperlink">
    <w:name w:val="Hyperlink"/>
    <w:basedOn w:val="DefaultParagraphFont"/>
    <w:uiPriority w:val="99"/>
    <w:unhideWhenUsed/>
    <w:rsid w:val="00B45611"/>
    <w:rPr>
      <w:color w:val="0563C1" w:themeColor="hyperlink"/>
      <w:u w:val="single"/>
    </w:rPr>
  </w:style>
  <w:style w:type="character" w:styleId="UnresolvedMention">
    <w:name w:val="Unresolved Mention"/>
    <w:basedOn w:val="DefaultParagraphFont"/>
    <w:uiPriority w:val="99"/>
    <w:semiHidden/>
    <w:unhideWhenUsed/>
    <w:rsid w:val="00B45611"/>
    <w:rPr>
      <w:color w:val="605E5C"/>
      <w:shd w:val="clear" w:color="auto" w:fill="E1DFDD"/>
    </w:rPr>
  </w:style>
  <w:style w:type="character" w:styleId="FollowedHyperlink">
    <w:name w:val="FollowedHyperlink"/>
    <w:basedOn w:val="DefaultParagraphFont"/>
    <w:uiPriority w:val="99"/>
    <w:semiHidden/>
    <w:unhideWhenUsed/>
    <w:rsid w:val="00B45611"/>
    <w:rPr>
      <w:color w:val="954F72" w:themeColor="followedHyperlink"/>
      <w:u w:val="single"/>
    </w:rPr>
  </w:style>
  <w:style w:type="character" w:customStyle="1" w:styleId="label">
    <w:name w:val="label"/>
    <w:basedOn w:val="DefaultParagraphFont"/>
    <w:rsid w:val="001C247E"/>
  </w:style>
  <w:style w:type="character" w:styleId="Emphasis">
    <w:name w:val="Emphasis"/>
    <w:basedOn w:val="DefaultParagraphFont"/>
    <w:uiPriority w:val="20"/>
    <w:qFormat/>
    <w:rsid w:val="001C247E"/>
    <w:rPr>
      <w:i/>
      <w:iCs/>
    </w:rPr>
  </w:style>
  <w:style w:type="paragraph" w:customStyle="1" w:styleId="p">
    <w:name w:val="p"/>
    <w:basedOn w:val="Normal"/>
    <w:rsid w:val="00E570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rsid w:val="00E5706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E4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A3C"/>
  </w:style>
  <w:style w:type="paragraph" w:styleId="Footer">
    <w:name w:val="footer"/>
    <w:basedOn w:val="Normal"/>
    <w:link w:val="FooterChar"/>
    <w:uiPriority w:val="99"/>
    <w:unhideWhenUsed/>
    <w:rsid w:val="006E4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A3C"/>
  </w:style>
  <w:style w:type="character" w:customStyle="1" w:styleId="Heading1Char">
    <w:name w:val="Heading 1 Char"/>
    <w:basedOn w:val="DefaultParagraphFont"/>
    <w:link w:val="Heading1"/>
    <w:uiPriority w:val="9"/>
    <w:rsid w:val="006E4A3C"/>
    <w:rPr>
      <w:rFonts w:asciiTheme="majorHAnsi" w:eastAsiaTheme="majorEastAsia" w:hAnsiTheme="majorHAnsi" w:cstheme="majorBidi"/>
      <w:color w:val="2F5496" w:themeColor="accent1" w:themeShade="BF"/>
      <w:sz w:val="32"/>
      <w:szCs w:val="32"/>
    </w:rPr>
  </w:style>
  <w:style w:type="paragraph" w:styleId="NormalWeb">
    <w:name w:val="Normal (Web)"/>
    <w:basedOn w:val="Normal"/>
    <w:rsid w:val="00AC0280"/>
    <w:pPr>
      <w:suppressAutoHyphens/>
      <w:spacing w:before="280" w:after="280" w:line="240" w:lineRule="auto"/>
    </w:pPr>
    <w:rPr>
      <w:rFonts w:ascii="Georgia" w:eastAsia="SimSun" w:hAnsi="Georgia" w:cs="Georgia"/>
      <w:color w:val="000000"/>
      <w:kern w:val="0"/>
      <w:sz w:val="21"/>
      <w:szCs w:val="21"/>
      <w:lang w:eastAsia="zh-CN"/>
      <w14:ligatures w14:val="none"/>
    </w:rPr>
  </w:style>
  <w:style w:type="character" w:customStyle="1" w:styleId="bibliographicauthorname">
    <w:name w:val="bibliographicauthorname"/>
    <w:basedOn w:val="DefaultParagraphFont"/>
    <w:rsid w:val="00C760AB"/>
  </w:style>
  <w:style w:type="character" w:customStyle="1" w:styleId="editorandtranslators">
    <w:name w:val="editorandtranslators"/>
    <w:basedOn w:val="DefaultParagraphFont"/>
    <w:rsid w:val="00C760AB"/>
  </w:style>
  <w:style w:type="character" w:customStyle="1" w:styleId="contributorname">
    <w:name w:val="contributorname"/>
    <w:basedOn w:val="DefaultParagraphFont"/>
    <w:rsid w:val="00C76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901605">
      <w:bodyDiv w:val="1"/>
      <w:marLeft w:val="0"/>
      <w:marRight w:val="0"/>
      <w:marTop w:val="0"/>
      <w:marBottom w:val="0"/>
      <w:divBdr>
        <w:top w:val="none" w:sz="0" w:space="0" w:color="auto"/>
        <w:left w:val="none" w:sz="0" w:space="0" w:color="auto"/>
        <w:bottom w:val="none" w:sz="0" w:space="0" w:color="auto"/>
        <w:right w:val="none" w:sz="0" w:space="0" w:color="auto"/>
      </w:divBdr>
      <w:divsChild>
        <w:div w:id="1954434924">
          <w:marLeft w:val="0"/>
          <w:marRight w:val="0"/>
          <w:marTop w:val="0"/>
          <w:marBottom w:val="0"/>
          <w:divBdr>
            <w:top w:val="none" w:sz="0" w:space="0" w:color="auto"/>
            <w:left w:val="none" w:sz="0" w:space="0" w:color="auto"/>
            <w:bottom w:val="none" w:sz="0" w:space="0" w:color="auto"/>
            <w:right w:val="none" w:sz="0" w:space="0" w:color="auto"/>
          </w:divBdr>
          <w:divsChild>
            <w:div w:id="17153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448521">
      <w:bodyDiv w:val="1"/>
      <w:marLeft w:val="0"/>
      <w:marRight w:val="0"/>
      <w:marTop w:val="0"/>
      <w:marBottom w:val="0"/>
      <w:divBdr>
        <w:top w:val="none" w:sz="0" w:space="0" w:color="auto"/>
        <w:left w:val="none" w:sz="0" w:space="0" w:color="auto"/>
        <w:bottom w:val="none" w:sz="0" w:space="0" w:color="auto"/>
        <w:right w:val="none" w:sz="0" w:space="0" w:color="auto"/>
      </w:divBdr>
      <w:divsChild>
        <w:div w:id="2008634408">
          <w:marLeft w:val="0"/>
          <w:marRight w:val="0"/>
          <w:marTop w:val="0"/>
          <w:marBottom w:val="0"/>
          <w:divBdr>
            <w:top w:val="none" w:sz="0" w:space="0" w:color="auto"/>
            <w:left w:val="none" w:sz="0" w:space="0" w:color="auto"/>
            <w:bottom w:val="none" w:sz="0" w:space="0" w:color="auto"/>
            <w:right w:val="none" w:sz="0" w:space="0" w:color="auto"/>
          </w:divBdr>
          <w:divsChild>
            <w:div w:id="60700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50507">
      <w:bodyDiv w:val="1"/>
      <w:marLeft w:val="0"/>
      <w:marRight w:val="0"/>
      <w:marTop w:val="0"/>
      <w:marBottom w:val="0"/>
      <w:divBdr>
        <w:top w:val="none" w:sz="0" w:space="0" w:color="auto"/>
        <w:left w:val="none" w:sz="0" w:space="0" w:color="auto"/>
        <w:bottom w:val="none" w:sz="0" w:space="0" w:color="auto"/>
        <w:right w:val="none" w:sz="0" w:space="0" w:color="auto"/>
      </w:divBdr>
      <w:divsChild>
        <w:div w:id="83187229">
          <w:marLeft w:val="0"/>
          <w:marRight w:val="0"/>
          <w:marTop w:val="0"/>
          <w:marBottom w:val="0"/>
          <w:divBdr>
            <w:top w:val="none" w:sz="0" w:space="0" w:color="auto"/>
            <w:left w:val="none" w:sz="0" w:space="0" w:color="auto"/>
            <w:bottom w:val="none" w:sz="0" w:space="0" w:color="auto"/>
            <w:right w:val="none" w:sz="0" w:space="0" w:color="auto"/>
          </w:divBdr>
          <w:divsChild>
            <w:div w:id="2333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08336">
      <w:bodyDiv w:val="1"/>
      <w:marLeft w:val="0"/>
      <w:marRight w:val="0"/>
      <w:marTop w:val="0"/>
      <w:marBottom w:val="0"/>
      <w:divBdr>
        <w:top w:val="none" w:sz="0" w:space="0" w:color="auto"/>
        <w:left w:val="none" w:sz="0" w:space="0" w:color="auto"/>
        <w:bottom w:val="none" w:sz="0" w:space="0" w:color="auto"/>
        <w:right w:val="none" w:sz="0" w:space="0" w:color="auto"/>
      </w:divBdr>
      <w:divsChild>
        <w:div w:id="1827624244">
          <w:marLeft w:val="0"/>
          <w:marRight w:val="0"/>
          <w:marTop w:val="0"/>
          <w:marBottom w:val="0"/>
          <w:divBdr>
            <w:top w:val="none" w:sz="0" w:space="0" w:color="auto"/>
            <w:left w:val="none" w:sz="0" w:space="0" w:color="auto"/>
            <w:bottom w:val="none" w:sz="0" w:space="0" w:color="auto"/>
            <w:right w:val="none" w:sz="0" w:space="0" w:color="auto"/>
          </w:divBdr>
          <w:divsChild>
            <w:div w:id="137746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5986">
      <w:bodyDiv w:val="1"/>
      <w:marLeft w:val="0"/>
      <w:marRight w:val="0"/>
      <w:marTop w:val="0"/>
      <w:marBottom w:val="0"/>
      <w:divBdr>
        <w:top w:val="none" w:sz="0" w:space="0" w:color="auto"/>
        <w:left w:val="none" w:sz="0" w:space="0" w:color="auto"/>
        <w:bottom w:val="none" w:sz="0" w:space="0" w:color="auto"/>
        <w:right w:val="none" w:sz="0" w:space="0" w:color="auto"/>
      </w:divBdr>
      <w:divsChild>
        <w:div w:id="732235532">
          <w:marLeft w:val="0"/>
          <w:marRight w:val="0"/>
          <w:marTop w:val="0"/>
          <w:marBottom w:val="0"/>
          <w:divBdr>
            <w:top w:val="none" w:sz="0" w:space="0" w:color="auto"/>
            <w:left w:val="none" w:sz="0" w:space="0" w:color="auto"/>
            <w:bottom w:val="none" w:sz="0" w:space="0" w:color="auto"/>
            <w:right w:val="none" w:sz="0" w:space="0" w:color="auto"/>
          </w:divBdr>
          <w:divsChild>
            <w:div w:id="138224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4739">
      <w:bodyDiv w:val="1"/>
      <w:marLeft w:val="0"/>
      <w:marRight w:val="0"/>
      <w:marTop w:val="0"/>
      <w:marBottom w:val="0"/>
      <w:divBdr>
        <w:top w:val="none" w:sz="0" w:space="0" w:color="auto"/>
        <w:left w:val="none" w:sz="0" w:space="0" w:color="auto"/>
        <w:bottom w:val="none" w:sz="0" w:space="0" w:color="auto"/>
        <w:right w:val="none" w:sz="0" w:space="0" w:color="auto"/>
      </w:divBdr>
      <w:divsChild>
        <w:div w:id="1074663344">
          <w:marLeft w:val="0"/>
          <w:marRight w:val="0"/>
          <w:marTop w:val="0"/>
          <w:marBottom w:val="0"/>
          <w:divBdr>
            <w:top w:val="none" w:sz="0" w:space="0" w:color="auto"/>
            <w:left w:val="none" w:sz="0" w:space="0" w:color="auto"/>
            <w:bottom w:val="none" w:sz="0" w:space="0" w:color="auto"/>
            <w:right w:val="none" w:sz="0" w:space="0" w:color="auto"/>
          </w:divBdr>
          <w:divsChild>
            <w:div w:id="11149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140035">
      <w:bodyDiv w:val="1"/>
      <w:marLeft w:val="0"/>
      <w:marRight w:val="0"/>
      <w:marTop w:val="0"/>
      <w:marBottom w:val="0"/>
      <w:divBdr>
        <w:top w:val="none" w:sz="0" w:space="0" w:color="auto"/>
        <w:left w:val="none" w:sz="0" w:space="0" w:color="auto"/>
        <w:bottom w:val="none" w:sz="0" w:space="0" w:color="auto"/>
        <w:right w:val="none" w:sz="0" w:space="0" w:color="auto"/>
      </w:divBdr>
      <w:divsChild>
        <w:div w:id="1421947874">
          <w:marLeft w:val="0"/>
          <w:marRight w:val="0"/>
          <w:marTop w:val="0"/>
          <w:marBottom w:val="0"/>
          <w:divBdr>
            <w:top w:val="none" w:sz="0" w:space="0" w:color="auto"/>
            <w:left w:val="none" w:sz="0" w:space="0" w:color="auto"/>
            <w:bottom w:val="none" w:sz="0" w:space="0" w:color="auto"/>
            <w:right w:val="none" w:sz="0" w:space="0" w:color="auto"/>
          </w:divBdr>
          <w:divsChild>
            <w:div w:id="83036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doc"/><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93/0199247676.003.0002" TargetMode="External"/><Relationship Id="rId2" Type="http://schemas.openxmlformats.org/officeDocument/2006/relationships/hyperlink" Target="https://www.academia.edu/2068087/Some_Philosophical_Roots_of_Determinism_in_Astrology" TargetMode="External"/><Relationship Id="rId1" Type="http://schemas.openxmlformats.org/officeDocument/2006/relationships/hyperlink" Target="https://www.skyscript.co.uk/fate.html" TargetMode="External"/><Relationship Id="rId5" Type="http://schemas.openxmlformats.org/officeDocument/2006/relationships/hyperlink" Target="https://www.skyscript.co.uk/fate.html" TargetMode="External"/><Relationship Id="rId4" Type="http://schemas.openxmlformats.org/officeDocument/2006/relationships/hyperlink" Target="https://www.academia.edu/2068087/Some_Philosophical_Roots_of_Determinism_in_Astr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19B581B-FE0C-4A9A-808F-DE65FB1FA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10</Pages>
  <Words>3405</Words>
  <Characters>19410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Stockley</dc:creator>
  <cp:keywords/>
  <dc:description/>
  <cp:lastModifiedBy>Lisa Stockley</cp:lastModifiedBy>
  <cp:revision>31</cp:revision>
  <dcterms:created xsi:type="dcterms:W3CDTF">2023-12-10T14:37:00Z</dcterms:created>
  <dcterms:modified xsi:type="dcterms:W3CDTF">2023-12-27T13:16:00Z</dcterms:modified>
</cp:coreProperties>
</file>