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468D1" w14:textId="584EB8F5" w:rsidR="00961FB1" w:rsidRPr="00BF4086" w:rsidRDefault="00961FB1">
      <w:pPr>
        <w:rPr>
          <w:rFonts w:ascii="Arial" w:hAnsi="Arial" w:cs="Arial"/>
          <w:sz w:val="24"/>
          <w:szCs w:val="24"/>
        </w:rPr>
      </w:pPr>
      <w:r w:rsidRPr="00BF4086">
        <w:rPr>
          <w:rFonts w:ascii="Arial" w:hAnsi="Arial" w:cs="Arial"/>
          <w:sz w:val="24"/>
          <w:szCs w:val="24"/>
        </w:rPr>
        <w:t>According to Brock</w:t>
      </w:r>
      <w:r w:rsidR="003D4A51">
        <w:rPr>
          <w:rFonts w:ascii="Arial" w:hAnsi="Arial" w:cs="Arial"/>
          <w:sz w:val="24"/>
          <w:szCs w:val="24"/>
        </w:rPr>
        <w:t xml:space="preserve"> </w:t>
      </w:r>
      <w:r w:rsidR="003D4A51" w:rsidRPr="003D4A51">
        <w:rPr>
          <w:rFonts w:ascii="Arial" w:hAnsi="Arial" w:cs="Arial"/>
          <w:i/>
          <w:iCs/>
          <w:color w:val="FF0000"/>
          <w:sz w:val="24"/>
          <w:szCs w:val="24"/>
        </w:rPr>
        <w:t>et al</w:t>
      </w:r>
      <w:r w:rsidRPr="00BF4086">
        <w:rPr>
          <w:rFonts w:ascii="Arial" w:hAnsi="Arial" w:cs="Arial"/>
          <w:sz w:val="24"/>
          <w:szCs w:val="24"/>
        </w:rPr>
        <w:t xml:space="preserve">, </w:t>
      </w:r>
      <w:r w:rsidRPr="003D4A51">
        <w:rPr>
          <w:rFonts w:ascii="Arial" w:hAnsi="Arial" w:cs="Arial"/>
          <w:strike/>
          <w:sz w:val="24"/>
          <w:szCs w:val="24"/>
        </w:rPr>
        <w:t xml:space="preserve">Dodd, Jarvis </w:t>
      </w:r>
      <w:r w:rsidR="00221B91" w:rsidRPr="003D4A51">
        <w:rPr>
          <w:rFonts w:ascii="Arial" w:hAnsi="Arial" w:cs="Arial"/>
          <w:strike/>
          <w:sz w:val="24"/>
          <w:szCs w:val="24"/>
        </w:rPr>
        <w:t>and</w:t>
      </w:r>
      <w:r w:rsidRPr="003D4A51">
        <w:rPr>
          <w:rFonts w:ascii="Arial" w:hAnsi="Arial" w:cs="Arial"/>
          <w:strike/>
          <w:sz w:val="24"/>
          <w:szCs w:val="24"/>
        </w:rPr>
        <w:t xml:space="preserve"> Olunga</w:t>
      </w:r>
      <w:r w:rsidRPr="00BF4086">
        <w:rPr>
          <w:rFonts w:ascii="Arial" w:hAnsi="Arial" w:cs="Arial"/>
          <w:sz w:val="24"/>
          <w:szCs w:val="24"/>
        </w:rPr>
        <w:t xml:space="preserve"> (2013) children are always ready to play, this should be used to help you learn and reach your educational goals.  </w:t>
      </w:r>
      <w:r w:rsidRPr="003D4A51">
        <w:rPr>
          <w:rFonts w:ascii="Arial" w:hAnsi="Arial" w:cs="Arial"/>
          <w:strike/>
          <w:sz w:val="24"/>
          <w:szCs w:val="24"/>
        </w:rPr>
        <w:t>The importance of Play</w:t>
      </w:r>
      <w:r w:rsidR="003D4A51">
        <w:rPr>
          <w:rFonts w:ascii="Arial" w:hAnsi="Arial" w:cs="Arial"/>
          <w:sz w:val="24"/>
          <w:szCs w:val="24"/>
        </w:rPr>
        <w:t xml:space="preserve"> </w:t>
      </w:r>
      <w:r w:rsidR="003D4A51" w:rsidRPr="003D4A51">
        <w:rPr>
          <w:rFonts w:ascii="Arial" w:hAnsi="Arial" w:cs="Arial"/>
          <w:color w:val="FF0000"/>
          <w:sz w:val="24"/>
          <w:szCs w:val="24"/>
        </w:rPr>
        <w:t xml:space="preserve">Whitehead </w:t>
      </w:r>
      <w:r w:rsidR="003D4A51" w:rsidRPr="003D4A51">
        <w:rPr>
          <w:rFonts w:ascii="Arial" w:hAnsi="Arial" w:cs="Arial"/>
          <w:i/>
          <w:iCs/>
          <w:color w:val="FF0000"/>
          <w:sz w:val="24"/>
          <w:szCs w:val="24"/>
        </w:rPr>
        <w:t>et al</w:t>
      </w:r>
      <w:r w:rsidR="003D4A51" w:rsidRPr="003D4A51">
        <w:rPr>
          <w:rFonts w:ascii="Arial" w:hAnsi="Arial" w:cs="Arial"/>
          <w:color w:val="FF0000"/>
          <w:sz w:val="24"/>
          <w:szCs w:val="24"/>
        </w:rPr>
        <w:t xml:space="preserve"> </w:t>
      </w:r>
      <w:r w:rsidRPr="00BF4086">
        <w:rPr>
          <w:rFonts w:ascii="Arial" w:hAnsi="Arial" w:cs="Arial"/>
          <w:sz w:val="24"/>
          <w:szCs w:val="24"/>
        </w:rPr>
        <w:t xml:space="preserve">(2012) reports that play is essentially meaningless and is often used in the same way as the term work.  </w:t>
      </w:r>
      <w:r w:rsidRPr="003D4A51">
        <w:rPr>
          <w:rFonts w:ascii="Arial" w:hAnsi="Arial" w:cs="Arial"/>
          <w:strike/>
          <w:sz w:val="24"/>
          <w:szCs w:val="24"/>
        </w:rPr>
        <w:t>The Importance of play</w:t>
      </w:r>
      <w:r w:rsidR="003D4A51" w:rsidRPr="003D4A51">
        <w:rPr>
          <w:rFonts w:ascii="Arial" w:hAnsi="Arial" w:cs="Arial"/>
          <w:color w:val="FF0000"/>
          <w:sz w:val="24"/>
          <w:szCs w:val="24"/>
        </w:rPr>
        <w:t xml:space="preserve"> </w:t>
      </w:r>
      <w:r w:rsidR="003D4A51" w:rsidRPr="003D4A51">
        <w:rPr>
          <w:rFonts w:ascii="Arial" w:hAnsi="Arial" w:cs="Arial"/>
          <w:color w:val="FF0000"/>
          <w:sz w:val="24"/>
          <w:szCs w:val="24"/>
        </w:rPr>
        <w:t>Early Years Matters</w:t>
      </w:r>
      <w:r w:rsidRPr="00BF4086">
        <w:rPr>
          <w:rFonts w:ascii="Arial" w:hAnsi="Arial" w:cs="Arial"/>
          <w:sz w:val="24"/>
          <w:szCs w:val="24"/>
        </w:rPr>
        <w:t xml:space="preserve"> (2018) claims that play and learning cannot be separated during the early years as children learn to sit, crawl etc they also learn to master and control their bodies – play is learning.  Play in any form can happen anywhere.  Childrens play is so important and fundamental to their childhood that it has been recognised as a fundamental right by the United Nations Convention on the Rights of the Child reported by Hellington &amp; Brussoni (2015).  Moyles (2010) states that play and learning go hand in hand for young children, and the play of young babies starts with the interactions of those around them including the environment as they react to the sight and sounds around them. </w:t>
      </w:r>
    </w:p>
    <w:p w14:paraId="5935D44B" w14:textId="5FFE75B2" w:rsidR="00961FB1" w:rsidRPr="003D4A51" w:rsidRDefault="003D4A51">
      <w:pPr>
        <w:rPr>
          <w:rFonts w:ascii="Arial" w:hAnsi="Arial" w:cs="Arial"/>
          <w:color w:val="FF0000"/>
          <w:sz w:val="24"/>
          <w:szCs w:val="24"/>
        </w:rPr>
      </w:pPr>
      <w:r w:rsidRPr="003D4A51">
        <w:rPr>
          <w:rFonts w:ascii="Arial" w:hAnsi="Arial" w:cs="Arial"/>
          <w:color w:val="FF0000"/>
          <w:sz w:val="24"/>
          <w:szCs w:val="24"/>
        </w:rPr>
        <w:t>For in text citations you only need to include the author or organisation and the year</w:t>
      </w:r>
      <w:r w:rsidR="004B6E66">
        <w:rPr>
          <w:rFonts w:ascii="Arial" w:hAnsi="Arial" w:cs="Arial"/>
          <w:color w:val="FF0000"/>
          <w:sz w:val="24"/>
          <w:szCs w:val="24"/>
        </w:rPr>
        <w:t xml:space="preserve">, don’t get this confused with the title of the report or webpage. </w:t>
      </w:r>
      <w:r w:rsidRPr="003D4A51">
        <w:rPr>
          <w:rFonts w:ascii="Arial" w:hAnsi="Arial" w:cs="Arial"/>
          <w:color w:val="FF0000"/>
          <w:sz w:val="24"/>
          <w:szCs w:val="24"/>
        </w:rPr>
        <w:t>For references with 4 or more authors, you only need t</w:t>
      </w:r>
      <w:r w:rsidR="00874C6D">
        <w:rPr>
          <w:rFonts w:ascii="Arial" w:hAnsi="Arial" w:cs="Arial"/>
          <w:color w:val="FF0000"/>
          <w:sz w:val="24"/>
          <w:szCs w:val="24"/>
        </w:rPr>
        <w:t>he</w:t>
      </w:r>
      <w:r w:rsidRPr="003D4A51">
        <w:rPr>
          <w:rFonts w:ascii="Arial" w:hAnsi="Arial" w:cs="Arial"/>
          <w:color w:val="FF0000"/>
          <w:sz w:val="24"/>
          <w:szCs w:val="24"/>
        </w:rPr>
        <w:t xml:space="preserve"> surname of the first author followed by </w:t>
      </w:r>
      <w:r w:rsidRPr="003D4A51">
        <w:rPr>
          <w:rFonts w:ascii="Arial" w:hAnsi="Arial" w:cs="Arial"/>
          <w:i/>
          <w:iCs/>
          <w:color w:val="FF0000"/>
          <w:sz w:val="24"/>
          <w:szCs w:val="24"/>
        </w:rPr>
        <w:t xml:space="preserve">et al. </w:t>
      </w:r>
    </w:p>
    <w:p w14:paraId="011E2E32" w14:textId="77777777" w:rsidR="00961FB1" w:rsidRPr="00C43E7F" w:rsidRDefault="00961FB1">
      <w:pPr>
        <w:rPr>
          <w:rFonts w:ascii="Arial" w:hAnsi="Arial" w:cs="Arial"/>
          <w:b/>
          <w:bCs/>
          <w:sz w:val="24"/>
          <w:szCs w:val="24"/>
        </w:rPr>
      </w:pPr>
      <w:r w:rsidRPr="00C43E7F">
        <w:rPr>
          <w:rFonts w:ascii="Arial" w:hAnsi="Arial" w:cs="Arial"/>
          <w:b/>
          <w:bCs/>
          <w:sz w:val="24"/>
          <w:szCs w:val="24"/>
        </w:rPr>
        <w:t xml:space="preserve">Reference list </w:t>
      </w:r>
    </w:p>
    <w:p w14:paraId="17CAD0CA" w14:textId="77777777" w:rsidR="00C43E7F" w:rsidRDefault="00961FB1" w:rsidP="00BF4086">
      <w:pPr>
        <w:rPr>
          <w:rFonts w:ascii="Arial" w:hAnsi="Arial" w:cs="Arial"/>
          <w:sz w:val="24"/>
          <w:szCs w:val="24"/>
        </w:rPr>
      </w:pPr>
      <w:r w:rsidRPr="00BF4086">
        <w:rPr>
          <w:rFonts w:ascii="Arial" w:hAnsi="Arial" w:cs="Arial"/>
          <w:sz w:val="24"/>
          <w:szCs w:val="24"/>
        </w:rPr>
        <w:t>Brock, A., Dodds, S., Jarvis, P. and Olinga, Y.</w:t>
      </w:r>
      <w:r w:rsidR="00221B91" w:rsidRPr="00BF4086">
        <w:rPr>
          <w:rFonts w:ascii="Arial" w:hAnsi="Arial" w:cs="Arial"/>
          <w:sz w:val="24"/>
          <w:szCs w:val="24"/>
        </w:rPr>
        <w:t xml:space="preserve"> (2013)</w:t>
      </w:r>
      <w:r w:rsidRPr="00BF4086">
        <w:rPr>
          <w:rFonts w:ascii="Arial" w:hAnsi="Arial" w:cs="Arial"/>
          <w:sz w:val="24"/>
          <w:szCs w:val="24"/>
        </w:rPr>
        <w:t xml:space="preserve"> </w:t>
      </w:r>
      <w:r w:rsidRPr="00BF4086">
        <w:rPr>
          <w:rFonts w:ascii="Arial" w:hAnsi="Arial" w:cs="Arial"/>
          <w:i/>
          <w:iCs/>
          <w:sz w:val="24"/>
          <w:szCs w:val="24"/>
        </w:rPr>
        <w:t>Learning for life</w:t>
      </w:r>
      <w:r w:rsidR="00221B91" w:rsidRPr="00BF4086">
        <w:rPr>
          <w:rFonts w:ascii="Arial" w:hAnsi="Arial" w:cs="Arial"/>
          <w:i/>
          <w:iCs/>
          <w:sz w:val="24"/>
          <w:szCs w:val="24"/>
        </w:rPr>
        <w:t xml:space="preserve">. </w:t>
      </w:r>
      <w:r w:rsidRPr="00BF4086">
        <w:rPr>
          <w:rFonts w:ascii="Arial" w:hAnsi="Arial" w:cs="Arial"/>
          <w:sz w:val="24"/>
          <w:szCs w:val="24"/>
        </w:rPr>
        <w:t>Oxon, Routledge</w:t>
      </w:r>
      <w:r w:rsidR="00037FEA" w:rsidRPr="00BF4086">
        <w:rPr>
          <w:rFonts w:ascii="Arial" w:hAnsi="Arial" w:cs="Arial"/>
          <w:sz w:val="24"/>
          <w:szCs w:val="24"/>
        </w:rPr>
        <w:t xml:space="preserve">.      </w:t>
      </w:r>
    </w:p>
    <w:p w14:paraId="4A762127" w14:textId="77777777" w:rsidR="00C43E7F" w:rsidRDefault="00C43E7F" w:rsidP="00C43E7F">
      <w:pPr>
        <w:rPr>
          <w:rFonts w:ascii="Arial" w:hAnsi="Arial" w:cs="Arial"/>
          <w:sz w:val="24"/>
          <w:szCs w:val="24"/>
        </w:rPr>
      </w:pPr>
      <w:r w:rsidRPr="00BF4086">
        <w:rPr>
          <w:rFonts w:ascii="Arial" w:hAnsi="Arial" w:cs="Arial"/>
          <w:sz w:val="24"/>
          <w:szCs w:val="24"/>
        </w:rPr>
        <w:t xml:space="preserve">Early Years Matters (2018), </w:t>
      </w:r>
      <w:r w:rsidRPr="00BF4086">
        <w:rPr>
          <w:rFonts w:ascii="Arial" w:hAnsi="Arial" w:cs="Arial"/>
          <w:i/>
          <w:iCs/>
          <w:sz w:val="24"/>
          <w:szCs w:val="24"/>
        </w:rPr>
        <w:t>The importance of play</w:t>
      </w:r>
      <w:r w:rsidRPr="00BF4086">
        <w:rPr>
          <w:rFonts w:ascii="Arial" w:hAnsi="Arial" w:cs="Arial"/>
          <w:sz w:val="24"/>
          <w:szCs w:val="24"/>
        </w:rPr>
        <w:t xml:space="preserve">, Available at: </w:t>
      </w:r>
      <w:r w:rsidRPr="00C43E7F">
        <w:rPr>
          <w:rFonts w:ascii="Arial" w:hAnsi="Arial" w:cs="Arial"/>
          <w:sz w:val="24"/>
          <w:szCs w:val="24"/>
        </w:rPr>
        <w:t>http://www.earlyyearsmatters.co.uk/eyfs/a-unique-child/play-learning/</w:t>
      </w:r>
      <w:r w:rsidRPr="00BF4086">
        <w:rPr>
          <w:rFonts w:ascii="Arial" w:hAnsi="Arial" w:cs="Arial"/>
          <w:sz w:val="24"/>
          <w:szCs w:val="24"/>
        </w:rPr>
        <w:t xml:space="preserve"> (Accessed:15 September 2023).</w:t>
      </w:r>
      <w:r>
        <w:rPr>
          <w:rFonts w:ascii="Arial" w:hAnsi="Arial" w:cs="Arial"/>
          <w:sz w:val="24"/>
          <w:szCs w:val="24"/>
        </w:rPr>
        <w:t xml:space="preserve">     </w:t>
      </w:r>
    </w:p>
    <w:p w14:paraId="30E2A86A" w14:textId="20ABE2D4" w:rsidR="00C43E7F" w:rsidRDefault="00C43E7F" w:rsidP="00C43E7F">
      <w:pPr>
        <w:rPr>
          <w:rFonts w:ascii="Arial" w:hAnsi="Arial" w:cs="Arial"/>
          <w:sz w:val="24"/>
          <w:szCs w:val="24"/>
          <w:lang w:val="en"/>
        </w:rPr>
      </w:pPr>
      <w:r w:rsidRPr="00BF4086">
        <w:rPr>
          <w:rFonts w:ascii="Arial" w:hAnsi="Arial" w:cs="Arial"/>
          <w:sz w:val="24"/>
          <w:szCs w:val="24"/>
        </w:rPr>
        <w:t xml:space="preserve">Herrington, S. </w:t>
      </w:r>
      <w:r>
        <w:rPr>
          <w:rFonts w:ascii="Arial" w:hAnsi="Arial" w:cs="Arial"/>
          <w:sz w:val="24"/>
          <w:szCs w:val="24"/>
        </w:rPr>
        <w:t>and</w:t>
      </w:r>
      <w:r w:rsidRPr="00BF4086">
        <w:rPr>
          <w:rFonts w:ascii="Arial" w:hAnsi="Arial" w:cs="Arial"/>
          <w:sz w:val="24"/>
          <w:szCs w:val="24"/>
        </w:rPr>
        <w:t xml:space="preserve"> Brussoni, M. (2015) </w:t>
      </w:r>
      <w:r w:rsidR="003D4A51" w:rsidRPr="003D4A51">
        <w:rPr>
          <w:rFonts w:ascii="Arial" w:hAnsi="Arial" w:cs="Arial"/>
          <w:color w:val="FF0000"/>
          <w:sz w:val="24"/>
          <w:szCs w:val="24"/>
        </w:rPr>
        <w:t>‘</w:t>
      </w:r>
      <w:r w:rsidRPr="003D4A51">
        <w:rPr>
          <w:rFonts w:ascii="Arial" w:hAnsi="Arial" w:cs="Arial"/>
          <w:i/>
          <w:iCs/>
          <w:sz w:val="24"/>
          <w:szCs w:val="24"/>
        </w:rPr>
        <w:t>Beyond physical activity:</w:t>
      </w:r>
      <w:r w:rsidRPr="00BF4086">
        <w:rPr>
          <w:rFonts w:ascii="Arial" w:hAnsi="Arial" w:cs="Arial"/>
          <w:i/>
          <w:iCs/>
          <w:sz w:val="24"/>
          <w:szCs w:val="24"/>
        </w:rPr>
        <w:t xml:space="preserve"> </w:t>
      </w:r>
      <w:r w:rsidRPr="00C43E7F">
        <w:rPr>
          <w:rFonts w:ascii="Arial" w:hAnsi="Arial" w:cs="Arial"/>
          <w:i/>
          <w:iCs/>
          <w:sz w:val="24"/>
          <w:szCs w:val="24"/>
        </w:rPr>
        <w:t>The importance of play and bature-based play spaces for children’s health and development</w:t>
      </w:r>
      <w:r w:rsidR="003D4A51" w:rsidRPr="003D4A51">
        <w:rPr>
          <w:rFonts w:ascii="Arial" w:hAnsi="Arial" w:cs="Arial"/>
          <w:i/>
          <w:iCs/>
          <w:color w:val="FF0000"/>
          <w:sz w:val="24"/>
          <w:szCs w:val="24"/>
        </w:rPr>
        <w:t>’,</w:t>
      </w:r>
      <w:r w:rsidR="003D4A51">
        <w:rPr>
          <w:rFonts w:ascii="Arial" w:hAnsi="Arial" w:cs="Arial"/>
          <w:i/>
          <w:iCs/>
          <w:sz w:val="24"/>
          <w:szCs w:val="24"/>
        </w:rPr>
        <w:t xml:space="preserve"> </w:t>
      </w:r>
      <w:r w:rsidR="003D4A51" w:rsidRPr="003D4A51">
        <w:rPr>
          <w:rFonts w:ascii="Arial" w:hAnsi="Arial" w:cs="Arial"/>
          <w:i/>
          <w:iCs/>
          <w:color w:val="FF0000"/>
          <w:sz w:val="24"/>
          <w:szCs w:val="24"/>
        </w:rPr>
        <w:t>Title of journal needed here: Current obesity approaches</w:t>
      </w:r>
      <w:r w:rsidR="003D4A51">
        <w:rPr>
          <w:rFonts w:ascii="Arial" w:hAnsi="Arial" w:cs="Arial"/>
          <w:i/>
          <w:iCs/>
          <w:sz w:val="24"/>
          <w:szCs w:val="24"/>
        </w:rPr>
        <w:t>.</w:t>
      </w:r>
      <w:r w:rsidRPr="00BF4086">
        <w:rPr>
          <w:rFonts w:ascii="Arial" w:hAnsi="Arial" w:cs="Arial"/>
          <w:sz w:val="24"/>
          <w:szCs w:val="24"/>
          <w:lang w:val="en"/>
        </w:rPr>
        <w:t xml:space="preserve"> </w:t>
      </w:r>
      <w:r w:rsidRPr="003D4A51">
        <w:rPr>
          <w:rFonts w:ascii="Arial" w:hAnsi="Arial" w:cs="Arial"/>
          <w:strike/>
          <w:sz w:val="24"/>
          <w:szCs w:val="24"/>
          <w:lang w:val="en"/>
        </w:rPr>
        <w:t>volume</w:t>
      </w:r>
      <w:r w:rsidRPr="00BF4086">
        <w:rPr>
          <w:rFonts w:ascii="Arial" w:hAnsi="Arial" w:cs="Arial"/>
          <w:sz w:val="24"/>
          <w:szCs w:val="24"/>
          <w:lang w:val="en"/>
        </w:rPr>
        <w:t xml:space="preserve"> 4, </w:t>
      </w:r>
      <w:r w:rsidRPr="003D4A51">
        <w:rPr>
          <w:rFonts w:ascii="Arial" w:hAnsi="Arial" w:cs="Arial"/>
          <w:strike/>
          <w:sz w:val="24"/>
          <w:szCs w:val="24"/>
          <w:lang w:val="en"/>
        </w:rPr>
        <w:t>issue</w:t>
      </w:r>
      <w:r w:rsidRPr="00BF4086">
        <w:rPr>
          <w:rFonts w:ascii="Arial" w:hAnsi="Arial" w:cs="Arial"/>
          <w:sz w:val="24"/>
          <w:szCs w:val="24"/>
          <w:lang w:val="en"/>
        </w:rPr>
        <w:t xml:space="preserve"> </w:t>
      </w:r>
      <w:r w:rsidR="003D4A51" w:rsidRPr="003D4A51">
        <w:rPr>
          <w:rFonts w:ascii="Arial" w:hAnsi="Arial" w:cs="Arial"/>
          <w:color w:val="FF0000"/>
          <w:sz w:val="24"/>
          <w:szCs w:val="24"/>
          <w:lang w:val="en"/>
        </w:rPr>
        <w:t>(</w:t>
      </w:r>
      <w:r w:rsidRPr="00BF4086">
        <w:rPr>
          <w:rFonts w:ascii="Arial" w:hAnsi="Arial" w:cs="Arial"/>
          <w:sz w:val="24"/>
          <w:szCs w:val="24"/>
          <w:lang w:val="en"/>
        </w:rPr>
        <w:t>4</w:t>
      </w:r>
      <w:r w:rsidR="003D4A51" w:rsidRPr="003D4A51">
        <w:rPr>
          <w:rFonts w:ascii="Arial" w:hAnsi="Arial" w:cs="Arial"/>
          <w:color w:val="FF0000"/>
          <w:sz w:val="24"/>
          <w:szCs w:val="24"/>
          <w:lang w:val="en"/>
        </w:rPr>
        <w:t>)</w:t>
      </w:r>
      <w:r w:rsidRPr="00BF4086">
        <w:rPr>
          <w:rFonts w:ascii="Arial" w:hAnsi="Arial" w:cs="Arial"/>
          <w:sz w:val="24"/>
          <w:szCs w:val="24"/>
          <w:lang w:val="en"/>
        </w:rPr>
        <w:t>, pages 477-483</w:t>
      </w:r>
    </w:p>
    <w:p w14:paraId="17BEA4CD" w14:textId="2C23C21A" w:rsidR="00C43E7F" w:rsidRPr="00BF4086" w:rsidRDefault="00C43E7F" w:rsidP="00C43E7F">
      <w:pPr>
        <w:rPr>
          <w:rFonts w:ascii="Arial" w:hAnsi="Arial" w:cs="Arial"/>
          <w:sz w:val="24"/>
          <w:szCs w:val="24"/>
        </w:rPr>
      </w:pPr>
      <w:r w:rsidRPr="00BF4086">
        <w:rPr>
          <w:rFonts w:ascii="Arial" w:hAnsi="Arial" w:cs="Arial"/>
          <w:sz w:val="24"/>
          <w:szCs w:val="24"/>
        </w:rPr>
        <w:t xml:space="preserve">Moyles, J. (2010) </w:t>
      </w:r>
      <w:r w:rsidRPr="00BF4086">
        <w:rPr>
          <w:rFonts w:ascii="Arial" w:hAnsi="Arial" w:cs="Arial"/>
          <w:i/>
          <w:iCs/>
          <w:sz w:val="24"/>
          <w:szCs w:val="24"/>
        </w:rPr>
        <w:t xml:space="preserve">The Excellent of Play, </w:t>
      </w:r>
      <w:r w:rsidRPr="00BF4086">
        <w:rPr>
          <w:rFonts w:ascii="Arial" w:hAnsi="Arial" w:cs="Arial"/>
          <w:sz w:val="24"/>
          <w:szCs w:val="24"/>
        </w:rPr>
        <w:t>2</w:t>
      </w:r>
      <w:r w:rsidRPr="00BF4086">
        <w:rPr>
          <w:rFonts w:ascii="Arial" w:hAnsi="Arial" w:cs="Arial"/>
          <w:sz w:val="24"/>
          <w:szCs w:val="24"/>
          <w:vertAlign w:val="superscript"/>
        </w:rPr>
        <w:t>nd</w:t>
      </w:r>
      <w:r w:rsidRPr="00BF4086">
        <w:rPr>
          <w:rFonts w:ascii="Arial" w:hAnsi="Arial" w:cs="Arial"/>
          <w:sz w:val="24"/>
          <w:szCs w:val="24"/>
        </w:rPr>
        <w:t xml:space="preserve"> edition, Berkshire, Open University</w:t>
      </w:r>
      <w:r>
        <w:rPr>
          <w:rFonts w:ascii="Arial" w:hAnsi="Arial" w:cs="Arial"/>
          <w:sz w:val="24"/>
          <w:szCs w:val="24"/>
        </w:rPr>
        <w:t xml:space="preserve"> </w:t>
      </w:r>
      <w:r w:rsidRPr="00BF4086">
        <w:rPr>
          <w:rFonts w:ascii="Arial" w:hAnsi="Arial" w:cs="Arial"/>
          <w:sz w:val="24"/>
          <w:szCs w:val="24"/>
        </w:rPr>
        <w:t>Press</w:t>
      </w:r>
    </w:p>
    <w:p w14:paraId="1E4E8E79" w14:textId="47C0E8E4" w:rsidR="00C43E7F" w:rsidRDefault="00471CB8" w:rsidP="00BF4086">
      <w:pPr>
        <w:rPr>
          <w:rFonts w:ascii="Arial" w:hAnsi="Arial" w:cs="Arial"/>
          <w:sz w:val="24"/>
          <w:szCs w:val="24"/>
        </w:rPr>
      </w:pPr>
      <w:r w:rsidRPr="00BF4086">
        <w:rPr>
          <w:rFonts w:ascii="Arial" w:hAnsi="Arial" w:cs="Arial"/>
          <w:sz w:val="24"/>
          <w:szCs w:val="24"/>
        </w:rPr>
        <w:t>Whi</w:t>
      </w:r>
      <w:r w:rsidR="00BF4086">
        <w:rPr>
          <w:rFonts w:ascii="Arial" w:hAnsi="Arial" w:cs="Arial"/>
          <w:sz w:val="24"/>
          <w:szCs w:val="24"/>
        </w:rPr>
        <w:t>t</w:t>
      </w:r>
      <w:r w:rsidRPr="00BF4086">
        <w:rPr>
          <w:rFonts w:ascii="Arial" w:hAnsi="Arial" w:cs="Arial"/>
          <w:sz w:val="24"/>
          <w:szCs w:val="24"/>
        </w:rPr>
        <w:t xml:space="preserve">ehead, D., Basilio, M., Kuvalja, M. and Verma, M. (2012) </w:t>
      </w:r>
      <w:r w:rsidRPr="00BF4086">
        <w:rPr>
          <w:rFonts w:ascii="Arial" w:hAnsi="Arial" w:cs="Arial"/>
          <w:i/>
          <w:iCs/>
          <w:sz w:val="24"/>
          <w:szCs w:val="24"/>
        </w:rPr>
        <w:t>The importance of play</w:t>
      </w:r>
      <w:r w:rsidR="003D4A51">
        <w:rPr>
          <w:rFonts w:ascii="Arial" w:hAnsi="Arial" w:cs="Arial"/>
          <w:i/>
          <w:iCs/>
          <w:sz w:val="24"/>
          <w:szCs w:val="24"/>
        </w:rPr>
        <w:t>.</w:t>
      </w:r>
      <w:r w:rsidRPr="00BF4086">
        <w:rPr>
          <w:rFonts w:ascii="Arial" w:hAnsi="Arial" w:cs="Arial"/>
          <w:i/>
          <w:iCs/>
          <w:sz w:val="24"/>
          <w:szCs w:val="24"/>
        </w:rPr>
        <w:t xml:space="preserve"> </w:t>
      </w:r>
      <w:r w:rsidRPr="00BF4086">
        <w:rPr>
          <w:rFonts w:ascii="Arial" w:hAnsi="Arial" w:cs="Arial"/>
          <w:sz w:val="24"/>
          <w:szCs w:val="24"/>
        </w:rPr>
        <w:t>Available at</w:t>
      </w:r>
      <w:r w:rsidR="00C43E7F">
        <w:rPr>
          <w:rFonts w:ascii="Arial" w:hAnsi="Arial" w:cs="Arial"/>
          <w:sz w:val="24"/>
          <w:szCs w:val="24"/>
        </w:rPr>
        <w:t>:</w:t>
      </w:r>
      <w:r w:rsidRPr="00BF4086">
        <w:rPr>
          <w:rFonts w:ascii="Arial" w:hAnsi="Arial" w:cs="Arial"/>
          <w:sz w:val="24"/>
          <w:szCs w:val="24"/>
        </w:rPr>
        <w:t xml:space="preserve"> </w:t>
      </w:r>
      <w:r w:rsidR="00C43E7F">
        <w:rPr>
          <w:rFonts w:ascii="Arial" w:hAnsi="Arial" w:cs="Arial"/>
          <w:sz w:val="24"/>
          <w:szCs w:val="24"/>
        </w:rPr>
        <w:t>http://</w:t>
      </w:r>
      <w:r w:rsidR="00C43E7F" w:rsidRPr="00C43E7F">
        <w:rPr>
          <w:rFonts w:ascii="Arial" w:hAnsi="Arial" w:cs="Arial"/>
          <w:sz w:val="24"/>
          <w:szCs w:val="24"/>
        </w:rPr>
        <w:t>www.importanceofplay.eu/IMG/pdf/dr_david_whitebread_-_the_importance_of_play.pdf/</w:t>
      </w:r>
      <w:r w:rsidRPr="00BF4086">
        <w:rPr>
          <w:rFonts w:ascii="Arial" w:hAnsi="Arial" w:cs="Arial"/>
          <w:sz w:val="24"/>
          <w:szCs w:val="24"/>
        </w:rPr>
        <w:t xml:space="preserve"> </w:t>
      </w:r>
      <w:r w:rsidR="003D4A51">
        <w:rPr>
          <w:rFonts w:ascii="Arial" w:hAnsi="Arial" w:cs="Arial"/>
          <w:sz w:val="24"/>
          <w:szCs w:val="24"/>
        </w:rPr>
        <w:t xml:space="preserve"> </w:t>
      </w:r>
      <w:r w:rsidR="003D4A51" w:rsidRPr="003D4A51">
        <w:rPr>
          <w:rFonts w:ascii="Arial" w:hAnsi="Arial" w:cs="Arial"/>
          <w:color w:val="FF0000"/>
          <w:sz w:val="24"/>
          <w:szCs w:val="24"/>
        </w:rPr>
        <w:t>(</w:t>
      </w:r>
      <w:r w:rsidRPr="00BF4086">
        <w:rPr>
          <w:rFonts w:ascii="Arial" w:hAnsi="Arial" w:cs="Arial"/>
          <w:sz w:val="24"/>
          <w:szCs w:val="24"/>
        </w:rPr>
        <w:t>Accessed on: 15 September 2023</w:t>
      </w:r>
      <w:r w:rsidR="003D4A51" w:rsidRPr="003D4A51">
        <w:rPr>
          <w:rFonts w:ascii="Arial" w:hAnsi="Arial" w:cs="Arial"/>
          <w:color w:val="FF0000"/>
          <w:sz w:val="24"/>
          <w:szCs w:val="24"/>
        </w:rPr>
        <w:t>).</w:t>
      </w:r>
      <w:r w:rsidR="00BF4086" w:rsidRPr="003D4A51">
        <w:rPr>
          <w:rFonts w:ascii="Arial" w:hAnsi="Arial" w:cs="Arial"/>
          <w:color w:val="FF0000"/>
          <w:sz w:val="24"/>
          <w:szCs w:val="24"/>
        </w:rPr>
        <w:t xml:space="preserve">  </w:t>
      </w:r>
      <w:r w:rsidR="00BF4086" w:rsidRPr="00BF4086">
        <w:rPr>
          <w:rFonts w:ascii="Arial" w:hAnsi="Arial" w:cs="Arial"/>
          <w:sz w:val="24"/>
          <w:szCs w:val="24"/>
        </w:rPr>
        <w:t xml:space="preserve">                                </w:t>
      </w:r>
    </w:p>
    <w:p w14:paraId="5C0D9DE5" w14:textId="2D64EA63" w:rsidR="00471CB8" w:rsidRPr="00BF4086" w:rsidRDefault="00471CB8" w:rsidP="00C43E7F">
      <w:pPr>
        <w:spacing w:after="0" w:line="276" w:lineRule="auto"/>
        <w:jc w:val="both"/>
        <w:rPr>
          <w:rFonts w:ascii="Arial" w:hAnsi="Arial" w:cs="Arial"/>
          <w:sz w:val="24"/>
          <w:szCs w:val="24"/>
        </w:rPr>
      </w:pPr>
    </w:p>
    <w:p w14:paraId="116F4EB5" w14:textId="77777777" w:rsidR="00471CB8" w:rsidRPr="00BF4086" w:rsidRDefault="00471CB8">
      <w:pPr>
        <w:rPr>
          <w:rFonts w:ascii="Arial" w:hAnsi="Arial" w:cs="Arial"/>
          <w:sz w:val="24"/>
          <w:szCs w:val="24"/>
        </w:rPr>
      </w:pPr>
    </w:p>
    <w:p w14:paraId="762B3A89" w14:textId="77777777" w:rsidR="00961FB1" w:rsidRPr="00BF4086" w:rsidRDefault="00961FB1">
      <w:pPr>
        <w:rPr>
          <w:rFonts w:ascii="Arial" w:hAnsi="Arial" w:cs="Arial"/>
          <w:sz w:val="24"/>
          <w:szCs w:val="24"/>
        </w:rPr>
      </w:pPr>
    </w:p>
    <w:sectPr w:rsidR="00961FB1" w:rsidRPr="00BF40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3F915" w14:textId="77777777" w:rsidR="003D4A51" w:rsidRDefault="003D4A51" w:rsidP="003D4A51">
      <w:pPr>
        <w:spacing w:after="0" w:line="240" w:lineRule="auto"/>
      </w:pPr>
      <w:r>
        <w:separator/>
      </w:r>
    </w:p>
  </w:endnote>
  <w:endnote w:type="continuationSeparator" w:id="0">
    <w:p w14:paraId="0AA15A2B" w14:textId="77777777" w:rsidR="003D4A51" w:rsidRDefault="003D4A51" w:rsidP="003D4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103A5" w14:textId="77777777" w:rsidR="003D4A51" w:rsidRDefault="003D4A51" w:rsidP="003D4A51">
      <w:pPr>
        <w:spacing w:after="0" w:line="240" w:lineRule="auto"/>
      </w:pPr>
      <w:r>
        <w:separator/>
      </w:r>
    </w:p>
  </w:footnote>
  <w:footnote w:type="continuationSeparator" w:id="0">
    <w:p w14:paraId="6EEE93DD" w14:textId="77777777" w:rsidR="003D4A51" w:rsidRDefault="003D4A51" w:rsidP="003D4A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FB1"/>
    <w:rsid w:val="00037FEA"/>
    <w:rsid w:val="00221B91"/>
    <w:rsid w:val="003A398B"/>
    <w:rsid w:val="003D4A51"/>
    <w:rsid w:val="00471CB8"/>
    <w:rsid w:val="004B6E66"/>
    <w:rsid w:val="00874C6D"/>
    <w:rsid w:val="00961FB1"/>
    <w:rsid w:val="00BF4086"/>
    <w:rsid w:val="00C43E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3941E"/>
  <w15:chartTrackingRefBased/>
  <w15:docId w15:val="{E6A32AEE-83DE-43D1-8E62-41B297553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1CB8"/>
    <w:rPr>
      <w:color w:val="0563C1" w:themeColor="hyperlink"/>
      <w:u w:val="single"/>
    </w:rPr>
  </w:style>
  <w:style w:type="character" w:styleId="UnresolvedMention">
    <w:name w:val="Unresolved Mention"/>
    <w:basedOn w:val="DefaultParagraphFont"/>
    <w:uiPriority w:val="99"/>
    <w:semiHidden/>
    <w:unhideWhenUsed/>
    <w:rsid w:val="00471CB8"/>
    <w:rPr>
      <w:color w:val="605E5C"/>
      <w:shd w:val="clear" w:color="auto" w:fill="E1DFDD"/>
    </w:rPr>
  </w:style>
  <w:style w:type="paragraph" w:styleId="Header">
    <w:name w:val="header"/>
    <w:basedOn w:val="Normal"/>
    <w:link w:val="HeaderChar"/>
    <w:uiPriority w:val="99"/>
    <w:unhideWhenUsed/>
    <w:rsid w:val="003D4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A51"/>
  </w:style>
  <w:style w:type="paragraph" w:styleId="Footer">
    <w:name w:val="footer"/>
    <w:basedOn w:val="Normal"/>
    <w:link w:val="FooterChar"/>
    <w:uiPriority w:val="99"/>
    <w:unhideWhenUsed/>
    <w:rsid w:val="003D4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538232">
      <w:bodyDiv w:val="1"/>
      <w:marLeft w:val="0"/>
      <w:marRight w:val="0"/>
      <w:marTop w:val="0"/>
      <w:marBottom w:val="0"/>
      <w:divBdr>
        <w:top w:val="none" w:sz="0" w:space="0" w:color="auto"/>
        <w:left w:val="none" w:sz="0" w:space="0" w:color="auto"/>
        <w:bottom w:val="none" w:sz="0" w:space="0" w:color="auto"/>
        <w:right w:val="none" w:sz="0" w:space="0" w:color="auto"/>
      </w:divBdr>
    </w:div>
    <w:div w:id="1000734928">
      <w:bodyDiv w:val="1"/>
      <w:marLeft w:val="0"/>
      <w:marRight w:val="0"/>
      <w:marTop w:val="0"/>
      <w:marBottom w:val="0"/>
      <w:divBdr>
        <w:top w:val="none" w:sz="0" w:space="0" w:color="auto"/>
        <w:left w:val="none" w:sz="0" w:space="0" w:color="auto"/>
        <w:bottom w:val="none" w:sz="0" w:space="0" w:color="auto"/>
        <w:right w:val="none" w:sz="0" w:space="0" w:color="auto"/>
      </w:divBdr>
    </w:div>
    <w:div w:id="174857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Words>
  <Characters>1852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Rachel Iles</cp:lastModifiedBy>
  <cp:revision>4</cp:revision>
  <cp:lastPrinted>2023-09-15T11:27:00Z</cp:lastPrinted>
  <dcterms:created xsi:type="dcterms:W3CDTF">2023-09-15T12:31:00Z</dcterms:created>
  <dcterms:modified xsi:type="dcterms:W3CDTF">2023-09-15T12:32:00Z</dcterms:modified>
</cp:coreProperties>
</file>