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1232725"/>
        <w:docPartObj>
          <w:docPartGallery w:val="Cover Pages"/>
          <w:docPartUnique/>
        </w:docPartObj>
      </w:sdtPr>
      <w:sdtContent>
        <w:p w14:paraId="6F655B93" w14:textId="77777777" w:rsidR="00114FE5" w:rsidRDefault="006603D1">
          <w:pPr>
            <w:spacing w:line="259" w:lineRule="auto"/>
          </w:pPr>
          <w:r>
            <w:rPr>
              <w:noProof/>
              <w:lang w:val="en-GB" w:eastAsia="en-GB"/>
            </w:rPr>
            <mc:AlternateContent>
              <mc:Choice Requires="wps">
                <w:drawing>
                  <wp:anchor distT="0" distB="0" distL="114300" distR="114300" simplePos="0" relativeHeight="251659264" behindDoc="0" locked="0" layoutInCell="1" allowOverlap="1" wp14:anchorId="65227A32" wp14:editId="5DE7AFDF">
                    <wp:simplePos x="0" y="0"/>
                    <wp:positionH relativeFrom="page">
                      <wp:posOffset>-107147</wp:posOffset>
                    </wp:positionH>
                    <wp:positionV relativeFrom="margin">
                      <wp:posOffset>60241</wp:posOffset>
                    </wp:positionV>
                    <wp:extent cx="15851469" cy="667702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15851469" cy="66770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89"/>
                                  <w:gridCol w:w="26511"/>
                                  <w:gridCol w:w="380"/>
                                </w:tblGrid>
                                <w:tr w:rsidR="00114FE5" w14:paraId="36FB7951" w14:textId="77777777" w:rsidTr="00F101D3">
                                  <w:trPr>
                                    <w:jc w:val="center"/>
                                  </w:trPr>
                                  <w:tc>
                                    <w:tcPr>
                                      <w:tcW w:w="2568" w:type="pct"/>
                                      <w:vAlign w:val="center"/>
                                    </w:tcPr>
                                    <w:sdt>
                                      <w:sdtPr>
                                        <w:rPr>
                                          <w:caps/>
                                          <w:color w:val="5B9BD5" w:themeColor="accent1"/>
                                          <w:sz w:val="72"/>
                                          <w:szCs w:val="72"/>
                                        </w:rPr>
                                        <w:alias w:val="Title"/>
                                        <w:tag w:val=""/>
                                        <w:id w:val="1355309929"/>
                                        <w:dataBinding w:prefixMappings="xmlns:ns0='http://purl.org/dc/elements/1.1/' xmlns:ns1='http://schemas.openxmlformats.org/package/2006/metadata/core-properties' " w:xpath="/ns1:coreProperties[1]/ns0:title[1]" w:storeItemID="{6C3C8BC8-F283-45AE-878A-BAB7291924A1}"/>
                                        <w:text/>
                                      </w:sdtPr>
                                      <w:sdtContent>
                                        <w:p w14:paraId="6B0993B8" w14:textId="77777777" w:rsidR="00114FE5" w:rsidRPr="006603D1" w:rsidRDefault="006603D1" w:rsidP="00F101D3">
                                          <w:pPr>
                                            <w:pStyle w:val="NoSpacing"/>
                                            <w:spacing w:line="312" w:lineRule="auto"/>
                                            <w:jc w:val="center"/>
                                            <w:rPr>
                                              <w:caps/>
                                              <w:color w:val="5B9BD5" w:themeColor="accent1"/>
                                              <w:sz w:val="72"/>
                                              <w:szCs w:val="72"/>
                                            </w:rPr>
                                          </w:pPr>
                                          <w:r w:rsidRPr="006603D1">
                                            <w:rPr>
                                              <w:caps/>
                                              <w:color w:val="5B9BD5" w:themeColor="accent1"/>
                                              <w:sz w:val="72"/>
                                              <w:szCs w:val="72"/>
                                            </w:rPr>
                                            <w:t>International Financial Management</w:t>
                                          </w:r>
                                        </w:p>
                                      </w:sdtContent>
                                    </w:sdt>
                                    <w:sdt>
                                      <w:sdtPr>
                                        <w:rPr>
                                          <w:rFonts w:asciiTheme="majorHAnsi" w:hAnsiTheme="majorHAnsi" w:cstheme="majorHAnsi"/>
                                          <w:b/>
                                          <w:sz w:val="36"/>
                                          <w:szCs w:val="36"/>
                                        </w:rPr>
                                        <w:alias w:val="Subtitle"/>
                                        <w:tag w:val=""/>
                                        <w:id w:val="-72435988"/>
                                        <w:dataBinding w:prefixMappings="xmlns:ns0='http://purl.org/dc/elements/1.1/' xmlns:ns1='http://schemas.openxmlformats.org/package/2006/metadata/core-properties' " w:xpath="/ns1:coreProperties[1]/ns0:subject[1]" w:storeItemID="{6C3C8BC8-F283-45AE-878A-BAB7291924A1}"/>
                                        <w:text/>
                                      </w:sdtPr>
                                      <w:sdtContent>
                                        <w:p w14:paraId="6974E8CF" w14:textId="3E28E675" w:rsidR="00114FE5" w:rsidRDefault="0089765A" w:rsidP="00F101D3">
                                          <w:pPr>
                                            <w:jc w:val="center"/>
                                            <w:rPr>
                                              <w:szCs w:val="24"/>
                                            </w:rPr>
                                          </w:pPr>
                                          <w:r w:rsidRPr="0089765A">
                                            <w:rPr>
                                              <w:rFonts w:asciiTheme="majorHAnsi" w:hAnsiTheme="majorHAnsi" w:cstheme="majorHAnsi"/>
                                              <w:b/>
                                              <w:sz w:val="36"/>
                                              <w:szCs w:val="36"/>
                                            </w:rPr>
                                            <w:t>BA Business Management</w:t>
                                          </w:r>
                                          <w:r>
                                            <w:rPr>
                                              <w:rFonts w:asciiTheme="majorHAnsi" w:hAnsiTheme="majorHAnsi" w:cstheme="majorHAnsi"/>
                                              <w:b/>
                                              <w:sz w:val="36"/>
                                              <w:szCs w:val="36"/>
                                            </w:rPr>
                                            <w:t xml:space="preserve"> </w:t>
                                          </w:r>
                                          <w:r w:rsidRPr="0089765A">
                                            <w:rPr>
                                              <w:rFonts w:asciiTheme="majorHAnsi" w:hAnsiTheme="majorHAnsi" w:cstheme="majorHAnsi"/>
                                              <w:b/>
                                              <w:sz w:val="36"/>
                                              <w:szCs w:val="36"/>
                                            </w:rPr>
                                            <w:t>LCBB6002</w:t>
                                          </w:r>
                                          <w:r w:rsidR="006B51F2">
                                            <w:rPr>
                                              <w:rFonts w:asciiTheme="majorHAnsi" w:hAnsiTheme="majorHAnsi" w:cstheme="majorHAnsi"/>
                                              <w:b/>
                                              <w:sz w:val="36"/>
                                              <w:szCs w:val="36"/>
                                            </w:rPr>
                                            <w:t>-A1</w:t>
                                          </w:r>
                                        </w:p>
                                      </w:sdtContent>
                                    </w:sdt>
                                  </w:tc>
                                  <w:tc>
                                    <w:tcPr>
                                      <w:tcW w:w="2432" w:type="pct"/>
                                      <w:gridSpan w:val="2"/>
                                      <w:vAlign w:val="center"/>
                                    </w:tcPr>
                                    <w:p w14:paraId="45144DDA" w14:textId="77777777" w:rsidR="00114FE5" w:rsidRPr="00D03BA3" w:rsidRDefault="00D03BA3">
                                      <w:pPr>
                                        <w:pStyle w:val="NoSpacing"/>
                                        <w:rPr>
                                          <w:caps/>
                                          <w:color w:val="ED7D31" w:themeColor="accent2"/>
                                          <w:sz w:val="26"/>
                                          <w:szCs w:val="26"/>
                                        </w:rPr>
                                      </w:pPr>
                                      <w:r>
                                        <w:rPr>
                                          <w:caps/>
                                          <w:noProof/>
                                          <w:color w:val="ED7D31" w:themeColor="accent2"/>
                                          <w:sz w:val="26"/>
                                          <w:szCs w:val="26"/>
                                          <w:lang w:val="en-GB" w:eastAsia="en-GB"/>
                                        </w:rPr>
                                        <w:drawing>
                                          <wp:inline distT="0" distB="0" distL="0" distR="0" wp14:anchorId="1DD112D3" wp14:editId="78CBE51E">
                                            <wp:extent cx="2857500" cy="2857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2.png"/>
                                                    <pic:cNvPicPr/>
                                                  </pic:nvPicPr>
                                                  <pic:blipFill>
                                                    <a:blip r:embed="rId8">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tc>
                                </w:tr>
                                <w:tr w:rsidR="00F101D3" w14:paraId="6130FD00" w14:textId="77777777" w:rsidTr="00F101D3">
                                  <w:trPr>
                                    <w:gridAfter w:val="1"/>
                                    <w:wAfter w:w="6" w:type="pct"/>
                                    <w:jc w:val="center"/>
                                  </w:trPr>
                                  <w:tc>
                                    <w:tcPr>
                                      <w:tcW w:w="4994" w:type="pct"/>
                                      <w:gridSpan w:val="2"/>
                                      <w:vAlign w:val="center"/>
                                    </w:tcPr>
                                    <w:p w14:paraId="6869D916" w14:textId="070E1273" w:rsidR="00F101D3" w:rsidRPr="006B51F2" w:rsidRDefault="006B51F2" w:rsidP="006B51F2">
                                      <w:pPr>
                                        <w:pStyle w:val="NoSpacing"/>
                                        <w:rPr>
                                          <w:sz w:val="48"/>
                                          <w:szCs w:val="48"/>
                                        </w:rPr>
                                      </w:pPr>
                                      <w:r w:rsidRPr="006B51F2">
                                        <w:rPr>
                                          <w:sz w:val="48"/>
                                          <w:szCs w:val="48"/>
                                        </w:rPr>
                                        <w:t>Student name : Bilyana Todorova</w:t>
                                      </w:r>
                                    </w:p>
                                    <w:p w14:paraId="41E6756F" w14:textId="3B20FB55" w:rsidR="006B51F2" w:rsidRPr="006B51F2" w:rsidRDefault="006B51F2" w:rsidP="006B51F2">
                                      <w:pPr>
                                        <w:pStyle w:val="NoSpacing"/>
                                        <w:rPr>
                                          <w:sz w:val="48"/>
                                          <w:szCs w:val="48"/>
                                        </w:rPr>
                                      </w:pPr>
                                      <w:r w:rsidRPr="006B51F2">
                                        <w:rPr>
                                          <w:sz w:val="48"/>
                                          <w:szCs w:val="48"/>
                                        </w:rPr>
                                        <w:t>Student number: 2010307</w:t>
                                      </w:r>
                                    </w:p>
                                    <w:p w14:paraId="3FBA17D4" w14:textId="019E144F" w:rsidR="00F101D3" w:rsidRPr="00F101D3" w:rsidRDefault="00F101D3" w:rsidP="006B51F2">
                                      <w:pPr>
                                        <w:pStyle w:val="NoSpacing"/>
                                        <w:rPr>
                                          <w:caps/>
                                          <w:color w:val="ED7D31" w:themeColor="accent2"/>
                                          <w:sz w:val="28"/>
                                          <w:szCs w:val="28"/>
                                        </w:rPr>
                                      </w:pPr>
                                    </w:p>
                                  </w:tc>
                                </w:tr>
                              </w:tbl>
                              <w:p w14:paraId="2F66D2CD" w14:textId="77777777" w:rsidR="00114FE5" w:rsidRDefault="00114FE5"/>
                              <w:p w14:paraId="16B1C83C" w14:textId="77777777" w:rsidR="00F57088" w:rsidRDefault="00F5708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5227A32" id="_x0000_t202" coordsize="21600,21600" o:spt="202" path="m,l,21600r21600,l21600,xe">
                    <v:stroke joinstyle="miter"/>
                    <v:path gradientshapeok="t" o:connecttype="rect"/>
                  </v:shapetype>
                  <v:shape id="Text Box 138" o:spid="_x0000_s1026" type="#_x0000_t202" style="position:absolute;left:0;text-align:left;margin-left:-8.45pt;margin-top:4.75pt;width:1248.15pt;height:525.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" fillcolor="white [3201]" stroked="f" strokeweight=".5pt">
                    <v:textbox inset="0,0,0,0">
                      <w:txbxContent>
                        <w:tbl>
                          <w:tblPr>
                            <w:tblW w:w="498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89"/>
                            <w:gridCol w:w="26511"/>
                            <w:gridCol w:w="380"/>
                          </w:tblGrid>
                          <w:tr w:rsidR="00114FE5" w14:paraId="36FB7951" w14:textId="77777777" w:rsidTr="00F101D3">
                            <w:trPr>
                              <w:jc w:val="center"/>
                            </w:trPr>
                            <w:tc>
                              <w:tcPr>
                                <w:tcW w:w="2568" w:type="pct"/>
                                <w:vAlign w:val="center"/>
                              </w:tcPr>
                              <w:sdt>
                                <w:sdtPr>
                                  <w:rPr>
                                    <w:caps/>
                                    <w:color w:val="5B9BD5" w:themeColor="accent1"/>
                                    <w:sz w:val="72"/>
                                    <w:szCs w:val="72"/>
                                  </w:rPr>
                                  <w:alias w:val="Title"/>
                                  <w:tag w:val=""/>
                                  <w:id w:val="1355309929"/>
                                  <w:dataBinding w:prefixMappings="xmlns:ns0='http://purl.org/dc/elements/1.1/' xmlns:ns1='http://schemas.openxmlformats.org/package/2006/metadata/core-properties' " w:xpath="/ns1:coreProperties[1]/ns0:title[1]" w:storeItemID="{6C3C8BC8-F283-45AE-878A-BAB7291924A1}"/>
                                  <w:text/>
                                </w:sdtPr>
                                <w:sdtContent>
                                  <w:p w14:paraId="6B0993B8" w14:textId="77777777" w:rsidR="00114FE5" w:rsidRPr="006603D1" w:rsidRDefault="006603D1" w:rsidP="00F101D3">
                                    <w:pPr>
                                      <w:pStyle w:val="NoSpacing"/>
                                      <w:spacing w:line="312" w:lineRule="auto"/>
                                      <w:jc w:val="center"/>
                                      <w:rPr>
                                        <w:caps/>
                                        <w:color w:val="5B9BD5" w:themeColor="accent1"/>
                                        <w:sz w:val="72"/>
                                        <w:szCs w:val="72"/>
                                      </w:rPr>
                                    </w:pPr>
                                    <w:r w:rsidRPr="006603D1">
                                      <w:rPr>
                                        <w:caps/>
                                        <w:color w:val="5B9BD5" w:themeColor="accent1"/>
                                        <w:sz w:val="72"/>
                                        <w:szCs w:val="72"/>
                                      </w:rPr>
                                      <w:t>International Financial Management</w:t>
                                    </w:r>
                                  </w:p>
                                </w:sdtContent>
                              </w:sdt>
                              <w:sdt>
                                <w:sdtPr>
                                  <w:rPr>
                                    <w:rFonts w:asciiTheme="majorHAnsi" w:hAnsiTheme="majorHAnsi" w:cstheme="majorHAnsi"/>
                                    <w:b/>
                                    <w:sz w:val="36"/>
                                    <w:szCs w:val="36"/>
                                  </w:rPr>
                                  <w:alias w:val="Subtitle"/>
                                  <w:tag w:val=""/>
                                  <w:id w:val="-72435988"/>
                                  <w:dataBinding w:prefixMappings="xmlns:ns0='http://purl.org/dc/elements/1.1/' xmlns:ns1='http://schemas.openxmlformats.org/package/2006/metadata/core-properties' " w:xpath="/ns1:coreProperties[1]/ns0:subject[1]" w:storeItemID="{6C3C8BC8-F283-45AE-878A-BAB7291924A1}"/>
                                  <w:text/>
                                </w:sdtPr>
                                <w:sdtContent>
                                  <w:p w14:paraId="6974E8CF" w14:textId="3E28E675" w:rsidR="00114FE5" w:rsidRDefault="0089765A" w:rsidP="00F101D3">
                                    <w:pPr>
                                      <w:jc w:val="center"/>
                                      <w:rPr>
                                        <w:szCs w:val="24"/>
                                      </w:rPr>
                                    </w:pPr>
                                    <w:r w:rsidRPr="0089765A">
                                      <w:rPr>
                                        <w:rFonts w:asciiTheme="majorHAnsi" w:hAnsiTheme="majorHAnsi" w:cstheme="majorHAnsi"/>
                                        <w:b/>
                                        <w:sz w:val="36"/>
                                        <w:szCs w:val="36"/>
                                      </w:rPr>
                                      <w:t>BA Business Management</w:t>
                                    </w:r>
                                    <w:r>
                                      <w:rPr>
                                        <w:rFonts w:asciiTheme="majorHAnsi" w:hAnsiTheme="majorHAnsi" w:cstheme="majorHAnsi"/>
                                        <w:b/>
                                        <w:sz w:val="36"/>
                                        <w:szCs w:val="36"/>
                                      </w:rPr>
                                      <w:t xml:space="preserve"> </w:t>
                                    </w:r>
                                    <w:r w:rsidRPr="0089765A">
                                      <w:rPr>
                                        <w:rFonts w:asciiTheme="majorHAnsi" w:hAnsiTheme="majorHAnsi" w:cstheme="majorHAnsi"/>
                                        <w:b/>
                                        <w:sz w:val="36"/>
                                        <w:szCs w:val="36"/>
                                      </w:rPr>
                                      <w:t>LCBB6002</w:t>
                                    </w:r>
                                    <w:r w:rsidR="006B51F2">
                                      <w:rPr>
                                        <w:rFonts w:asciiTheme="majorHAnsi" w:hAnsiTheme="majorHAnsi" w:cstheme="majorHAnsi"/>
                                        <w:b/>
                                        <w:sz w:val="36"/>
                                        <w:szCs w:val="36"/>
                                      </w:rPr>
                                      <w:t>-A1</w:t>
                                    </w:r>
                                  </w:p>
                                </w:sdtContent>
                              </w:sdt>
                            </w:tc>
                            <w:tc>
                              <w:tcPr>
                                <w:tcW w:w="2432" w:type="pct"/>
                                <w:gridSpan w:val="2"/>
                                <w:vAlign w:val="center"/>
                              </w:tcPr>
                              <w:p w14:paraId="45144DDA" w14:textId="77777777" w:rsidR="00114FE5" w:rsidRPr="00D03BA3" w:rsidRDefault="00D03BA3">
                                <w:pPr>
                                  <w:pStyle w:val="NoSpacing"/>
                                  <w:rPr>
                                    <w:caps/>
                                    <w:color w:val="ED7D31" w:themeColor="accent2"/>
                                    <w:sz w:val="26"/>
                                    <w:szCs w:val="26"/>
                                  </w:rPr>
                                </w:pPr>
                                <w:r>
                                  <w:rPr>
                                    <w:caps/>
                                    <w:noProof/>
                                    <w:color w:val="ED7D31" w:themeColor="accent2"/>
                                    <w:sz w:val="26"/>
                                    <w:szCs w:val="26"/>
                                    <w:lang w:val="en-GB" w:eastAsia="en-GB"/>
                                  </w:rPr>
                                  <w:drawing>
                                    <wp:inline distT="0" distB="0" distL="0" distR="0" wp14:anchorId="1DD112D3" wp14:editId="78CBE51E">
                                      <wp:extent cx="2857500" cy="2857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2.png"/>
                                              <pic:cNvPicPr/>
                                            </pic:nvPicPr>
                                            <pic:blipFill>
                                              <a:blip r:embed="rId8">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tc>
                          </w:tr>
                          <w:tr w:rsidR="00F101D3" w14:paraId="6130FD00" w14:textId="77777777" w:rsidTr="00F101D3">
                            <w:trPr>
                              <w:gridAfter w:val="1"/>
                              <w:wAfter w:w="6" w:type="pct"/>
                              <w:jc w:val="center"/>
                            </w:trPr>
                            <w:tc>
                              <w:tcPr>
                                <w:tcW w:w="4994" w:type="pct"/>
                                <w:gridSpan w:val="2"/>
                                <w:vAlign w:val="center"/>
                              </w:tcPr>
                              <w:p w14:paraId="6869D916" w14:textId="070E1273" w:rsidR="00F101D3" w:rsidRPr="006B51F2" w:rsidRDefault="006B51F2" w:rsidP="006B51F2">
                                <w:pPr>
                                  <w:pStyle w:val="NoSpacing"/>
                                  <w:rPr>
                                    <w:sz w:val="48"/>
                                    <w:szCs w:val="48"/>
                                  </w:rPr>
                                </w:pPr>
                                <w:r w:rsidRPr="006B51F2">
                                  <w:rPr>
                                    <w:sz w:val="48"/>
                                    <w:szCs w:val="48"/>
                                  </w:rPr>
                                  <w:t>Student name : Bilyana Todorova</w:t>
                                </w:r>
                              </w:p>
                              <w:p w14:paraId="41E6756F" w14:textId="3B20FB55" w:rsidR="006B51F2" w:rsidRPr="006B51F2" w:rsidRDefault="006B51F2" w:rsidP="006B51F2">
                                <w:pPr>
                                  <w:pStyle w:val="NoSpacing"/>
                                  <w:rPr>
                                    <w:sz w:val="48"/>
                                    <w:szCs w:val="48"/>
                                  </w:rPr>
                                </w:pPr>
                                <w:r w:rsidRPr="006B51F2">
                                  <w:rPr>
                                    <w:sz w:val="48"/>
                                    <w:szCs w:val="48"/>
                                  </w:rPr>
                                  <w:t>Student number: 2010307</w:t>
                                </w:r>
                              </w:p>
                              <w:p w14:paraId="3FBA17D4" w14:textId="019E144F" w:rsidR="00F101D3" w:rsidRPr="00F101D3" w:rsidRDefault="00F101D3" w:rsidP="006B51F2">
                                <w:pPr>
                                  <w:pStyle w:val="NoSpacing"/>
                                  <w:rPr>
                                    <w:caps/>
                                    <w:color w:val="ED7D31" w:themeColor="accent2"/>
                                    <w:sz w:val="28"/>
                                    <w:szCs w:val="28"/>
                                  </w:rPr>
                                </w:pPr>
                              </w:p>
                            </w:tc>
                          </w:tr>
                        </w:tbl>
                        <w:p w14:paraId="2F66D2CD" w14:textId="77777777" w:rsidR="00114FE5" w:rsidRDefault="00114FE5"/>
                        <w:p w14:paraId="16B1C83C" w14:textId="77777777" w:rsidR="00F57088" w:rsidRDefault="00F57088"/>
                      </w:txbxContent>
                    </v:textbox>
                    <w10:wrap anchorx="page" anchory="margin"/>
                  </v:shape>
                </w:pict>
              </mc:Fallback>
            </mc:AlternateContent>
          </w:r>
        </w:p>
      </w:sdtContent>
    </w:sdt>
    <w:p w14:paraId="1E770B25" w14:textId="77777777" w:rsidR="00114FE5" w:rsidRDefault="00114FE5" w:rsidP="003F4870">
      <w:pPr>
        <w:pStyle w:val="Heading1"/>
      </w:pPr>
    </w:p>
    <w:sdt>
      <w:sdtPr>
        <w:rPr>
          <w:b w:val="0"/>
          <w:caps w:val="0"/>
          <w:color w:val="auto"/>
          <w:spacing w:val="0"/>
          <w:sz w:val="24"/>
          <w:szCs w:val="20"/>
        </w:rPr>
        <w:id w:val="1818679900"/>
        <w:docPartObj>
          <w:docPartGallery w:val="Table of Contents"/>
          <w:docPartUnique/>
        </w:docPartObj>
      </w:sdtPr>
      <w:sdtEndPr>
        <w:rPr>
          <w:bCs/>
          <w:noProof/>
        </w:rPr>
      </w:sdtEndPr>
      <w:sdtContent>
        <w:p w14:paraId="57F33DEA" w14:textId="77777777" w:rsidR="00F57088" w:rsidRDefault="00F57088">
          <w:pPr>
            <w:pStyle w:val="TOCHeading"/>
          </w:pPr>
          <w:r>
            <w:t>Table of Contents</w:t>
          </w:r>
        </w:p>
        <w:p w14:paraId="299B320B" w14:textId="77777777" w:rsidR="00F57088" w:rsidRDefault="00F57088">
          <w:pPr>
            <w:pStyle w:val="TOC1"/>
            <w:tabs>
              <w:tab w:val="right" w:leader="dot" w:pos="9350"/>
            </w:tabs>
            <w:rPr>
              <w:noProof/>
              <w:sz w:val="22"/>
              <w:szCs w:val="22"/>
            </w:rPr>
          </w:pPr>
          <w:r>
            <w:rPr>
              <w:b/>
              <w:bCs/>
              <w:noProof/>
            </w:rPr>
            <w:fldChar w:fldCharType="begin"/>
          </w:r>
          <w:r>
            <w:rPr>
              <w:b/>
              <w:bCs/>
              <w:noProof/>
            </w:rPr>
            <w:instrText xml:space="preserve"> TOC \o "1-3" \h \z \u </w:instrText>
          </w:r>
          <w:r>
            <w:rPr>
              <w:b/>
              <w:bCs/>
              <w:noProof/>
            </w:rPr>
            <w:fldChar w:fldCharType="separate"/>
          </w:r>
          <w:hyperlink w:anchor="_Toc123229501" w:history="1">
            <w:r w:rsidRPr="007D6FCE">
              <w:rPr>
                <w:rStyle w:val="Hyperlink"/>
                <w:noProof/>
              </w:rPr>
              <w:t>Introduction to the selected multinational corporation</w:t>
            </w:r>
            <w:r>
              <w:rPr>
                <w:noProof/>
                <w:webHidden/>
              </w:rPr>
              <w:tab/>
            </w:r>
            <w:r>
              <w:rPr>
                <w:noProof/>
                <w:webHidden/>
              </w:rPr>
              <w:fldChar w:fldCharType="begin"/>
            </w:r>
            <w:r>
              <w:rPr>
                <w:noProof/>
                <w:webHidden/>
              </w:rPr>
              <w:instrText xml:space="preserve"> PAGEREF _Toc123229501 \h </w:instrText>
            </w:r>
            <w:r>
              <w:rPr>
                <w:noProof/>
                <w:webHidden/>
              </w:rPr>
            </w:r>
            <w:r>
              <w:rPr>
                <w:noProof/>
                <w:webHidden/>
              </w:rPr>
              <w:fldChar w:fldCharType="separate"/>
            </w:r>
            <w:r>
              <w:rPr>
                <w:noProof/>
                <w:webHidden/>
              </w:rPr>
              <w:t>1</w:t>
            </w:r>
            <w:r>
              <w:rPr>
                <w:noProof/>
                <w:webHidden/>
              </w:rPr>
              <w:fldChar w:fldCharType="end"/>
            </w:r>
          </w:hyperlink>
        </w:p>
        <w:p w14:paraId="41DBA963" w14:textId="77777777" w:rsidR="00F57088" w:rsidRDefault="00000000">
          <w:pPr>
            <w:pStyle w:val="TOC1"/>
            <w:tabs>
              <w:tab w:val="right" w:leader="dot" w:pos="9350"/>
            </w:tabs>
            <w:rPr>
              <w:noProof/>
              <w:sz w:val="22"/>
              <w:szCs w:val="22"/>
            </w:rPr>
          </w:pPr>
          <w:hyperlink w:anchor="_Toc123229502" w:history="1">
            <w:r w:rsidR="00F57088" w:rsidRPr="007D6FCE">
              <w:rPr>
                <w:rStyle w:val="Hyperlink"/>
                <w:noProof/>
              </w:rPr>
              <w:t>Dividend distribution policy of Next Plc</w:t>
            </w:r>
            <w:r w:rsidR="00F57088">
              <w:rPr>
                <w:noProof/>
                <w:webHidden/>
              </w:rPr>
              <w:tab/>
            </w:r>
            <w:r w:rsidR="00F57088">
              <w:rPr>
                <w:noProof/>
                <w:webHidden/>
              </w:rPr>
              <w:fldChar w:fldCharType="begin"/>
            </w:r>
            <w:r w:rsidR="00F57088">
              <w:rPr>
                <w:noProof/>
                <w:webHidden/>
              </w:rPr>
              <w:instrText xml:space="preserve"> PAGEREF _Toc123229502 \h </w:instrText>
            </w:r>
            <w:r w:rsidR="00F57088">
              <w:rPr>
                <w:noProof/>
                <w:webHidden/>
              </w:rPr>
            </w:r>
            <w:r w:rsidR="00F57088">
              <w:rPr>
                <w:noProof/>
                <w:webHidden/>
              </w:rPr>
              <w:fldChar w:fldCharType="separate"/>
            </w:r>
            <w:r w:rsidR="00F57088">
              <w:rPr>
                <w:noProof/>
                <w:webHidden/>
              </w:rPr>
              <w:t>1</w:t>
            </w:r>
            <w:r w:rsidR="00F57088">
              <w:rPr>
                <w:noProof/>
                <w:webHidden/>
              </w:rPr>
              <w:fldChar w:fldCharType="end"/>
            </w:r>
          </w:hyperlink>
        </w:p>
        <w:p w14:paraId="22FE0931" w14:textId="77777777" w:rsidR="00F57088" w:rsidRDefault="00000000">
          <w:pPr>
            <w:pStyle w:val="TOC2"/>
            <w:tabs>
              <w:tab w:val="right" w:leader="dot" w:pos="9350"/>
            </w:tabs>
            <w:rPr>
              <w:noProof/>
              <w:sz w:val="22"/>
              <w:szCs w:val="22"/>
            </w:rPr>
          </w:pPr>
          <w:hyperlink w:anchor="_Toc123229503" w:history="1">
            <w:r w:rsidR="00F57088" w:rsidRPr="007D6FCE">
              <w:rPr>
                <w:rStyle w:val="Hyperlink"/>
                <w:noProof/>
              </w:rPr>
              <w:t>Dividend payment history of Next Plc</w:t>
            </w:r>
            <w:r w:rsidR="00F57088">
              <w:rPr>
                <w:noProof/>
                <w:webHidden/>
              </w:rPr>
              <w:tab/>
            </w:r>
            <w:r w:rsidR="00F57088">
              <w:rPr>
                <w:noProof/>
                <w:webHidden/>
              </w:rPr>
              <w:fldChar w:fldCharType="begin"/>
            </w:r>
            <w:r w:rsidR="00F57088">
              <w:rPr>
                <w:noProof/>
                <w:webHidden/>
              </w:rPr>
              <w:instrText xml:space="preserve"> PAGEREF _Toc123229503 \h </w:instrText>
            </w:r>
            <w:r w:rsidR="00F57088">
              <w:rPr>
                <w:noProof/>
                <w:webHidden/>
              </w:rPr>
            </w:r>
            <w:r w:rsidR="00F57088">
              <w:rPr>
                <w:noProof/>
                <w:webHidden/>
              </w:rPr>
              <w:fldChar w:fldCharType="separate"/>
            </w:r>
            <w:r w:rsidR="00F57088">
              <w:rPr>
                <w:noProof/>
                <w:webHidden/>
              </w:rPr>
              <w:t>2</w:t>
            </w:r>
            <w:r w:rsidR="00F57088">
              <w:rPr>
                <w:noProof/>
                <w:webHidden/>
              </w:rPr>
              <w:fldChar w:fldCharType="end"/>
            </w:r>
          </w:hyperlink>
        </w:p>
        <w:p w14:paraId="06B3688F" w14:textId="77777777" w:rsidR="00F57088" w:rsidRDefault="00000000">
          <w:pPr>
            <w:pStyle w:val="TOC1"/>
            <w:tabs>
              <w:tab w:val="right" w:leader="dot" w:pos="9350"/>
            </w:tabs>
            <w:rPr>
              <w:noProof/>
              <w:sz w:val="22"/>
              <w:szCs w:val="22"/>
            </w:rPr>
          </w:pPr>
          <w:hyperlink w:anchor="_Toc123229504" w:history="1">
            <w:r w:rsidR="00F57088" w:rsidRPr="007D6FCE">
              <w:rPr>
                <w:rStyle w:val="Hyperlink"/>
                <w:noProof/>
              </w:rPr>
              <w:t>Analysis and evaluation of efficient market hypothesis for Next Plc.</w:t>
            </w:r>
            <w:r w:rsidR="00F57088">
              <w:rPr>
                <w:noProof/>
                <w:webHidden/>
              </w:rPr>
              <w:tab/>
            </w:r>
            <w:r w:rsidR="00F57088">
              <w:rPr>
                <w:noProof/>
                <w:webHidden/>
              </w:rPr>
              <w:fldChar w:fldCharType="begin"/>
            </w:r>
            <w:r w:rsidR="00F57088">
              <w:rPr>
                <w:noProof/>
                <w:webHidden/>
              </w:rPr>
              <w:instrText xml:space="preserve"> PAGEREF _Toc123229504 \h </w:instrText>
            </w:r>
            <w:r w:rsidR="00F57088">
              <w:rPr>
                <w:noProof/>
                <w:webHidden/>
              </w:rPr>
            </w:r>
            <w:r w:rsidR="00F57088">
              <w:rPr>
                <w:noProof/>
                <w:webHidden/>
              </w:rPr>
              <w:fldChar w:fldCharType="separate"/>
            </w:r>
            <w:r w:rsidR="00F57088">
              <w:rPr>
                <w:noProof/>
                <w:webHidden/>
              </w:rPr>
              <w:t>4</w:t>
            </w:r>
            <w:r w:rsidR="00F57088">
              <w:rPr>
                <w:noProof/>
                <w:webHidden/>
              </w:rPr>
              <w:fldChar w:fldCharType="end"/>
            </w:r>
          </w:hyperlink>
        </w:p>
        <w:p w14:paraId="2BBEDB91" w14:textId="77777777" w:rsidR="00F57088" w:rsidRDefault="00000000">
          <w:pPr>
            <w:pStyle w:val="TOC1"/>
            <w:tabs>
              <w:tab w:val="right" w:leader="dot" w:pos="9350"/>
            </w:tabs>
            <w:rPr>
              <w:noProof/>
              <w:sz w:val="22"/>
              <w:szCs w:val="22"/>
            </w:rPr>
          </w:pPr>
          <w:hyperlink w:anchor="_Toc123229505" w:history="1">
            <w:r w:rsidR="00F57088" w:rsidRPr="007D6FCE">
              <w:rPr>
                <w:rStyle w:val="Hyperlink"/>
                <w:noProof/>
              </w:rPr>
              <w:t>Critical analysis and evaluation of project appraisal techniques used at Next Plc</w:t>
            </w:r>
            <w:r w:rsidR="00F57088">
              <w:rPr>
                <w:noProof/>
                <w:webHidden/>
              </w:rPr>
              <w:tab/>
            </w:r>
            <w:r w:rsidR="00F57088">
              <w:rPr>
                <w:noProof/>
                <w:webHidden/>
              </w:rPr>
              <w:fldChar w:fldCharType="begin"/>
            </w:r>
            <w:r w:rsidR="00F57088">
              <w:rPr>
                <w:noProof/>
                <w:webHidden/>
              </w:rPr>
              <w:instrText xml:space="preserve"> PAGEREF _Toc123229505 \h </w:instrText>
            </w:r>
            <w:r w:rsidR="00F57088">
              <w:rPr>
                <w:noProof/>
                <w:webHidden/>
              </w:rPr>
            </w:r>
            <w:r w:rsidR="00F57088">
              <w:rPr>
                <w:noProof/>
                <w:webHidden/>
              </w:rPr>
              <w:fldChar w:fldCharType="separate"/>
            </w:r>
            <w:r w:rsidR="00F57088">
              <w:rPr>
                <w:noProof/>
                <w:webHidden/>
              </w:rPr>
              <w:t>6</w:t>
            </w:r>
            <w:r w:rsidR="00F57088">
              <w:rPr>
                <w:noProof/>
                <w:webHidden/>
              </w:rPr>
              <w:fldChar w:fldCharType="end"/>
            </w:r>
          </w:hyperlink>
        </w:p>
        <w:p w14:paraId="53FA0432" w14:textId="77777777" w:rsidR="00F57088" w:rsidRDefault="00000000">
          <w:pPr>
            <w:pStyle w:val="TOC2"/>
            <w:tabs>
              <w:tab w:val="right" w:leader="dot" w:pos="9350"/>
            </w:tabs>
            <w:rPr>
              <w:noProof/>
              <w:sz w:val="22"/>
              <w:szCs w:val="22"/>
            </w:rPr>
          </w:pPr>
          <w:hyperlink w:anchor="_Toc123229506" w:history="1">
            <w:r w:rsidR="00F57088" w:rsidRPr="007D6FCE">
              <w:rPr>
                <w:rStyle w:val="Hyperlink"/>
                <w:noProof/>
              </w:rPr>
              <w:t>Net Present Value</w:t>
            </w:r>
            <w:r w:rsidR="00F57088">
              <w:rPr>
                <w:noProof/>
                <w:webHidden/>
              </w:rPr>
              <w:tab/>
            </w:r>
            <w:r w:rsidR="00F57088">
              <w:rPr>
                <w:noProof/>
                <w:webHidden/>
              </w:rPr>
              <w:fldChar w:fldCharType="begin"/>
            </w:r>
            <w:r w:rsidR="00F57088">
              <w:rPr>
                <w:noProof/>
                <w:webHidden/>
              </w:rPr>
              <w:instrText xml:space="preserve"> PAGEREF _Toc123229506 \h </w:instrText>
            </w:r>
            <w:r w:rsidR="00F57088">
              <w:rPr>
                <w:noProof/>
                <w:webHidden/>
              </w:rPr>
            </w:r>
            <w:r w:rsidR="00F57088">
              <w:rPr>
                <w:noProof/>
                <w:webHidden/>
              </w:rPr>
              <w:fldChar w:fldCharType="separate"/>
            </w:r>
            <w:r w:rsidR="00F57088">
              <w:rPr>
                <w:noProof/>
                <w:webHidden/>
              </w:rPr>
              <w:t>6</w:t>
            </w:r>
            <w:r w:rsidR="00F57088">
              <w:rPr>
                <w:noProof/>
                <w:webHidden/>
              </w:rPr>
              <w:fldChar w:fldCharType="end"/>
            </w:r>
          </w:hyperlink>
        </w:p>
        <w:p w14:paraId="397FC6AF" w14:textId="77777777" w:rsidR="00F57088" w:rsidRDefault="00000000">
          <w:pPr>
            <w:pStyle w:val="TOC3"/>
            <w:tabs>
              <w:tab w:val="right" w:leader="dot" w:pos="9350"/>
            </w:tabs>
            <w:rPr>
              <w:noProof/>
              <w:sz w:val="22"/>
              <w:szCs w:val="22"/>
            </w:rPr>
          </w:pPr>
          <w:hyperlink w:anchor="_Toc123229507" w:history="1">
            <w:r w:rsidR="00F57088" w:rsidRPr="007D6FCE">
              <w:rPr>
                <w:rStyle w:val="Hyperlink"/>
                <w:noProof/>
              </w:rPr>
              <w:t>Payback Period</w:t>
            </w:r>
            <w:r w:rsidR="00F57088">
              <w:rPr>
                <w:noProof/>
                <w:webHidden/>
              </w:rPr>
              <w:tab/>
            </w:r>
            <w:r w:rsidR="00F57088">
              <w:rPr>
                <w:noProof/>
                <w:webHidden/>
              </w:rPr>
              <w:fldChar w:fldCharType="begin"/>
            </w:r>
            <w:r w:rsidR="00F57088">
              <w:rPr>
                <w:noProof/>
                <w:webHidden/>
              </w:rPr>
              <w:instrText xml:space="preserve"> PAGEREF _Toc123229507 \h </w:instrText>
            </w:r>
            <w:r w:rsidR="00F57088">
              <w:rPr>
                <w:noProof/>
                <w:webHidden/>
              </w:rPr>
            </w:r>
            <w:r w:rsidR="00F57088">
              <w:rPr>
                <w:noProof/>
                <w:webHidden/>
              </w:rPr>
              <w:fldChar w:fldCharType="separate"/>
            </w:r>
            <w:r w:rsidR="00F57088">
              <w:rPr>
                <w:noProof/>
                <w:webHidden/>
              </w:rPr>
              <w:t>7</w:t>
            </w:r>
            <w:r w:rsidR="00F57088">
              <w:rPr>
                <w:noProof/>
                <w:webHidden/>
              </w:rPr>
              <w:fldChar w:fldCharType="end"/>
            </w:r>
          </w:hyperlink>
        </w:p>
        <w:p w14:paraId="75F5FD37" w14:textId="77777777" w:rsidR="00F57088" w:rsidRDefault="00F57088">
          <w:r>
            <w:rPr>
              <w:b/>
              <w:bCs/>
              <w:noProof/>
            </w:rPr>
            <w:fldChar w:fldCharType="end"/>
          </w:r>
        </w:p>
      </w:sdtContent>
    </w:sdt>
    <w:p w14:paraId="7900186B" w14:textId="77777777" w:rsidR="00EA4CE7" w:rsidRDefault="006603D1" w:rsidP="00F57088">
      <w:pPr>
        <w:pStyle w:val="Heading1"/>
      </w:pPr>
      <w:r>
        <w:br w:type="page"/>
      </w:r>
      <w:bookmarkStart w:id="0" w:name="_Toc123229501"/>
    </w:p>
    <w:p w14:paraId="13B5C160" w14:textId="77777777" w:rsidR="00EA4CE7" w:rsidRDefault="00EA4CE7">
      <w:pPr>
        <w:spacing w:line="276" w:lineRule="auto"/>
        <w:jc w:val="left"/>
        <w:rPr>
          <w:b/>
          <w:caps/>
          <w:color w:val="FFFFFF" w:themeColor="background1"/>
          <w:spacing w:val="15"/>
          <w:sz w:val="28"/>
          <w:szCs w:val="22"/>
        </w:rPr>
      </w:pPr>
      <w:r>
        <w:br w:type="page"/>
      </w:r>
    </w:p>
    <w:p w14:paraId="3EC84722" w14:textId="77777777" w:rsidR="003F4870" w:rsidRDefault="003F4870" w:rsidP="00F57088">
      <w:pPr>
        <w:pStyle w:val="Heading1"/>
      </w:pPr>
      <w:r>
        <w:t>Introduction to the selected multinational corporation</w:t>
      </w:r>
      <w:bookmarkEnd w:id="0"/>
    </w:p>
    <w:p w14:paraId="245DB33A" w14:textId="77777777" w:rsidR="006F704C" w:rsidRDefault="00632286">
      <w:r>
        <w:t xml:space="preserve">The multinational corporation selected is known Next Plc which sells </w:t>
      </w:r>
      <w:r w:rsidRPr="00632286">
        <w:t>c</w:t>
      </w:r>
      <w:r>
        <w:t xml:space="preserve">lothing, footwear, accessories </w:t>
      </w:r>
      <w:r w:rsidRPr="00632286">
        <w:t>home</w:t>
      </w:r>
      <w:r>
        <w:t xml:space="preserve"> and beauty</w:t>
      </w:r>
      <w:r w:rsidRPr="00632286">
        <w:t xml:space="preserve"> products.</w:t>
      </w:r>
      <w:r>
        <w:t xml:space="preserve"> The selected multinational corporation has seven business segments including</w:t>
      </w:r>
      <w:r w:rsidR="00BF57C2">
        <w:t xml:space="preserve"> Online present, Retail presence, Finance division, International Retail division, Lipsy, NENA, Managing Property and Sourcing division of Next.</w:t>
      </w:r>
      <w:r w:rsidR="00BF57C2" w:rsidRPr="00632286">
        <w:t xml:space="preserve"> </w:t>
      </w:r>
      <w:r w:rsidR="00021EE3">
        <w:t>Next</w:t>
      </w:r>
      <w:r w:rsidR="00021EE3" w:rsidRPr="00632286">
        <w:t xml:space="preserve"> International Retail</w:t>
      </w:r>
      <w:r w:rsidR="00021EE3">
        <w:t xml:space="preserve"> segment is based on the model of franchise and franchise-owned stores </w:t>
      </w:r>
      <w:r w:rsidR="002136A5">
        <w:t xml:space="preserve">in international retail markets </w:t>
      </w:r>
      <w:sdt>
        <w:sdtPr>
          <w:id w:val="-1136334556"/>
          <w:citation/>
        </w:sdtPr>
        <w:sdtContent>
          <w:r w:rsidR="00021EE3">
            <w:fldChar w:fldCharType="begin"/>
          </w:r>
          <w:r w:rsidR="00021EE3">
            <w:instrText xml:space="preserve"> CITATION Reu222 \l 1033 </w:instrText>
          </w:r>
          <w:r w:rsidR="00021EE3">
            <w:fldChar w:fldCharType="separate"/>
          </w:r>
          <w:r w:rsidR="00EA4CE7" w:rsidRPr="00EA4CE7">
            <w:rPr>
              <w:noProof/>
            </w:rPr>
            <w:t>(Reuters, 2022)</w:t>
          </w:r>
          <w:r w:rsidR="00021EE3">
            <w:fldChar w:fldCharType="end"/>
          </w:r>
        </w:sdtContent>
      </w:sdt>
      <w:r w:rsidR="00021EE3">
        <w:t>.</w:t>
      </w:r>
    </w:p>
    <w:p w14:paraId="39B183AC" w14:textId="77777777" w:rsidR="003F4870" w:rsidRDefault="00FB1096" w:rsidP="00FB1096">
      <w:pPr>
        <w:pStyle w:val="Heading1"/>
      </w:pPr>
      <w:bookmarkStart w:id="1" w:name="_Toc123229502"/>
      <w:r>
        <w:t>Dividend distribution policy of Next Plc</w:t>
      </w:r>
      <w:bookmarkEnd w:id="1"/>
    </w:p>
    <w:p w14:paraId="6A1541E3" w14:textId="77777777" w:rsidR="002136A5" w:rsidRDefault="00FB1096">
      <w:r>
        <w:t>Dividend distribution policy is impacted by the personal and corporate tax systems under which they operate. Preference of the shareholders regarding dividend may vary as some may prefer capital gains as it is taxed at lower rate and others may desire dividend which despite being taxed at higher rates.</w:t>
      </w:r>
    </w:p>
    <w:p w14:paraId="4C8D8A97" w14:textId="77777777" w:rsidR="009C591C" w:rsidRDefault="009C591C" w:rsidP="009C591C">
      <w:r>
        <w:t xml:space="preserve">The policy of dividend distribution may also be influenced by </w:t>
      </w:r>
      <w:r w:rsidRPr="009C591C">
        <w:t xml:space="preserve">the financial position of </w:t>
      </w:r>
      <w:r>
        <w:t>Next Plc</w:t>
      </w:r>
      <w:r w:rsidRPr="009C591C">
        <w:t>, other funding needs related to the investments to be made</w:t>
      </w:r>
      <w:r w:rsidR="001A37FF">
        <w:t xml:space="preserve"> in future, conditions of</w:t>
      </w:r>
      <w:r w:rsidRPr="009C591C">
        <w:t xml:space="preserve"> the </w:t>
      </w:r>
      <w:r w:rsidR="001A37FF">
        <w:t>business sector and</w:t>
      </w:r>
      <w:r w:rsidRPr="009C591C">
        <w:t xml:space="preserve"> conditi</w:t>
      </w:r>
      <w:r w:rsidR="001A37FF">
        <w:t>ons in the economic environment in which Next Plc operates.</w:t>
      </w:r>
    </w:p>
    <w:p w14:paraId="6D0A969F" w14:textId="77777777" w:rsidR="00D73530" w:rsidRDefault="00D73530" w:rsidP="009C591C">
      <w:r>
        <w:t xml:space="preserve">There mainly </w:t>
      </w:r>
      <w:r w:rsidR="00F711AB">
        <w:t>five</w:t>
      </w:r>
      <w:r>
        <w:t xml:space="preserve"> dividend distribution policies </w:t>
      </w:r>
      <w:r w:rsidR="007D53A8">
        <w:t xml:space="preserve">that the </w:t>
      </w:r>
      <w:r w:rsidR="00BF57C2">
        <w:t xml:space="preserve">organizations normally follows. Constant dividends is important along with constant growth. Other relevant policies are based on constant pay-out ratio along with dividends as residuals and no dividends. </w:t>
      </w:r>
    </w:p>
    <w:p w14:paraId="4A4154D0" w14:textId="77777777" w:rsidR="00F57088" w:rsidRDefault="00F57088" w:rsidP="008E381C">
      <w:pPr>
        <w:pStyle w:val="Heading2"/>
      </w:pPr>
      <w:r w:rsidRPr="00F60D6D">
        <w:t>Constant Dividends</w:t>
      </w:r>
    </w:p>
    <w:p w14:paraId="475F7D90" w14:textId="77777777" w:rsidR="007D53A8" w:rsidRDefault="007D53A8" w:rsidP="009C591C">
      <w:r>
        <w:t xml:space="preserve">In </w:t>
      </w:r>
      <w:r w:rsidRPr="008E381C">
        <w:t>Constant Dividends</w:t>
      </w:r>
      <w:r>
        <w:t xml:space="preserve"> approach, amounts of dividends are fixed and predictable. However, constant increase in earnings may cause shareholders to be dissatisfied </w:t>
      </w:r>
      <w:r w:rsidR="006A3665">
        <w:t xml:space="preserve">because they might think that they stuck at low dividends which may further cause them </w:t>
      </w:r>
      <w:r>
        <w:t xml:space="preserve">to start questioning </w:t>
      </w:r>
      <w:r w:rsidR="006A3665">
        <w:t xml:space="preserve">the company on whether the organisation </w:t>
      </w:r>
      <w:r w:rsidR="006A3665" w:rsidRPr="006A3665">
        <w:t xml:space="preserve">can </w:t>
      </w:r>
      <w:r w:rsidR="006A3665">
        <w:t>discover</w:t>
      </w:r>
      <w:r w:rsidR="006A3665" w:rsidRPr="006A3665">
        <w:t xml:space="preserve"> sufficient investment opp</w:t>
      </w:r>
      <w:r w:rsidR="006A3665">
        <w:t xml:space="preserve">ortunities of the right quality </w:t>
      </w:r>
      <w:sdt>
        <w:sdtPr>
          <w:id w:val="1101075052"/>
          <w:citation/>
        </w:sdtPr>
        <w:sdtContent>
          <w:r w:rsidR="006A3665">
            <w:fldChar w:fldCharType="begin"/>
          </w:r>
          <w:r w:rsidR="006A3665">
            <w:instrText xml:space="preserve"> CITATION ACC226 \l 1033 </w:instrText>
          </w:r>
          <w:r w:rsidR="006A3665">
            <w:fldChar w:fldCharType="separate"/>
          </w:r>
          <w:r w:rsidR="00EA4CE7" w:rsidRPr="00EA4CE7">
            <w:rPr>
              <w:noProof/>
            </w:rPr>
            <w:t>(ACCA, 2022)</w:t>
          </w:r>
          <w:r w:rsidR="006A3665">
            <w:fldChar w:fldCharType="end"/>
          </w:r>
        </w:sdtContent>
      </w:sdt>
      <w:r w:rsidR="006A3665">
        <w:t>.</w:t>
      </w:r>
    </w:p>
    <w:p w14:paraId="3560DA86" w14:textId="77777777" w:rsidR="008E381C" w:rsidRDefault="008E381C"/>
    <w:p w14:paraId="5FAC1F05" w14:textId="77777777" w:rsidR="008E381C" w:rsidRDefault="008E381C" w:rsidP="008E381C">
      <w:pPr>
        <w:pStyle w:val="Heading2"/>
      </w:pPr>
      <w:r w:rsidRPr="00F60D6D">
        <w:t>Constant Growth</w:t>
      </w:r>
    </w:p>
    <w:p w14:paraId="692EE293" w14:textId="77777777" w:rsidR="002136A5" w:rsidRDefault="00F60D6D">
      <w:r>
        <w:t xml:space="preserve">In </w:t>
      </w:r>
      <w:r w:rsidRPr="008E381C">
        <w:t>Constant Growth</w:t>
      </w:r>
      <w:r>
        <w:t xml:space="preserve"> approach, dividends amounts are predictable because dividend amounts constantly grows which may please equity investors. However, its main disadvantage is that dividend pay-out may not match with changes in earnings.</w:t>
      </w:r>
    </w:p>
    <w:p w14:paraId="46B7007C" w14:textId="77777777" w:rsidR="008E381C" w:rsidRDefault="008E381C" w:rsidP="008E381C">
      <w:pPr>
        <w:pStyle w:val="Heading2"/>
      </w:pPr>
      <w:r w:rsidRPr="0078747F">
        <w:t>Constant Pay-out Ratio</w:t>
      </w:r>
    </w:p>
    <w:p w14:paraId="759A8224" w14:textId="77777777" w:rsidR="00F60D6D" w:rsidRDefault="00B67761">
      <w:r>
        <w:t xml:space="preserve">In </w:t>
      </w:r>
      <w:r w:rsidRPr="008E381C">
        <w:t>Constant Pay-out Ratio</w:t>
      </w:r>
      <w:r>
        <w:t xml:space="preserve"> approach, dividends are paid as percentage of earnings which may create a logical and clear link between earnings and dividends but a cut in dividend may give misleading signal to the shareholders, or no change in dividend despite making loss by the company may signify t</w:t>
      </w:r>
      <w:r w:rsidR="003E6F20">
        <w:t>o</w:t>
      </w:r>
      <w:r>
        <w:t xml:space="preserve"> shareholders that </w:t>
      </w:r>
      <w:r w:rsidR="003E6F20">
        <w:t xml:space="preserve">the directors are confident that the decrease in earnings is temporary </w:t>
      </w:r>
      <w:sdt>
        <w:sdtPr>
          <w:id w:val="-1074656373"/>
          <w:citation/>
        </w:sdtPr>
        <w:sdtContent>
          <w:r w:rsidR="003E6F20">
            <w:fldChar w:fldCharType="begin"/>
          </w:r>
          <w:r w:rsidR="003E6F20">
            <w:instrText xml:space="preserve"> CITATION ACC226 \l 1033 </w:instrText>
          </w:r>
          <w:r w:rsidR="003E6F20">
            <w:fldChar w:fldCharType="separate"/>
          </w:r>
          <w:r w:rsidR="00EA4CE7" w:rsidRPr="00EA4CE7">
            <w:rPr>
              <w:noProof/>
            </w:rPr>
            <w:t>(ACCA, 2022)</w:t>
          </w:r>
          <w:r w:rsidR="003E6F20">
            <w:fldChar w:fldCharType="end"/>
          </w:r>
        </w:sdtContent>
      </w:sdt>
      <w:r w:rsidR="003E6F20">
        <w:t>.</w:t>
      </w:r>
    </w:p>
    <w:p w14:paraId="437F8AE6" w14:textId="77777777" w:rsidR="008E381C" w:rsidRDefault="008E381C" w:rsidP="008E381C">
      <w:pPr>
        <w:pStyle w:val="Heading2"/>
      </w:pPr>
      <w:r w:rsidRPr="0088402C">
        <w:t>Dividends as Residuals</w:t>
      </w:r>
    </w:p>
    <w:p w14:paraId="0F008215" w14:textId="77777777" w:rsidR="0088402C" w:rsidRDefault="0088402C">
      <w:r>
        <w:t xml:space="preserve">As per </w:t>
      </w:r>
      <w:r w:rsidRPr="008E381C">
        <w:t>Dividends as Residuals</w:t>
      </w:r>
      <w:r>
        <w:t>, dividends are paid if the company is left with the funds after investing into profitable projects.</w:t>
      </w:r>
    </w:p>
    <w:p w14:paraId="218B2204" w14:textId="77777777" w:rsidR="008E381C" w:rsidRDefault="008E381C" w:rsidP="008E381C">
      <w:pPr>
        <w:pStyle w:val="Heading2"/>
      </w:pPr>
      <w:r w:rsidRPr="008E381C">
        <w:t>No Dividend</w:t>
      </w:r>
    </w:p>
    <w:p w14:paraId="71A4CABE" w14:textId="77777777" w:rsidR="0088402C" w:rsidRDefault="0088402C">
      <w:r>
        <w:t xml:space="preserve">Under </w:t>
      </w:r>
      <w:r w:rsidRPr="008E381C">
        <w:t>No Dividend</w:t>
      </w:r>
      <w:r>
        <w:rPr>
          <w:b/>
        </w:rPr>
        <w:t xml:space="preserve"> </w:t>
      </w:r>
      <w:r>
        <w:t>policy, no dividends are paid out. Apple Incorporation and Microsoft are the perfect examples.</w:t>
      </w:r>
    </w:p>
    <w:p w14:paraId="5A02CC50" w14:textId="77777777" w:rsidR="00B67589" w:rsidRDefault="00B67589"/>
    <w:p w14:paraId="38650B7B" w14:textId="77777777" w:rsidR="00B67589" w:rsidRDefault="00B67589"/>
    <w:p w14:paraId="17762F2C" w14:textId="77777777" w:rsidR="00B67589" w:rsidRDefault="00B67589"/>
    <w:p w14:paraId="2BFC7B62" w14:textId="77777777" w:rsidR="00B67589" w:rsidRDefault="00B67589"/>
    <w:p w14:paraId="1016349F" w14:textId="77777777" w:rsidR="00B67589" w:rsidRDefault="00B67589"/>
    <w:p w14:paraId="3EED7F52" w14:textId="77777777" w:rsidR="00B67589" w:rsidRDefault="00B67589"/>
    <w:p w14:paraId="383A322C" w14:textId="77777777" w:rsidR="00A56A7E" w:rsidRDefault="00A56A7E" w:rsidP="00A56A7E">
      <w:pPr>
        <w:pStyle w:val="Heading2"/>
      </w:pPr>
      <w:bookmarkStart w:id="2" w:name="_Toc123229503"/>
      <w:r>
        <w:t>Dividend payment history of Next Plc</w:t>
      </w:r>
      <w:bookmarkEnd w:id="2"/>
    </w:p>
    <w:p w14:paraId="2BA3A378" w14:textId="77777777" w:rsidR="00A26E4A" w:rsidRDefault="00A26E4A" w:rsidP="00A26E4A">
      <w:r>
        <w:t>Below is the dividend payment history of Next Plc:</w:t>
      </w:r>
    </w:p>
    <w:tbl>
      <w:tblPr>
        <w:tblStyle w:val="GridTable4-Accent1"/>
        <w:tblW w:w="9276" w:type="dxa"/>
        <w:tblLook w:val="04A0" w:firstRow="1" w:lastRow="0" w:firstColumn="1" w:lastColumn="0" w:noHBand="0" w:noVBand="1"/>
      </w:tblPr>
      <w:tblGrid>
        <w:gridCol w:w="3555"/>
        <w:gridCol w:w="2569"/>
        <w:gridCol w:w="3152"/>
      </w:tblGrid>
      <w:tr w:rsidR="00A26E4A" w:rsidRPr="00A26E4A" w14:paraId="0830F8E0" w14:textId="77777777" w:rsidTr="0050072A">
        <w:trPr>
          <w:cnfStyle w:val="100000000000" w:firstRow="1" w:lastRow="0" w:firstColumn="0" w:lastColumn="0" w:oddVBand="0" w:evenVBand="0" w:oddHBand="0" w:evenHBand="0" w:firstRowFirstColumn="0" w:firstRowLastColumn="0" w:lastRowFirstColumn="0" w:lastRowLastColumn="0"/>
          <w:trHeight w:val="806"/>
        </w:trPr>
        <w:tc>
          <w:tcPr>
            <w:cnfStyle w:val="001000000000" w:firstRow="0" w:lastRow="0" w:firstColumn="1" w:lastColumn="0" w:oddVBand="0" w:evenVBand="0" w:oddHBand="0" w:evenHBand="0" w:firstRowFirstColumn="0" w:firstRowLastColumn="0" w:lastRowFirstColumn="0" w:lastRowLastColumn="0"/>
            <w:tcW w:w="3555" w:type="dxa"/>
            <w:noWrap/>
            <w:hideMark/>
          </w:tcPr>
          <w:p w14:paraId="3FC2F222" w14:textId="77777777" w:rsidR="00A26E4A" w:rsidRPr="00A26E4A" w:rsidRDefault="00A26E4A" w:rsidP="00A26E4A">
            <w:pPr>
              <w:spacing w:line="240" w:lineRule="auto"/>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Dividend payment date</w:t>
            </w:r>
          </w:p>
          <w:p w14:paraId="34CFDD64" w14:textId="77777777" w:rsidR="00A26E4A" w:rsidRPr="00A26E4A" w:rsidRDefault="00A26E4A" w:rsidP="00A26E4A">
            <w:pPr>
              <w:spacing w:line="240" w:lineRule="auto"/>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 </w:t>
            </w:r>
          </w:p>
        </w:tc>
        <w:tc>
          <w:tcPr>
            <w:tcW w:w="2569" w:type="dxa"/>
            <w:noWrap/>
            <w:hideMark/>
          </w:tcPr>
          <w:p w14:paraId="256D1368" w14:textId="77777777" w:rsidR="00A26E4A" w:rsidRPr="00A26E4A" w:rsidRDefault="00A26E4A" w:rsidP="00A26E4A">
            <w:pPr>
              <w:spacing w:line="240" w:lineRule="auto"/>
              <w:cnfStyle w:val="100000000000" w:firstRow="1" w:lastRow="0" w:firstColumn="0" w:lastColumn="0" w:oddVBand="0" w:evenVBand="0" w:oddHBand="0" w:evenHBand="0" w:firstRowFirstColumn="0" w:firstRowLastColumn="0" w:lastRowFirstColumn="0" w:lastRowLastColumn="0"/>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Interim / Final</w:t>
            </w:r>
          </w:p>
          <w:p w14:paraId="648E3A98" w14:textId="77777777" w:rsidR="00A26E4A" w:rsidRPr="00A26E4A" w:rsidRDefault="00A26E4A" w:rsidP="00A26E4A">
            <w:pPr>
              <w:spacing w:line="240" w:lineRule="auto"/>
              <w:cnfStyle w:val="100000000000" w:firstRow="1" w:lastRow="0" w:firstColumn="0" w:lastColumn="0" w:oddVBand="0" w:evenVBand="0" w:oddHBand="0" w:evenHBand="0" w:firstRowFirstColumn="0" w:firstRowLastColumn="0" w:lastRowFirstColumn="0" w:lastRowLastColumn="0"/>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 </w:t>
            </w:r>
          </w:p>
        </w:tc>
        <w:tc>
          <w:tcPr>
            <w:tcW w:w="3152" w:type="dxa"/>
            <w:noWrap/>
            <w:hideMark/>
          </w:tcPr>
          <w:p w14:paraId="3F6AD3CD" w14:textId="77777777" w:rsidR="00A26E4A" w:rsidRPr="00A26E4A" w:rsidRDefault="00A26E4A" w:rsidP="00A26E4A">
            <w:pPr>
              <w:spacing w:line="240" w:lineRule="auto"/>
              <w:cnfStyle w:val="100000000000" w:firstRow="1" w:lastRow="0" w:firstColumn="0" w:lastColumn="0" w:oddVBand="0" w:evenVBand="0" w:oddHBand="0" w:evenHBand="0" w:firstRowFirstColumn="0" w:firstRowLastColumn="0" w:lastRowFirstColumn="0" w:lastRowLastColumn="0"/>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Cash dividend paid per share (pence)</w:t>
            </w:r>
          </w:p>
          <w:p w14:paraId="004C3F9C" w14:textId="77777777" w:rsidR="00A26E4A" w:rsidRPr="00A26E4A" w:rsidRDefault="00A26E4A" w:rsidP="00A26E4A">
            <w:pPr>
              <w:spacing w:line="240" w:lineRule="auto"/>
              <w:cnfStyle w:val="100000000000" w:firstRow="1" w:lastRow="0" w:firstColumn="0" w:lastColumn="0" w:oddVBand="0" w:evenVBand="0" w:oddHBand="0" w:evenHBand="0" w:firstRowFirstColumn="0" w:firstRowLastColumn="0" w:lastRowFirstColumn="0" w:lastRowLastColumn="0"/>
              <w:rPr>
                <w:rFonts w:ascii="ITC Avant Garde Gothic W01 Dm" w:eastAsia="Times New Roman" w:hAnsi="ITC Avant Garde Gothic W01 Dm" w:cs="Calibri"/>
                <w:color w:val="FFFFFF"/>
                <w:sz w:val="22"/>
              </w:rPr>
            </w:pPr>
            <w:r w:rsidRPr="00A26E4A">
              <w:rPr>
                <w:rFonts w:ascii="ITC Avant Garde Gothic W01 Dm" w:eastAsia="Times New Roman" w:hAnsi="ITC Avant Garde Gothic W01 Dm" w:cs="Calibri"/>
                <w:color w:val="FFFFFF"/>
                <w:sz w:val="22"/>
              </w:rPr>
              <w:t> </w:t>
            </w:r>
          </w:p>
        </w:tc>
      </w:tr>
      <w:tr w:rsidR="00A26E4A" w:rsidRPr="00A26E4A" w14:paraId="4AF7421A"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59C85B81"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1-Aug-22</w:t>
            </w:r>
          </w:p>
        </w:tc>
        <w:tc>
          <w:tcPr>
            <w:tcW w:w="2569" w:type="dxa"/>
            <w:noWrap/>
            <w:hideMark/>
          </w:tcPr>
          <w:p w14:paraId="766B3992"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Ordinary</w:t>
            </w:r>
          </w:p>
        </w:tc>
        <w:tc>
          <w:tcPr>
            <w:tcW w:w="3152" w:type="dxa"/>
            <w:noWrap/>
            <w:hideMark/>
          </w:tcPr>
          <w:p w14:paraId="0A8C7F2B"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127</w:t>
            </w:r>
          </w:p>
        </w:tc>
      </w:tr>
      <w:tr w:rsidR="00A26E4A" w:rsidRPr="00A26E4A" w14:paraId="2794EC97"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0AAFC31B"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28-Jan-22</w:t>
            </w:r>
          </w:p>
        </w:tc>
        <w:tc>
          <w:tcPr>
            <w:tcW w:w="2569" w:type="dxa"/>
            <w:noWrap/>
            <w:hideMark/>
          </w:tcPr>
          <w:p w14:paraId="13DC8641"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0E171BDF"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160</w:t>
            </w:r>
          </w:p>
        </w:tc>
      </w:tr>
      <w:tr w:rsidR="00A26E4A" w:rsidRPr="00A26E4A" w14:paraId="330D6452"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174527A3"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3-Sep-21</w:t>
            </w:r>
          </w:p>
        </w:tc>
        <w:tc>
          <w:tcPr>
            <w:tcW w:w="2569" w:type="dxa"/>
            <w:noWrap/>
            <w:hideMark/>
          </w:tcPr>
          <w:p w14:paraId="530E5654"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6812C49B"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110</w:t>
            </w:r>
          </w:p>
        </w:tc>
      </w:tr>
      <w:tr w:rsidR="00A26E4A" w:rsidRPr="00A26E4A" w14:paraId="0A2FD278"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23CE7ADA"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2-Jan-20</w:t>
            </w:r>
          </w:p>
        </w:tc>
        <w:tc>
          <w:tcPr>
            <w:tcW w:w="2569" w:type="dxa"/>
            <w:noWrap/>
            <w:hideMark/>
          </w:tcPr>
          <w:p w14:paraId="434BC799"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w:t>
            </w:r>
          </w:p>
        </w:tc>
        <w:tc>
          <w:tcPr>
            <w:tcW w:w="3152" w:type="dxa"/>
            <w:noWrap/>
            <w:hideMark/>
          </w:tcPr>
          <w:p w14:paraId="4D352095"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57.5</w:t>
            </w:r>
          </w:p>
        </w:tc>
      </w:tr>
      <w:tr w:rsidR="00A26E4A" w:rsidRPr="00A26E4A" w14:paraId="35ECB84F"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67A9ED01"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 Aug 2019</w:t>
            </w:r>
          </w:p>
        </w:tc>
        <w:tc>
          <w:tcPr>
            <w:tcW w:w="2569" w:type="dxa"/>
            <w:noWrap/>
            <w:hideMark/>
          </w:tcPr>
          <w:p w14:paraId="7CF62E07"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Final</w:t>
            </w:r>
          </w:p>
        </w:tc>
        <w:tc>
          <w:tcPr>
            <w:tcW w:w="3152" w:type="dxa"/>
            <w:noWrap/>
            <w:hideMark/>
          </w:tcPr>
          <w:p w14:paraId="0B50CD9D"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110</w:t>
            </w:r>
          </w:p>
        </w:tc>
      </w:tr>
      <w:tr w:rsidR="00A26E4A" w:rsidRPr="00A26E4A" w14:paraId="04E26944"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556771FC"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2-Jan-19</w:t>
            </w:r>
          </w:p>
        </w:tc>
        <w:tc>
          <w:tcPr>
            <w:tcW w:w="2569" w:type="dxa"/>
            <w:noWrap/>
            <w:hideMark/>
          </w:tcPr>
          <w:p w14:paraId="7C8CAEBA"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w:t>
            </w:r>
          </w:p>
        </w:tc>
        <w:tc>
          <w:tcPr>
            <w:tcW w:w="3152" w:type="dxa"/>
            <w:noWrap/>
            <w:hideMark/>
          </w:tcPr>
          <w:p w14:paraId="3C182223"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55</w:t>
            </w:r>
          </w:p>
        </w:tc>
      </w:tr>
      <w:tr w:rsidR="00A26E4A" w:rsidRPr="00A26E4A" w14:paraId="6C2584BE"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7CED134A"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1-Aug-18</w:t>
            </w:r>
          </w:p>
        </w:tc>
        <w:tc>
          <w:tcPr>
            <w:tcW w:w="2569" w:type="dxa"/>
            <w:noWrap/>
            <w:hideMark/>
          </w:tcPr>
          <w:p w14:paraId="2E0A09ED"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Final</w:t>
            </w:r>
          </w:p>
        </w:tc>
        <w:tc>
          <w:tcPr>
            <w:tcW w:w="3152" w:type="dxa"/>
            <w:noWrap/>
            <w:hideMark/>
          </w:tcPr>
          <w:p w14:paraId="522B8F4E"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105</w:t>
            </w:r>
          </w:p>
        </w:tc>
      </w:tr>
      <w:tr w:rsidR="00A26E4A" w:rsidRPr="00A26E4A" w14:paraId="002ADD78"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76624BF4"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25-Jan-18</w:t>
            </w:r>
          </w:p>
        </w:tc>
        <w:tc>
          <w:tcPr>
            <w:tcW w:w="2569" w:type="dxa"/>
            <w:noWrap/>
            <w:hideMark/>
          </w:tcPr>
          <w:p w14:paraId="3408D53D"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51E959E7"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45</w:t>
            </w:r>
          </w:p>
        </w:tc>
      </w:tr>
      <w:tr w:rsidR="00A26E4A" w:rsidRPr="00A26E4A" w14:paraId="6D2AAD8F"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077F0350"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 Jan 2018 </w:t>
            </w:r>
          </w:p>
        </w:tc>
        <w:tc>
          <w:tcPr>
            <w:tcW w:w="2569" w:type="dxa"/>
            <w:noWrap/>
            <w:hideMark/>
          </w:tcPr>
          <w:p w14:paraId="2EAEC8D1"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w:t>
            </w:r>
          </w:p>
        </w:tc>
        <w:tc>
          <w:tcPr>
            <w:tcW w:w="3152" w:type="dxa"/>
            <w:noWrap/>
            <w:hideMark/>
          </w:tcPr>
          <w:p w14:paraId="025AB6FD"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53</w:t>
            </w:r>
          </w:p>
        </w:tc>
      </w:tr>
      <w:tr w:rsidR="00A26E4A" w:rsidRPr="00A26E4A" w14:paraId="746B8336"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19513E81"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1-Nov-17</w:t>
            </w:r>
          </w:p>
        </w:tc>
        <w:tc>
          <w:tcPr>
            <w:tcW w:w="2569" w:type="dxa"/>
            <w:noWrap/>
            <w:hideMark/>
          </w:tcPr>
          <w:p w14:paraId="5CD78AE4"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53F8373A"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45</w:t>
            </w:r>
          </w:p>
        </w:tc>
      </w:tr>
      <w:tr w:rsidR="00A26E4A" w:rsidRPr="00A26E4A" w14:paraId="668BEB6A"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5B9591F9"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1-Aug-17</w:t>
            </w:r>
          </w:p>
        </w:tc>
        <w:tc>
          <w:tcPr>
            <w:tcW w:w="2569" w:type="dxa"/>
            <w:noWrap/>
            <w:hideMark/>
          </w:tcPr>
          <w:p w14:paraId="140DD1E7"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Final</w:t>
            </w:r>
          </w:p>
        </w:tc>
        <w:tc>
          <w:tcPr>
            <w:tcW w:w="3152" w:type="dxa"/>
            <w:noWrap/>
            <w:hideMark/>
          </w:tcPr>
          <w:p w14:paraId="713A5997"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105</w:t>
            </w:r>
          </w:p>
        </w:tc>
      </w:tr>
      <w:tr w:rsidR="00A26E4A" w:rsidRPr="00A26E4A" w14:paraId="300D13C0"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20D34190"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1-Aug-17</w:t>
            </w:r>
          </w:p>
        </w:tc>
        <w:tc>
          <w:tcPr>
            <w:tcW w:w="2569" w:type="dxa"/>
            <w:noWrap/>
            <w:hideMark/>
          </w:tcPr>
          <w:p w14:paraId="6386F50C"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4B73AEFE"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45</w:t>
            </w:r>
          </w:p>
        </w:tc>
      </w:tr>
      <w:tr w:rsidR="00A26E4A" w:rsidRPr="00A26E4A" w14:paraId="276C6CFE"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00BB7F8D"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2-May-17</w:t>
            </w:r>
          </w:p>
        </w:tc>
        <w:tc>
          <w:tcPr>
            <w:tcW w:w="2569" w:type="dxa"/>
            <w:noWrap/>
            <w:hideMark/>
          </w:tcPr>
          <w:p w14:paraId="3418ECAF"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 (Special)</w:t>
            </w:r>
          </w:p>
        </w:tc>
        <w:tc>
          <w:tcPr>
            <w:tcW w:w="3152" w:type="dxa"/>
            <w:noWrap/>
            <w:hideMark/>
          </w:tcPr>
          <w:p w14:paraId="3B3CD2B6"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45</w:t>
            </w:r>
          </w:p>
        </w:tc>
      </w:tr>
      <w:tr w:rsidR="00A26E4A" w:rsidRPr="00A26E4A" w14:paraId="6A644D0F" w14:textId="77777777" w:rsidTr="0050072A">
        <w:trPr>
          <w:trHeight w:val="318"/>
        </w:trPr>
        <w:tc>
          <w:tcPr>
            <w:cnfStyle w:val="001000000000" w:firstRow="0" w:lastRow="0" w:firstColumn="1" w:lastColumn="0" w:oddVBand="0" w:evenVBand="0" w:oddHBand="0" w:evenHBand="0" w:firstRowFirstColumn="0" w:firstRowLastColumn="0" w:lastRowFirstColumn="0" w:lastRowLastColumn="0"/>
            <w:tcW w:w="3555" w:type="dxa"/>
            <w:noWrap/>
            <w:hideMark/>
          </w:tcPr>
          <w:p w14:paraId="059E1868" w14:textId="77777777" w:rsidR="00A26E4A" w:rsidRPr="00A26E4A" w:rsidRDefault="00A26E4A" w:rsidP="00A26E4A">
            <w:pPr>
              <w:spacing w:line="240" w:lineRule="auto"/>
              <w:rPr>
                <w:rFonts w:eastAsia="Times New Roman" w:cs="Arial"/>
                <w:color w:val="0C0C0C"/>
                <w:sz w:val="22"/>
              </w:rPr>
            </w:pPr>
            <w:r w:rsidRPr="00A26E4A">
              <w:rPr>
                <w:rFonts w:eastAsia="Times New Roman" w:cs="Arial"/>
                <w:color w:val="0C0C0C"/>
                <w:sz w:val="22"/>
              </w:rPr>
              <w:t>3-Jan-17</w:t>
            </w:r>
          </w:p>
        </w:tc>
        <w:tc>
          <w:tcPr>
            <w:tcW w:w="2569" w:type="dxa"/>
            <w:noWrap/>
            <w:hideMark/>
          </w:tcPr>
          <w:p w14:paraId="1D1AEFE0"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Interim</w:t>
            </w:r>
          </w:p>
        </w:tc>
        <w:tc>
          <w:tcPr>
            <w:tcW w:w="3152" w:type="dxa"/>
            <w:noWrap/>
            <w:hideMark/>
          </w:tcPr>
          <w:p w14:paraId="2D7130A7" w14:textId="77777777" w:rsidR="00A26E4A" w:rsidRPr="00A26E4A" w:rsidRDefault="00A26E4A" w:rsidP="00A26E4A">
            <w:pPr>
              <w:spacing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C0C0C"/>
                <w:sz w:val="22"/>
              </w:rPr>
            </w:pPr>
            <w:r w:rsidRPr="00A26E4A">
              <w:rPr>
                <w:rFonts w:eastAsia="Times New Roman" w:cs="Arial"/>
                <w:color w:val="0C0C0C"/>
                <w:sz w:val="22"/>
              </w:rPr>
              <w:t>53</w:t>
            </w:r>
          </w:p>
        </w:tc>
      </w:tr>
      <w:tr w:rsidR="00A26E4A" w:rsidRPr="00A26E4A" w14:paraId="28F7A3DC" w14:textId="77777777" w:rsidTr="0050072A">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3555" w:type="dxa"/>
            <w:noWrap/>
          </w:tcPr>
          <w:p w14:paraId="24ED22D9" w14:textId="77777777" w:rsidR="00A26E4A" w:rsidRPr="00A26E4A" w:rsidRDefault="00A26E4A" w:rsidP="00A26E4A">
            <w:pPr>
              <w:spacing w:line="240" w:lineRule="auto"/>
              <w:rPr>
                <w:rFonts w:eastAsia="Times New Roman" w:cs="Arial"/>
                <w:color w:val="0C0C0C"/>
                <w:sz w:val="22"/>
              </w:rPr>
            </w:pPr>
            <w:r>
              <w:rPr>
                <w:rFonts w:eastAsia="Times New Roman" w:cs="Arial"/>
                <w:color w:val="0C0C0C"/>
                <w:sz w:val="22"/>
              </w:rPr>
              <w:t>01-Aug-16</w:t>
            </w:r>
          </w:p>
        </w:tc>
        <w:tc>
          <w:tcPr>
            <w:tcW w:w="2569" w:type="dxa"/>
            <w:noWrap/>
          </w:tcPr>
          <w:p w14:paraId="385EB5F9"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Pr>
                <w:rFonts w:eastAsia="Times New Roman" w:cs="Arial"/>
                <w:color w:val="0C0C0C"/>
                <w:sz w:val="22"/>
              </w:rPr>
              <w:t>Final</w:t>
            </w:r>
          </w:p>
        </w:tc>
        <w:tc>
          <w:tcPr>
            <w:tcW w:w="3152" w:type="dxa"/>
            <w:noWrap/>
          </w:tcPr>
          <w:p w14:paraId="2477F4D0" w14:textId="77777777" w:rsidR="00A26E4A" w:rsidRPr="00A26E4A" w:rsidRDefault="00A26E4A" w:rsidP="00A26E4A">
            <w:pPr>
              <w:spacing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0C0C0C"/>
                <w:sz w:val="22"/>
              </w:rPr>
            </w:pPr>
            <w:r>
              <w:rPr>
                <w:rFonts w:eastAsia="Times New Roman" w:cs="Arial"/>
                <w:color w:val="0C0C0C"/>
                <w:sz w:val="22"/>
              </w:rPr>
              <w:t>105</w:t>
            </w:r>
          </w:p>
        </w:tc>
      </w:tr>
    </w:tbl>
    <w:p w14:paraId="3F55EFA9" w14:textId="77777777" w:rsidR="00A26E4A" w:rsidRDefault="00A26E4A" w:rsidP="00A26E4A"/>
    <w:p w14:paraId="5ED7FDD6" w14:textId="77777777" w:rsidR="00A26E4A" w:rsidRDefault="00782A1B" w:rsidP="00636B92">
      <w:r>
        <w:t>It has been mentioned</w:t>
      </w:r>
      <w:r w:rsidR="00DC5B6E">
        <w:t xml:space="preserve"> that Next Plc distributes dividends to its shareholders using the funds that are surplus and cannot be profitably invested in the business </w:t>
      </w:r>
      <w:sdt>
        <w:sdtPr>
          <w:id w:val="-876853773"/>
          <w:citation/>
        </w:sdtPr>
        <w:sdtContent>
          <w:r w:rsidR="00DC5B6E">
            <w:fldChar w:fldCharType="begin"/>
          </w:r>
          <w:r w:rsidR="00DC5B6E">
            <w:instrText xml:space="preserve"> CITATION Nex221 \l 1033 </w:instrText>
          </w:r>
          <w:r w:rsidR="00DC5B6E">
            <w:fldChar w:fldCharType="separate"/>
          </w:r>
          <w:r w:rsidR="00EA4CE7" w:rsidRPr="00EA4CE7">
            <w:rPr>
              <w:noProof/>
            </w:rPr>
            <w:t>(Next Plc, 2022)</w:t>
          </w:r>
          <w:r w:rsidR="00DC5B6E">
            <w:fldChar w:fldCharType="end"/>
          </w:r>
        </w:sdtContent>
      </w:sdt>
      <w:r w:rsidR="00DC5B6E">
        <w:t>.</w:t>
      </w:r>
      <w:r w:rsidR="00BA110E">
        <w:t xml:space="preserve"> Due to constant growth </w:t>
      </w:r>
      <w:r w:rsidR="00636B92">
        <w:t xml:space="preserve">in profits </w:t>
      </w:r>
      <w:r w:rsidR="00BA110E">
        <w:t>pre-pandemic covid-19</w:t>
      </w:r>
      <w:r w:rsidR="00636B92">
        <w:t>, Next plc paid</w:t>
      </w:r>
      <w:r w:rsidR="00A26E4A">
        <w:t xml:space="preserve"> dividends of 2017 and 2018 was 53 pence and interim special dividends in 2017 and 2018 were 90 pence with </w:t>
      </w:r>
      <w:r w:rsidR="00774D51">
        <w:t>final dividend of 105 pence in 2017 and 2018.</w:t>
      </w:r>
      <w:r w:rsidR="001B6D20">
        <w:t xml:space="preserve"> Management of Next Plc increased the amounts of interim and final dividends with the increase in its earnings.</w:t>
      </w:r>
    </w:p>
    <w:p w14:paraId="1F31D39C" w14:textId="77777777" w:rsidR="001B6D20" w:rsidRDefault="001B6D20" w:rsidP="00A26E4A">
      <w:r>
        <w:t xml:space="preserve">However, </w:t>
      </w:r>
      <w:r w:rsidR="009A2437">
        <w:t>Next Plc</w:t>
      </w:r>
      <w:r>
        <w:t xml:space="preserve"> </w:t>
      </w:r>
      <w:r w:rsidR="009A2437">
        <w:t xml:space="preserve">paused paying the dividends </w:t>
      </w:r>
      <w:r w:rsidR="0008000C">
        <w:t xml:space="preserve">in 2020/2021 </w:t>
      </w:r>
      <w:r w:rsidR="009A2437">
        <w:t xml:space="preserve">due to sever dip in profitability due to pandemic covid-19 </w:t>
      </w:r>
      <w:r w:rsidR="009A2437" w:rsidRPr="009A2437">
        <w:t>to help secure the finances of the business</w:t>
      </w:r>
      <w:r w:rsidR="0027116A">
        <w:t xml:space="preserve"> </w:t>
      </w:r>
      <w:sdt>
        <w:sdtPr>
          <w:id w:val="-2027173619"/>
          <w:citation/>
        </w:sdtPr>
        <w:sdtContent>
          <w:r w:rsidR="0027116A">
            <w:fldChar w:fldCharType="begin"/>
          </w:r>
          <w:r w:rsidR="0027116A">
            <w:instrText xml:space="preserve"> CITATION Nex221 \l 1033 </w:instrText>
          </w:r>
          <w:r w:rsidR="0027116A">
            <w:fldChar w:fldCharType="separate"/>
          </w:r>
          <w:r w:rsidR="00EA4CE7" w:rsidRPr="00EA4CE7">
            <w:rPr>
              <w:noProof/>
            </w:rPr>
            <w:t>(Next Plc, 2022)</w:t>
          </w:r>
          <w:r w:rsidR="0027116A">
            <w:fldChar w:fldCharType="end"/>
          </w:r>
        </w:sdtContent>
      </w:sdt>
      <w:r w:rsidR="0027116A">
        <w:t>. The company compensated the cut in dividend with two special interim dividends of 110 pence and 160 pence in ending 2021/2022.</w:t>
      </w:r>
    </w:p>
    <w:p w14:paraId="558FCB7B" w14:textId="77777777" w:rsidR="008620F6" w:rsidRDefault="008620F6" w:rsidP="00A26E4A">
      <w:r>
        <w:t>However, post revival of the business from pandemic related effects, an</w:t>
      </w:r>
      <w:r w:rsidR="007012A4">
        <w:t>y cut in the dividend may be interpreted wrongly by the shareholders. For example, shareholders pre</w:t>
      </w:r>
    </w:p>
    <w:tbl>
      <w:tblPr>
        <w:tblStyle w:val="GridTable4-Accent1"/>
        <w:tblpPr w:leftFromText="180" w:rightFromText="180" w:vertAnchor="text" w:horzAnchor="margin" w:tblpX="-47" w:tblpY="136"/>
        <w:tblW w:w="9428" w:type="dxa"/>
        <w:tblLook w:val="04A0" w:firstRow="1" w:lastRow="0" w:firstColumn="1" w:lastColumn="0" w:noHBand="0" w:noVBand="1"/>
      </w:tblPr>
      <w:tblGrid>
        <w:gridCol w:w="3326"/>
        <w:gridCol w:w="2400"/>
        <w:gridCol w:w="1670"/>
        <w:gridCol w:w="2032"/>
      </w:tblGrid>
      <w:tr w:rsidR="0050072A" w:rsidRPr="0050072A" w14:paraId="21C518CA" w14:textId="77777777" w:rsidTr="004E39BB">
        <w:trPr>
          <w:cnfStyle w:val="100000000000" w:firstRow="1" w:lastRow="0" w:firstColumn="0" w:lastColumn="0" w:oddVBand="0" w:evenVBand="0" w:oddHBand="0" w:evenHBand="0" w:firstRowFirstColumn="0" w:firstRowLastColumn="0" w:lastRowFirstColumn="0" w:lastRowLastColumn="0"/>
          <w:trHeight w:val="154"/>
        </w:trPr>
        <w:tc>
          <w:tcPr>
            <w:cnfStyle w:val="001000000000" w:firstRow="0" w:lastRow="0" w:firstColumn="1" w:lastColumn="0" w:oddVBand="0" w:evenVBand="0" w:oddHBand="0" w:evenHBand="0" w:firstRowFirstColumn="0" w:firstRowLastColumn="0" w:lastRowFirstColumn="0" w:lastRowLastColumn="0"/>
            <w:tcW w:w="3326" w:type="dxa"/>
          </w:tcPr>
          <w:p w14:paraId="087E164A" w14:textId="77777777" w:rsidR="0050072A" w:rsidRPr="0050072A" w:rsidRDefault="0050072A" w:rsidP="0050072A">
            <w:pPr>
              <w:spacing w:after="200"/>
              <w:rPr>
                <w:rFonts w:cs="Arial"/>
                <w:i/>
                <w:iCs/>
                <w:sz w:val="22"/>
                <w:szCs w:val="21"/>
              </w:rPr>
            </w:pPr>
            <w:r w:rsidRPr="002A775C">
              <w:rPr>
                <w:rFonts w:cs="Arial"/>
                <w:i/>
                <w:szCs w:val="24"/>
              </w:rPr>
              <w:t>gearing ratio</w:t>
            </w:r>
            <w:r w:rsidRPr="002A775C">
              <w:rPr>
                <w:rFonts w:cs="Arial"/>
                <w:szCs w:val="24"/>
              </w:rPr>
              <w:t xml:space="preserve"> of Next plc</w:t>
            </w:r>
          </w:p>
        </w:tc>
        <w:tc>
          <w:tcPr>
            <w:tcW w:w="2400" w:type="dxa"/>
          </w:tcPr>
          <w:p w14:paraId="6829B7DF" w14:textId="77777777" w:rsidR="0050072A" w:rsidRPr="0050072A" w:rsidRDefault="0050072A" w:rsidP="0050072A">
            <w:pPr>
              <w:spacing w:after="200"/>
              <w:cnfStyle w:val="100000000000" w:firstRow="1" w:lastRow="0" w:firstColumn="0" w:lastColumn="0" w:oddVBand="0" w:evenVBand="0" w:oddHBand="0" w:evenHBand="0" w:firstRowFirstColumn="0" w:firstRowLastColumn="0" w:lastRowFirstColumn="0" w:lastRowLastColumn="0"/>
              <w:rPr>
                <w:rFonts w:cs="Arial"/>
                <w:i/>
                <w:iCs/>
                <w:sz w:val="22"/>
                <w:szCs w:val="21"/>
              </w:rPr>
            </w:pPr>
            <w:r w:rsidRPr="0050072A">
              <w:rPr>
                <w:rFonts w:cs="Arial"/>
                <w:i/>
                <w:iCs/>
                <w:sz w:val="22"/>
                <w:szCs w:val="21"/>
              </w:rPr>
              <w:t xml:space="preserve">2021          </w:t>
            </w:r>
            <w:r w:rsidRPr="0050072A">
              <w:rPr>
                <w:rFonts w:cs="Arial"/>
                <w:sz w:val="22"/>
                <w:szCs w:val="24"/>
              </w:rPr>
              <w:t>£m</w:t>
            </w:r>
          </w:p>
        </w:tc>
        <w:tc>
          <w:tcPr>
            <w:tcW w:w="1670" w:type="dxa"/>
          </w:tcPr>
          <w:p w14:paraId="237FDF8C" w14:textId="77777777" w:rsidR="0050072A" w:rsidRPr="0050072A" w:rsidRDefault="0050072A" w:rsidP="0050072A">
            <w:pPr>
              <w:spacing w:after="200"/>
              <w:cnfStyle w:val="100000000000" w:firstRow="1" w:lastRow="0" w:firstColumn="0" w:lastColumn="0" w:oddVBand="0" w:evenVBand="0" w:oddHBand="0" w:evenHBand="0" w:firstRowFirstColumn="0" w:firstRowLastColumn="0" w:lastRowFirstColumn="0" w:lastRowLastColumn="0"/>
              <w:rPr>
                <w:rFonts w:cs="Arial"/>
                <w:i/>
                <w:iCs/>
                <w:sz w:val="22"/>
                <w:szCs w:val="21"/>
              </w:rPr>
            </w:pPr>
            <w:r w:rsidRPr="0050072A">
              <w:rPr>
                <w:rFonts w:cs="Arial"/>
                <w:i/>
                <w:iCs/>
                <w:sz w:val="22"/>
                <w:szCs w:val="21"/>
              </w:rPr>
              <w:t xml:space="preserve">2020            </w:t>
            </w:r>
            <w:r w:rsidRPr="0050072A">
              <w:rPr>
                <w:rFonts w:cs="Arial"/>
                <w:sz w:val="22"/>
                <w:szCs w:val="24"/>
              </w:rPr>
              <w:t>£m</w:t>
            </w:r>
          </w:p>
        </w:tc>
        <w:tc>
          <w:tcPr>
            <w:tcW w:w="2032" w:type="dxa"/>
          </w:tcPr>
          <w:p w14:paraId="7BAFC929" w14:textId="77777777" w:rsidR="0050072A" w:rsidRPr="0050072A" w:rsidRDefault="0050072A" w:rsidP="00B4371C">
            <w:pPr>
              <w:spacing w:after="200"/>
              <w:cnfStyle w:val="100000000000" w:firstRow="1" w:lastRow="0" w:firstColumn="0" w:lastColumn="0" w:oddVBand="0" w:evenVBand="0" w:oddHBand="0" w:evenHBand="0" w:firstRowFirstColumn="0" w:firstRowLastColumn="0" w:lastRowFirstColumn="0" w:lastRowLastColumn="0"/>
              <w:rPr>
                <w:rFonts w:cs="Arial"/>
                <w:i/>
                <w:iCs/>
                <w:sz w:val="22"/>
                <w:szCs w:val="21"/>
              </w:rPr>
            </w:pPr>
            <w:r w:rsidRPr="0050072A">
              <w:rPr>
                <w:rFonts w:cs="Arial"/>
                <w:i/>
                <w:iCs/>
                <w:sz w:val="22"/>
                <w:szCs w:val="21"/>
              </w:rPr>
              <w:t>2019</w:t>
            </w:r>
            <w:r w:rsidR="00B4371C">
              <w:rPr>
                <w:rFonts w:cs="Arial"/>
                <w:i/>
                <w:iCs/>
                <w:sz w:val="22"/>
                <w:szCs w:val="21"/>
              </w:rPr>
              <w:t xml:space="preserve">                </w:t>
            </w:r>
            <w:r w:rsidRPr="0050072A">
              <w:rPr>
                <w:rFonts w:cs="Arial"/>
                <w:sz w:val="22"/>
                <w:szCs w:val="24"/>
              </w:rPr>
              <w:t>£m</w:t>
            </w:r>
          </w:p>
        </w:tc>
      </w:tr>
      <w:tr w:rsidR="0050072A" w:rsidRPr="0050072A" w14:paraId="53E03910" w14:textId="77777777" w:rsidTr="004E39BB">
        <w:trPr>
          <w:cnfStyle w:val="000000100000" w:firstRow="0" w:lastRow="0" w:firstColumn="0" w:lastColumn="0" w:oddVBand="0" w:evenVBand="0" w:oddHBand="1" w:evenHBand="0" w:firstRowFirstColumn="0" w:firstRowLastColumn="0" w:lastRowFirstColumn="0" w:lastRowLastColumn="0"/>
          <w:trHeight w:val="159"/>
        </w:trPr>
        <w:tc>
          <w:tcPr>
            <w:cnfStyle w:val="001000000000" w:firstRow="0" w:lastRow="0" w:firstColumn="1" w:lastColumn="0" w:oddVBand="0" w:evenVBand="0" w:oddHBand="0" w:evenHBand="0" w:firstRowFirstColumn="0" w:firstRowLastColumn="0" w:lastRowFirstColumn="0" w:lastRowLastColumn="0"/>
            <w:tcW w:w="3326" w:type="dxa"/>
          </w:tcPr>
          <w:p w14:paraId="2154D0A1" w14:textId="77777777" w:rsidR="0050072A" w:rsidRPr="0050072A" w:rsidRDefault="0050072A" w:rsidP="0050072A">
            <w:pPr>
              <w:spacing w:after="200"/>
              <w:rPr>
                <w:rFonts w:cs="Arial"/>
                <w:b w:val="0"/>
                <w:i/>
                <w:iCs/>
                <w:sz w:val="22"/>
                <w:szCs w:val="21"/>
                <w:u w:val="single"/>
                <w:lang w:val="fr-FR"/>
              </w:rPr>
            </w:pPr>
            <w:r w:rsidRPr="0050072A">
              <w:rPr>
                <w:rFonts w:cs="Arial"/>
                <w:b w:val="0"/>
                <w:i/>
                <w:iCs/>
                <w:sz w:val="22"/>
                <w:szCs w:val="21"/>
                <w:u w:val="single"/>
                <w:lang w:val="fr-FR"/>
              </w:rPr>
              <w:t xml:space="preserve">    Non-current liabilities</w:t>
            </w:r>
            <w:r w:rsidRPr="0050072A">
              <w:rPr>
                <w:rFonts w:cs="Arial"/>
                <w:b w:val="0"/>
                <w:i/>
                <w:iCs/>
                <w:sz w:val="22"/>
                <w:szCs w:val="21"/>
                <w:lang w:val="fr-FR"/>
              </w:rPr>
              <w:t xml:space="preserve"> </w:t>
            </w:r>
            <w:r w:rsidRPr="0050072A">
              <w:rPr>
                <w:rFonts w:cs="Arial"/>
                <w:b w:val="0"/>
                <w:iCs/>
                <w:sz w:val="22"/>
                <w:szCs w:val="21"/>
                <w:lang w:val="fr-FR"/>
              </w:rPr>
              <w:t>x</w:t>
            </w:r>
            <w:r w:rsidRPr="0050072A">
              <w:rPr>
                <w:rFonts w:cs="Arial"/>
                <w:b w:val="0"/>
                <w:i/>
                <w:iCs/>
                <w:sz w:val="22"/>
                <w:szCs w:val="21"/>
                <w:lang w:val="fr-FR"/>
              </w:rPr>
              <w:t xml:space="preserve"> 100</w:t>
            </w:r>
          </w:p>
          <w:p w14:paraId="4DD482C2" w14:textId="77777777" w:rsidR="0050072A" w:rsidRPr="0050072A" w:rsidRDefault="0050072A" w:rsidP="0050072A">
            <w:pPr>
              <w:spacing w:after="200"/>
              <w:rPr>
                <w:rFonts w:cs="Arial"/>
                <w:i/>
                <w:iCs/>
                <w:sz w:val="22"/>
                <w:szCs w:val="21"/>
                <w:u w:val="single"/>
                <w:lang w:val="fr-FR"/>
              </w:rPr>
            </w:pPr>
            <w:r w:rsidRPr="0050072A">
              <w:rPr>
                <w:rFonts w:cs="Arial"/>
                <w:b w:val="0"/>
                <w:i/>
                <w:iCs/>
                <w:sz w:val="22"/>
                <w:szCs w:val="21"/>
                <w:lang w:val="fr-FR"/>
              </w:rPr>
              <w:t>Non-current liabilities + total equity</w:t>
            </w:r>
          </w:p>
        </w:tc>
        <w:tc>
          <w:tcPr>
            <w:tcW w:w="2400" w:type="dxa"/>
          </w:tcPr>
          <w:p w14:paraId="6CA9373F"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sz w:val="22"/>
                <w:szCs w:val="21"/>
                <w:u w:val="single"/>
                <w:lang w:val="fr-FR"/>
              </w:rPr>
            </w:pPr>
            <w:r w:rsidRPr="0050072A">
              <w:rPr>
                <w:rFonts w:cs="Arial"/>
                <w:sz w:val="22"/>
                <w:szCs w:val="21"/>
                <w:u w:val="single"/>
              </w:rPr>
              <w:t>1900.3</w:t>
            </w:r>
            <w:r w:rsidRPr="0050072A">
              <w:rPr>
                <w:rFonts w:cs="Arial"/>
                <w:sz w:val="22"/>
                <w:szCs w:val="21"/>
                <w:u w:val="single"/>
                <w:lang w:val="fr-FR"/>
              </w:rPr>
              <w:t xml:space="preserve">            </w:t>
            </w:r>
            <w:r w:rsidRPr="0050072A">
              <w:rPr>
                <w:rFonts w:cs="Arial"/>
                <w:sz w:val="22"/>
                <w:szCs w:val="21"/>
                <w:lang w:val="fr-FR"/>
              </w:rPr>
              <w:t>x 100</w:t>
            </w:r>
          </w:p>
          <w:p w14:paraId="32B965DF"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i/>
                <w:iCs/>
                <w:sz w:val="22"/>
                <w:szCs w:val="21"/>
                <w:lang w:val="fr-FR"/>
              </w:rPr>
            </w:pPr>
            <w:r w:rsidRPr="0050072A">
              <w:rPr>
                <w:rFonts w:cs="Arial"/>
                <w:sz w:val="22"/>
                <w:szCs w:val="21"/>
              </w:rPr>
              <w:t>1900.3</w:t>
            </w:r>
            <w:r w:rsidRPr="0050072A">
              <w:rPr>
                <w:rFonts w:cs="Arial"/>
                <w:sz w:val="22"/>
                <w:szCs w:val="21"/>
                <w:lang w:val="fr-FR"/>
              </w:rPr>
              <w:t>+</w:t>
            </w:r>
            <w:r w:rsidRPr="0050072A">
              <w:rPr>
                <w:rFonts w:cs="Arial"/>
                <w:sz w:val="22"/>
                <w:szCs w:val="21"/>
              </w:rPr>
              <w:t>660.9</w:t>
            </w:r>
          </w:p>
        </w:tc>
        <w:tc>
          <w:tcPr>
            <w:tcW w:w="1670" w:type="dxa"/>
          </w:tcPr>
          <w:p w14:paraId="0D85EAC4"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i/>
                <w:iCs/>
                <w:sz w:val="22"/>
                <w:szCs w:val="21"/>
                <w:u w:val="single"/>
              </w:rPr>
            </w:pPr>
            <w:r w:rsidRPr="0050072A">
              <w:rPr>
                <w:rFonts w:cs="Arial"/>
                <w:i/>
                <w:iCs/>
                <w:sz w:val="22"/>
                <w:szCs w:val="21"/>
                <w:u w:val="single"/>
                <w:lang w:val="fr-FR"/>
              </w:rPr>
              <w:t xml:space="preserve"> </w:t>
            </w:r>
            <w:r w:rsidRPr="0050072A">
              <w:rPr>
                <w:rFonts w:cs="Arial"/>
                <w:sz w:val="22"/>
                <w:szCs w:val="21"/>
                <w:u w:val="single"/>
              </w:rPr>
              <w:t>2282</w:t>
            </w:r>
            <w:r w:rsidRPr="0050072A">
              <w:rPr>
                <w:rFonts w:cs="Arial"/>
                <w:i/>
                <w:iCs/>
                <w:sz w:val="22"/>
                <w:szCs w:val="21"/>
                <w:u w:val="single"/>
              </w:rPr>
              <w:t xml:space="preserve">         </w:t>
            </w:r>
            <w:r w:rsidRPr="0050072A">
              <w:rPr>
                <w:rFonts w:cs="Arial"/>
                <w:i/>
                <w:iCs/>
                <w:sz w:val="22"/>
                <w:szCs w:val="21"/>
              </w:rPr>
              <w:t xml:space="preserve"> </w:t>
            </w:r>
            <w:r w:rsidRPr="0050072A">
              <w:rPr>
                <w:rFonts w:cs="Arial"/>
                <w:iCs/>
                <w:sz w:val="22"/>
                <w:szCs w:val="21"/>
              </w:rPr>
              <w:t>x</w:t>
            </w:r>
            <w:r w:rsidRPr="0050072A">
              <w:rPr>
                <w:rFonts w:cs="Arial"/>
                <w:i/>
                <w:iCs/>
                <w:sz w:val="22"/>
                <w:szCs w:val="21"/>
              </w:rPr>
              <w:t xml:space="preserve"> 100</w:t>
            </w:r>
          </w:p>
          <w:p w14:paraId="658C1101"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i/>
                <w:iCs/>
                <w:sz w:val="22"/>
                <w:szCs w:val="21"/>
              </w:rPr>
            </w:pPr>
            <w:r w:rsidRPr="0050072A">
              <w:rPr>
                <w:rFonts w:cs="Arial"/>
                <w:sz w:val="22"/>
                <w:szCs w:val="21"/>
              </w:rPr>
              <w:t>2282</w:t>
            </w:r>
            <w:r w:rsidRPr="0050072A">
              <w:rPr>
                <w:rFonts w:cs="Arial"/>
                <w:iCs/>
                <w:sz w:val="22"/>
                <w:szCs w:val="21"/>
              </w:rPr>
              <w:t xml:space="preserve"> + 441.5</w:t>
            </w:r>
          </w:p>
        </w:tc>
        <w:tc>
          <w:tcPr>
            <w:tcW w:w="2032" w:type="dxa"/>
          </w:tcPr>
          <w:p w14:paraId="49754F38"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i/>
                <w:iCs/>
                <w:sz w:val="22"/>
                <w:szCs w:val="21"/>
                <w:lang w:val="fr-FR"/>
              </w:rPr>
            </w:pPr>
            <w:r w:rsidRPr="0050072A">
              <w:rPr>
                <w:rFonts w:cs="Arial"/>
                <w:i/>
                <w:iCs/>
                <w:sz w:val="22"/>
                <w:szCs w:val="21"/>
                <w:u w:val="single"/>
                <w:lang w:val="fr-FR"/>
              </w:rPr>
              <w:t xml:space="preserve">2132.7      </w:t>
            </w:r>
            <w:r w:rsidRPr="0050072A">
              <w:rPr>
                <w:rFonts w:cs="Arial"/>
                <w:iCs/>
                <w:sz w:val="22"/>
                <w:szCs w:val="21"/>
                <w:lang w:val="fr-FR"/>
              </w:rPr>
              <w:t xml:space="preserve">x </w:t>
            </w:r>
            <w:r w:rsidRPr="0050072A">
              <w:rPr>
                <w:rFonts w:cs="Arial"/>
                <w:i/>
                <w:iCs/>
                <w:sz w:val="22"/>
                <w:szCs w:val="21"/>
                <w:lang w:val="fr-FR"/>
              </w:rPr>
              <w:t>100</w:t>
            </w:r>
          </w:p>
          <w:p w14:paraId="346CFAD9" w14:textId="77777777" w:rsidR="0050072A" w:rsidRPr="0050072A" w:rsidRDefault="0050072A" w:rsidP="0050072A">
            <w:pPr>
              <w:spacing w:after="200"/>
              <w:cnfStyle w:val="000000100000" w:firstRow="0" w:lastRow="0" w:firstColumn="0" w:lastColumn="0" w:oddVBand="0" w:evenVBand="0" w:oddHBand="1" w:evenHBand="0" w:firstRowFirstColumn="0" w:firstRowLastColumn="0" w:lastRowFirstColumn="0" w:lastRowLastColumn="0"/>
              <w:rPr>
                <w:rFonts w:cs="Arial"/>
                <w:i/>
                <w:iCs/>
                <w:sz w:val="22"/>
                <w:szCs w:val="21"/>
                <w:lang w:val="fr-FR"/>
              </w:rPr>
            </w:pPr>
            <w:r w:rsidRPr="0050072A">
              <w:rPr>
                <w:rFonts w:cs="Arial"/>
                <w:i/>
                <w:iCs/>
                <w:sz w:val="22"/>
                <w:szCs w:val="21"/>
                <w:lang w:val="fr-FR"/>
              </w:rPr>
              <w:t>2132.7+366.2</w:t>
            </w:r>
          </w:p>
        </w:tc>
      </w:tr>
      <w:tr w:rsidR="0050072A" w:rsidRPr="0050072A" w14:paraId="154C99C3" w14:textId="77777777" w:rsidTr="004E39BB">
        <w:trPr>
          <w:trHeight w:val="154"/>
        </w:trPr>
        <w:tc>
          <w:tcPr>
            <w:cnfStyle w:val="001000000000" w:firstRow="0" w:lastRow="0" w:firstColumn="1" w:lastColumn="0" w:oddVBand="0" w:evenVBand="0" w:oddHBand="0" w:evenHBand="0" w:firstRowFirstColumn="0" w:firstRowLastColumn="0" w:lastRowFirstColumn="0" w:lastRowLastColumn="0"/>
            <w:tcW w:w="3326" w:type="dxa"/>
          </w:tcPr>
          <w:p w14:paraId="5BF9F9AC" w14:textId="77777777" w:rsidR="0050072A" w:rsidRPr="0050072A" w:rsidRDefault="0050072A" w:rsidP="0050072A">
            <w:pPr>
              <w:spacing w:after="200"/>
              <w:rPr>
                <w:rFonts w:cs="Arial"/>
                <w:i/>
                <w:iCs/>
                <w:sz w:val="22"/>
                <w:szCs w:val="21"/>
              </w:rPr>
            </w:pPr>
            <w:r w:rsidRPr="002A775C">
              <w:rPr>
                <w:rFonts w:cs="Arial"/>
                <w:i/>
                <w:szCs w:val="24"/>
              </w:rPr>
              <w:t>gearing ratio</w:t>
            </w:r>
          </w:p>
        </w:tc>
        <w:tc>
          <w:tcPr>
            <w:tcW w:w="2400" w:type="dxa"/>
          </w:tcPr>
          <w:p w14:paraId="1FEC13AD" w14:textId="77777777" w:rsidR="0050072A" w:rsidRPr="0050072A" w:rsidRDefault="0050072A" w:rsidP="0050072A">
            <w:pPr>
              <w:spacing w:after="200"/>
              <w:cnfStyle w:val="000000000000" w:firstRow="0" w:lastRow="0" w:firstColumn="0" w:lastColumn="0" w:oddVBand="0" w:evenVBand="0" w:oddHBand="0" w:evenHBand="0" w:firstRowFirstColumn="0" w:firstRowLastColumn="0" w:lastRowFirstColumn="0" w:lastRowLastColumn="0"/>
              <w:rPr>
                <w:rFonts w:cs="Arial"/>
                <w:b/>
                <w:i/>
                <w:iCs/>
                <w:sz w:val="22"/>
                <w:szCs w:val="21"/>
              </w:rPr>
            </w:pPr>
            <w:r w:rsidRPr="0050072A">
              <w:rPr>
                <w:rFonts w:cs="Arial"/>
                <w:i/>
                <w:iCs/>
                <w:sz w:val="22"/>
                <w:szCs w:val="21"/>
              </w:rPr>
              <w:t xml:space="preserve">         </w:t>
            </w:r>
            <w:r w:rsidRPr="0050072A">
              <w:rPr>
                <w:rFonts w:cs="Arial"/>
                <w:b/>
                <w:i/>
                <w:iCs/>
                <w:sz w:val="22"/>
                <w:szCs w:val="21"/>
              </w:rPr>
              <w:t>74.19%</w:t>
            </w:r>
          </w:p>
        </w:tc>
        <w:tc>
          <w:tcPr>
            <w:tcW w:w="1670" w:type="dxa"/>
          </w:tcPr>
          <w:p w14:paraId="3EBBA5AB" w14:textId="77777777" w:rsidR="0050072A" w:rsidRPr="0050072A" w:rsidRDefault="0050072A" w:rsidP="0050072A">
            <w:pPr>
              <w:spacing w:after="200"/>
              <w:cnfStyle w:val="000000000000" w:firstRow="0" w:lastRow="0" w:firstColumn="0" w:lastColumn="0" w:oddVBand="0" w:evenVBand="0" w:oddHBand="0" w:evenHBand="0" w:firstRowFirstColumn="0" w:firstRowLastColumn="0" w:lastRowFirstColumn="0" w:lastRowLastColumn="0"/>
              <w:rPr>
                <w:rFonts w:cs="Arial"/>
                <w:b/>
                <w:i/>
                <w:iCs/>
                <w:sz w:val="22"/>
                <w:szCs w:val="21"/>
              </w:rPr>
            </w:pPr>
            <w:r w:rsidRPr="0050072A">
              <w:rPr>
                <w:rFonts w:cs="Arial"/>
                <w:i/>
                <w:iCs/>
                <w:sz w:val="22"/>
                <w:szCs w:val="21"/>
              </w:rPr>
              <w:t xml:space="preserve">          </w:t>
            </w:r>
            <w:r w:rsidRPr="0050072A">
              <w:rPr>
                <w:rFonts w:cs="Arial"/>
                <w:b/>
                <w:i/>
                <w:iCs/>
                <w:sz w:val="22"/>
                <w:szCs w:val="21"/>
              </w:rPr>
              <w:t>83.79%</w:t>
            </w:r>
          </w:p>
        </w:tc>
        <w:tc>
          <w:tcPr>
            <w:tcW w:w="2032" w:type="dxa"/>
          </w:tcPr>
          <w:p w14:paraId="3FCF7873" w14:textId="77777777" w:rsidR="0050072A" w:rsidRPr="0050072A" w:rsidRDefault="0050072A" w:rsidP="0050072A">
            <w:pPr>
              <w:spacing w:after="200"/>
              <w:cnfStyle w:val="000000000000" w:firstRow="0" w:lastRow="0" w:firstColumn="0" w:lastColumn="0" w:oddVBand="0" w:evenVBand="0" w:oddHBand="0" w:evenHBand="0" w:firstRowFirstColumn="0" w:firstRowLastColumn="0" w:lastRowFirstColumn="0" w:lastRowLastColumn="0"/>
              <w:rPr>
                <w:rFonts w:cs="Arial"/>
                <w:b/>
                <w:i/>
                <w:iCs/>
                <w:sz w:val="22"/>
                <w:szCs w:val="21"/>
              </w:rPr>
            </w:pPr>
            <w:r w:rsidRPr="0050072A">
              <w:rPr>
                <w:rFonts w:cs="Arial"/>
                <w:i/>
                <w:iCs/>
                <w:sz w:val="22"/>
                <w:szCs w:val="21"/>
              </w:rPr>
              <w:t xml:space="preserve">        </w:t>
            </w:r>
            <w:r w:rsidRPr="0050072A">
              <w:rPr>
                <w:rFonts w:cs="Arial"/>
                <w:b/>
                <w:i/>
                <w:iCs/>
                <w:sz w:val="22"/>
                <w:szCs w:val="21"/>
              </w:rPr>
              <w:t>85.34%</w:t>
            </w:r>
          </w:p>
        </w:tc>
      </w:tr>
    </w:tbl>
    <w:p w14:paraId="36B39A58" w14:textId="77777777" w:rsidR="00C74CE0" w:rsidRDefault="00C74CE0" w:rsidP="00C74CE0">
      <w:pPr>
        <w:rPr>
          <w:rFonts w:cs="Arial"/>
          <w:szCs w:val="24"/>
        </w:rPr>
      </w:pPr>
    </w:p>
    <w:p w14:paraId="2334E6E8" w14:textId="77777777" w:rsidR="00B67589" w:rsidRDefault="004E39BB" w:rsidP="00A26E4A">
      <w:pPr>
        <w:rPr>
          <w:rFonts w:cs="Arial"/>
          <w:szCs w:val="24"/>
        </w:rPr>
      </w:pPr>
      <w:r w:rsidRPr="004E39BB">
        <w:rPr>
          <w:rFonts w:cs="Arial"/>
          <w:szCs w:val="24"/>
        </w:rPr>
        <w:t xml:space="preserve">In 2021, 2020, and 2019, the gearing ratio was 85.34%, 83.79%, and 74.19%, respectively. Even though the gearing ratio </w:t>
      </w:r>
      <w:r>
        <w:rPr>
          <w:rFonts w:cs="Arial"/>
          <w:szCs w:val="24"/>
        </w:rPr>
        <w:t>improved</w:t>
      </w:r>
      <w:r w:rsidRPr="004E39BB">
        <w:rPr>
          <w:rFonts w:cs="Arial"/>
          <w:szCs w:val="24"/>
        </w:rPr>
        <w:t xml:space="preserve"> in 2020, stock investors may still be at risk financially since they worry that Next Plc </w:t>
      </w:r>
      <w:r>
        <w:rPr>
          <w:rFonts w:cs="Arial"/>
          <w:szCs w:val="24"/>
        </w:rPr>
        <w:t>might not</w:t>
      </w:r>
      <w:r w:rsidRPr="004E39BB">
        <w:rPr>
          <w:rFonts w:cs="Arial"/>
          <w:szCs w:val="24"/>
        </w:rPr>
        <w:t xml:space="preserve"> pay dividends after incurring significant financing costs. </w:t>
      </w:r>
      <w:r w:rsidR="00BF57C2">
        <w:rPr>
          <w:rFonts w:cs="Arial"/>
          <w:szCs w:val="24"/>
        </w:rPr>
        <w:t xml:space="preserve">It has been observed that the gearing ratio decreased further to 74.19% in 2021 as compared to 2020. It was still excessive as it was higher than the ideal gearing ratio of 50%. </w:t>
      </w:r>
      <w:r w:rsidRPr="004E39BB">
        <w:rPr>
          <w:rFonts w:cs="Arial"/>
          <w:szCs w:val="24"/>
        </w:rPr>
        <w:t>Last but not least, Marks &amp; Spencer's gearing level for the fiscal year that ended on April 2, 2022, was 41.22%</w:t>
      </w:r>
      <w:r>
        <w:rPr>
          <w:rFonts w:cs="Arial"/>
          <w:szCs w:val="24"/>
        </w:rPr>
        <w:t xml:space="preserve"> </w:t>
      </w:r>
      <w:sdt>
        <w:sdtPr>
          <w:rPr>
            <w:rFonts w:cs="Arial"/>
            <w:szCs w:val="24"/>
          </w:rPr>
          <w:id w:val="1634604502"/>
          <w:citation/>
        </w:sdtPr>
        <w:sdtContent>
          <w:r w:rsidRPr="002A775C">
            <w:rPr>
              <w:rFonts w:cs="Arial"/>
              <w:szCs w:val="24"/>
            </w:rPr>
            <w:fldChar w:fldCharType="begin"/>
          </w:r>
          <w:r w:rsidRPr="002A775C">
            <w:rPr>
              <w:rFonts w:cs="Arial"/>
              <w:szCs w:val="24"/>
            </w:rPr>
            <w:instrText xml:space="preserve"> CITATION Mar22 \l 1033 </w:instrText>
          </w:r>
          <w:r w:rsidRPr="002A775C">
            <w:rPr>
              <w:rFonts w:cs="Arial"/>
              <w:szCs w:val="24"/>
            </w:rPr>
            <w:fldChar w:fldCharType="separate"/>
          </w:r>
          <w:r w:rsidR="00EA4CE7" w:rsidRPr="00EA4CE7">
            <w:rPr>
              <w:rFonts w:cs="Arial"/>
              <w:noProof/>
              <w:szCs w:val="24"/>
            </w:rPr>
            <w:t>(Marks &amp; Spencer, 2022)</w:t>
          </w:r>
          <w:r w:rsidRPr="002A775C">
            <w:rPr>
              <w:rFonts w:cs="Arial"/>
              <w:szCs w:val="24"/>
            </w:rPr>
            <w:fldChar w:fldCharType="end"/>
          </w:r>
        </w:sdtContent>
      </w:sdt>
      <w:r w:rsidRPr="004E39BB">
        <w:rPr>
          <w:rFonts w:cs="Arial"/>
          <w:szCs w:val="24"/>
        </w:rPr>
        <w:t>. Therefore, it is crucial for Next Plc to reduce its gearing level in acc</w:t>
      </w:r>
      <w:r w:rsidR="00BF57C2">
        <w:rPr>
          <w:rFonts w:cs="Arial"/>
          <w:szCs w:val="24"/>
        </w:rPr>
        <w:t>ordance with standards of the industry.</w:t>
      </w:r>
    </w:p>
    <w:p w14:paraId="3F8B09F4" w14:textId="77777777" w:rsidR="00C74CE0" w:rsidRDefault="00B67589" w:rsidP="00BF57C2">
      <w:pPr>
        <w:spacing w:line="276" w:lineRule="auto"/>
        <w:jc w:val="left"/>
        <w:rPr>
          <w:rFonts w:cs="Arial"/>
          <w:szCs w:val="24"/>
        </w:rPr>
      </w:pPr>
      <w:r>
        <w:rPr>
          <w:rFonts w:cs="Arial"/>
          <w:szCs w:val="24"/>
        </w:rPr>
        <w:br w:type="page"/>
      </w:r>
    </w:p>
    <w:p w14:paraId="5409ADE8" w14:textId="77777777" w:rsidR="004E39BB" w:rsidRDefault="0004662B" w:rsidP="0004662B">
      <w:pPr>
        <w:pStyle w:val="Heading1"/>
      </w:pPr>
      <w:bookmarkStart w:id="3" w:name="_Toc123229504"/>
      <w:r>
        <w:t>Analysis and evaluation of efficient market hypothesis for Next Plc.</w:t>
      </w:r>
      <w:bookmarkEnd w:id="3"/>
    </w:p>
    <w:p w14:paraId="12617613" w14:textId="77777777" w:rsidR="00BF57C2" w:rsidRDefault="00BF57C2" w:rsidP="0004662B">
      <w:r>
        <w:t xml:space="preserve">Efficient market hypothesis gives a good idea that any new information has immediate impact on the stock prices. It is not the technical analysis that is more focused towards examining the past stock prices to have better prediction of future prices. It is also different from fundamental analysis as </w:t>
      </w:r>
      <w:r w:rsidR="004E72DD">
        <w:t xml:space="preserve">it is not based on the analysis of financial data to assist investors to have a good idea of the returns of randomly chosen stocks </w:t>
      </w:r>
      <w:sdt>
        <w:sdtPr>
          <w:id w:val="614323950"/>
          <w:citation/>
        </w:sdtPr>
        <w:sdtContent>
          <w:r w:rsidR="004E72DD">
            <w:fldChar w:fldCharType="begin"/>
          </w:r>
          <w:r w:rsidR="004E72DD">
            <w:instrText xml:space="preserve"> CITATION Fam70 \l 1033 </w:instrText>
          </w:r>
          <w:r w:rsidR="004E72DD">
            <w:fldChar w:fldCharType="separate"/>
          </w:r>
          <w:r w:rsidR="004E72DD" w:rsidRPr="00EA4CE7">
            <w:rPr>
              <w:noProof/>
            </w:rPr>
            <w:t>(Fama, 1970)</w:t>
          </w:r>
          <w:r w:rsidR="004E72DD">
            <w:fldChar w:fldCharType="end"/>
          </w:r>
        </w:sdtContent>
      </w:sdt>
      <w:r w:rsidR="004E72DD">
        <w:t>.</w:t>
      </w:r>
    </w:p>
    <w:p w14:paraId="3FFB73BF" w14:textId="77777777" w:rsidR="0004662B" w:rsidRDefault="00261387" w:rsidP="0004662B">
      <w:r>
        <w:t xml:space="preserve">According to efficient market hypothesis, stocks and shares </w:t>
      </w:r>
      <w:r w:rsidR="004E72DD">
        <w:t xml:space="preserve">are focused to trade on the fair value on either of the stock exchange. It becomes difficult for investors to buy shares that are undervalued. It also becomes impossible for the investors to sell it at inflated prices. </w:t>
      </w:r>
      <w:r w:rsidR="00D251E2">
        <w:t>Accordingly, investors cannot outdo the overall financial market through exp</w:t>
      </w:r>
      <w:r w:rsidR="0073201C">
        <w:t xml:space="preserve">ert stock selection and timings </w:t>
      </w:r>
      <w:sdt>
        <w:sdtPr>
          <w:id w:val="462776716"/>
          <w:citation/>
        </w:sdtPr>
        <w:sdtContent>
          <w:r w:rsidR="00D251E2">
            <w:fldChar w:fldCharType="begin"/>
          </w:r>
          <w:r w:rsidR="00D251E2">
            <w:instrText xml:space="preserve"> CITATION Jon15 \l 1033 </w:instrText>
          </w:r>
          <w:r w:rsidR="00D251E2">
            <w:fldChar w:fldCharType="separate"/>
          </w:r>
          <w:r w:rsidR="00EA4CE7" w:rsidRPr="00EA4CE7">
            <w:rPr>
              <w:noProof/>
            </w:rPr>
            <w:t>(Jones &amp; Netter, 2015)</w:t>
          </w:r>
          <w:r w:rsidR="00D251E2">
            <w:fldChar w:fldCharType="end"/>
          </w:r>
        </w:sdtContent>
      </w:sdt>
      <w:r w:rsidR="00D251E2">
        <w:t>.</w:t>
      </w:r>
      <w:r w:rsidR="0073201C">
        <w:t xml:space="preserve"> So, investors can earn high returns only by investing in projects that contain high risk.</w:t>
      </w:r>
    </w:p>
    <w:p w14:paraId="2C942CBF" w14:textId="77777777" w:rsidR="00B97094" w:rsidRDefault="00542517" w:rsidP="007E12D2">
      <w:r>
        <w:t xml:space="preserve">Accordingly, share price of Next Plc is due to be increased as a result of </w:t>
      </w:r>
      <w:r w:rsidRPr="00542517">
        <w:t>Long Term Incentive Plan</w:t>
      </w:r>
      <w:r>
        <w:t xml:space="preserve"> which means that </w:t>
      </w:r>
      <w:r w:rsidR="0045626C">
        <w:t xml:space="preserve">if an investor currently buys shares </w:t>
      </w:r>
      <w:r w:rsidR="00C82061">
        <w:t>can benefit of prospective increase of 32% in share price and 5% in the dividends as reward</w:t>
      </w:r>
      <w:r w:rsidR="0078555D">
        <w:t xml:space="preserve"> </w:t>
      </w:r>
      <w:sdt>
        <w:sdtPr>
          <w:id w:val="816073509"/>
          <w:citation/>
        </w:sdtPr>
        <w:sdtContent>
          <w:r w:rsidR="0078555D">
            <w:fldChar w:fldCharType="begin"/>
          </w:r>
          <w:r w:rsidR="0078555D">
            <w:instrText xml:space="preserve"> CITATION Nex221 \l 1033 </w:instrText>
          </w:r>
          <w:r w:rsidR="0078555D">
            <w:fldChar w:fldCharType="separate"/>
          </w:r>
          <w:r w:rsidR="00EA4CE7" w:rsidRPr="00EA4CE7">
            <w:rPr>
              <w:noProof/>
            </w:rPr>
            <w:t>(Next Plc, 2022)</w:t>
          </w:r>
          <w:r w:rsidR="0078555D">
            <w:fldChar w:fldCharType="end"/>
          </w:r>
        </w:sdtContent>
      </w:sdt>
      <w:r w:rsidR="0078555D">
        <w:t>.</w:t>
      </w:r>
      <w:r w:rsidR="00505377">
        <w:t xml:space="preserve"> Further, having internal information many of the employees purchased shares of Next Plc and benefited from the strong share price by realising on their share options </w:t>
      </w:r>
      <w:sdt>
        <w:sdtPr>
          <w:id w:val="1806513590"/>
          <w:citation/>
        </w:sdtPr>
        <w:sdtContent>
          <w:r w:rsidR="00505377">
            <w:fldChar w:fldCharType="begin"/>
          </w:r>
          <w:r w:rsidR="00505377">
            <w:instrText xml:space="preserve"> CITATION Nex221 \l 1033 </w:instrText>
          </w:r>
          <w:r w:rsidR="00505377">
            <w:fldChar w:fldCharType="separate"/>
          </w:r>
          <w:r w:rsidR="00EA4CE7" w:rsidRPr="00EA4CE7">
            <w:rPr>
              <w:noProof/>
            </w:rPr>
            <w:t>(Next Plc, 2022)</w:t>
          </w:r>
          <w:r w:rsidR="00505377">
            <w:fldChar w:fldCharType="end"/>
          </w:r>
        </w:sdtContent>
      </w:sdt>
      <w:r w:rsidR="00505377">
        <w:t>.</w:t>
      </w:r>
    </w:p>
    <w:p w14:paraId="4B85645E" w14:textId="77777777" w:rsidR="00B97094" w:rsidRDefault="00B97094" w:rsidP="00B97094">
      <w:r>
        <w:br w:type="page"/>
      </w:r>
    </w:p>
    <w:p w14:paraId="576840D7" w14:textId="77777777" w:rsidR="00A26EBC" w:rsidRDefault="00380048" w:rsidP="002108AC">
      <w:pPr>
        <w:pStyle w:val="Heading1"/>
      </w:pPr>
      <w:bookmarkStart w:id="4" w:name="_Toc123229505"/>
      <w:r>
        <w:t>Critical analysis and evaluation of proje</w:t>
      </w:r>
      <w:r w:rsidR="002108AC">
        <w:t>ct appraisal techniques used at Next Plc</w:t>
      </w:r>
      <w:bookmarkEnd w:id="4"/>
    </w:p>
    <w:p w14:paraId="558C5803" w14:textId="77777777" w:rsidR="004E72DD" w:rsidRDefault="00B97094" w:rsidP="002108AC">
      <w:r>
        <w:t xml:space="preserve">In the course of efficient financial management, </w:t>
      </w:r>
      <w:r w:rsidR="00167CA1">
        <w:t>it is included in the corporate objectives of Next Plc to earn healthy margins</w:t>
      </w:r>
      <w:r w:rsidR="004E72DD">
        <w:t xml:space="preserve">. It is based on strong gross along with net margins. The base is efficient product sourcing, stock management along with cost control. </w:t>
      </w:r>
      <w:r w:rsidR="00FF5ECA">
        <w:t xml:space="preserve">In order to ensure high profit margins, there are multiple </w:t>
      </w:r>
      <w:r w:rsidR="00897D5A">
        <w:t xml:space="preserve">investment appraisal </w:t>
      </w:r>
      <w:r w:rsidR="00FF5ECA">
        <w:t xml:space="preserve">techniques that are being used </w:t>
      </w:r>
      <w:r w:rsidR="005F58BC">
        <w:t>at Next Plc</w:t>
      </w:r>
      <w:r w:rsidR="00E91B28">
        <w:t>,</w:t>
      </w:r>
      <w:r w:rsidR="005F58BC">
        <w:t xml:space="preserve"> including </w:t>
      </w:r>
      <w:r w:rsidR="004E72DD">
        <w:t xml:space="preserve">appraisal techniques such as: </w:t>
      </w:r>
      <w:sdt>
        <w:sdtPr>
          <w:id w:val="1021506363"/>
          <w:citation/>
        </w:sdtPr>
        <w:sdtContent>
          <w:r w:rsidR="004E72DD">
            <w:fldChar w:fldCharType="begin"/>
          </w:r>
          <w:r w:rsidR="004E72DD">
            <w:instrText xml:space="preserve"> CITATION Nex221 \l 1033 </w:instrText>
          </w:r>
          <w:r w:rsidR="004E72DD">
            <w:fldChar w:fldCharType="separate"/>
          </w:r>
          <w:r w:rsidR="004E72DD" w:rsidRPr="00EA4CE7">
            <w:rPr>
              <w:noProof/>
            </w:rPr>
            <w:t>(Next Plc, 2022)</w:t>
          </w:r>
          <w:r w:rsidR="004E72DD">
            <w:fldChar w:fldCharType="end"/>
          </w:r>
        </w:sdtContent>
      </w:sdt>
    </w:p>
    <w:p w14:paraId="0419581D" w14:textId="77777777" w:rsidR="004E72DD" w:rsidRDefault="004E72DD" w:rsidP="004E72DD">
      <w:pPr>
        <w:pStyle w:val="ListParagraph"/>
        <w:numPr>
          <w:ilvl w:val="0"/>
          <w:numId w:val="1"/>
        </w:numPr>
      </w:pPr>
      <w:r>
        <w:t>Payback Period</w:t>
      </w:r>
    </w:p>
    <w:p w14:paraId="5B560F06" w14:textId="77777777" w:rsidR="004E72DD" w:rsidRDefault="004E72DD" w:rsidP="004E72DD">
      <w:pPr>
        <w:pStyle w:val="ListParagraph"/>
        <w:numPr>
          <w:ilvl w:val="0"/>
          <w:numId w:val="1"/>
        </w:numPr>
      </w:pPr>
      <w:r>
        <w:t>Return on Investment</w:t>
      </w:r>
    </w:p>
    <w:p w14:paraId="0F8B45C1" w14:textId="77777777" w:rsidR="004E72DD" w:rsidRDefault="004E72DD" w:rsidP="004E72DD">
      <w:pPr>
        <w:pStyle w:val="ListParagraph"/>
        <w:numPr>
          <w:ilvl w:val="0"/>
          <w:numId w:val="1"/>
        </w:numPr>
      </w:pPr>
      <w:r>
        <w:t>Net Present Value</w:t>
      </w:r>
    </w:p>
    <w:p w14:paraId="6CFFB828" w14:textId="77777777" w:rsidR="004E72DD" w:rsidRDefault="004E72DD" w:rsidP="004E72DD">
      <w:pPr>
        <w:pStyle w:val="ListParagraph"/>
        <w:numPr>
          <w:ilvl w:val="0"/>
          <w:numId w:val="1"/>
        </w:numPr>
      </w:pPr>
      <w:r>
        <w:t>Internal rate of Return</w:t>
      </w:r>
    </w:p>
    <w:p w14:paraId="2948B578" w14:textId="77777777" w:rsidR="005F58BC" w:rsidRDefault="00D9402C" w:rsidP="00D9402C">
      <w:pPr>
        <w:pStyle w:val="Heading2"/>
      </w:pPr>
      <w:bookmarkStart w:id="5" w:name="_Toc123229506"/>
      <w:r>
        <w:t>Net Present Value</w:t>
      </w:r>
      <w:bookmarkEnd w:id="5"/>
    </w:p>
    <w:p w14:paraId="65667576" w14:textId="77777777" w:rsidR="004079BC" w:rsidRDefault="004E72DD" w:rsidP="002108AC">
      <w:r>
        <w:t xml:space="preserve">Time value of money is important consideration to have a good idea whether it is important to invest in a project or not. Having a good idea of the future value of current investment is the basic reason to use Net Present Value. </w:t>
      </w:r>
      <w:r w:rsidR="00D9402C" w:rsidRPr="00D9402C">
        <w:t>The fact that NPV gives an absolute measure of returns and aids in decision-making to improve shareholder value is another factor in its superiority to other investment evaluation methodologies. NPV is thought to be quite complex, nevertheless, and this complexity is made worse by the underlying complexity in the cost of capital. The fact that NPV is based on discounted cash flows that take into account the impacts of inflation, interest rates, and risk over the course of time is one of the main reasons for its superiority to alternative investment assessment approaches.</w:t>
      </w:r>
      <w:r w:rsidR="005F58BC">
        <w:t xml:space="preserve"> </w:t>
      </w:r>
      <w:sdt>
        <w:sdtPr>
          <w:id w:val="1087107150"/>
          <w:citation/>
        </w:sdtPr>
        <w:sdtContent>
          <w:r w:rsidR="005F58BC">
            <w:fldChar w:fldCharType="begin"/>
          </w:r>
          <w:r w:rsidR="005F58BC">
            <w:instrText xml:space="preserve"> CITATION ACC22 \l 1033 </w:instrText>
          </w:r>
          <w:r w:rsidR="005F58BC">
            <w:fldChar w:fldCharType="separate"/>
          </w:r>
          <w:r w:rsidR="00EA4CE7" w:rsidRPr="00EA4CE7">
            <w:rPr>
              <w:noProof/>
            </w:rPr>
            <w:t>(ACCA Global, 2022)</w:t>
          </w:r>
          <w:r w:rsidR="005F58BC">
            <w:fldChar w:fldCharType="end"/>
          </w:r>
        </w:sdtContent>
      </w:sdt>
      <w:r w:rsidR="005F58BC">
        <w:t>.</w:t>
      </w:r>
      <w:r w:rsidR="005054D8">
        <w:t xml:space="preserve"> </w:t>
      </w:r>
    </w:p>
    <w:p w14:paraId="26B52AE7" w14:textId="77777777" w:rsidR="004079BC" w:rsidRDefault="004079BC" w:rsidP="005A4376">
      <w:r>
        <w:t xml:space="preserve">Other than ‘return on capital employed’ (ROCE), all of the investment appraisal techniques are based on relevant cash flows. </w:t>
      </w:r>
      <w:r w:rsidR="00687374">
        <w:t>Another plus point of NPV is that it considers only r</w:t>
      </w:r>
      <w:r>
        <w:t xml:space="preserve">elevant cash flows </w:t>
      </w:r>
      <w:r w:rsidR="00687374">
        <w:t>that are future-based and</w:t>
      </w:r>
      <w:r>
        <w:t xml:space="preserve"> incremental. In addition to this, all of the sunk, committed, allocated and non-cash costs are ignored.</w:t>
      </w:r>
      <w:r w:rsidR="005A4376">
        <w:t xml:space="preserve"> So, these embedded attributes of NPV enhance the quality of decision making process by taking into account only those factors that are relevant, ultimately promising the success in the projects</w:t>
      </w:r>
      <w:sdt>
        <w:sdtPr>
          <w:id w:val="783386720"/>
          <w:citation/>
        </w:sdtPr>
        <w:sdtContent>
          <w:r w:rsidR="00EA4CE7">
            <w:fldChar w:fldCharType="begin"/>
          </w:r>
          <w:r w:rsidR="00EA4CE7">
            <w:instrText xml:space="preserve"> CITATION Mar101 \l 1033 </w:instrText>
          </w:r>
          <w:r w:rsidR="00EA4CE7">
            <w:fldChar w:fldCharType="separate"/>
          </w:r>
          <w:r w:rsidR="00EA4CE7">
            <w:rPr>
              <w:noProof/>
            </w:rPr>
            <w:t xml:space="preserve"> </w:t>
          </w:r>
          <w:r w:rsidR="00EA4CE7" w:rsidRPr="00EA4CE7">
            <w:rPr>
              <w:noProof/>
            </w:rPr>
            <w:t>(Röhrich, 2010)</w:t>
          </w:r>
          <w:r w:rsidR="00EA4CE7">
            <w:fldChar w:fldCharType="end"/>
          </w:r>
        </w:sdtContent>
      </w:sdt>
      <w:r w:rsidR="00B90876">
        <w:t>.</w:t>
      </w:r>
    </w:p>
    <w:p w14:paraId="0F3B9D23" w14:textId="77777777" w:rsidR="007571A6" w:rsidRDefault="005054D8" w:rsidP="002108AC">
      <w:r>
        <w:t>Therefore, it can be stated that Next Plc can increase the wealth of its shareholders by pursuing those projects that return positive net present value. However,</w:t>
      </w:r>
      <w:r w:rsidR="00B2063D">
        <w:t xml:space="preserve"> Next Plc may have to pursue a project that returns comparatively lower NPV or zero NPV to fulfil the needs of its customers and such projects </w:t>
      </w:r>
      <w:r w:rsidR="004079BC">
        <w:t>return value to the company later in other projects based on loyalty of customers</w:t>
      </w:r>
      <w:r w:rsidR="00B90876">
        <w:t xml:space="preserve"> </w:t>
      </w:r>
      <w:sdt>
        <w:sdtPr>
          <w:id w:val="2135826794"/>
          <w:citation/>
        </w:sdtPr>
        <w:sdtContent>
          <w:r w:rsidR="00B90876">
            <w:fldChar w:fldCharType="begin"/>
          </w:r>
          <w:r w:rsidR="00B90876">
            <w:instrText xml:space="preserve"> CITATION ACC22 \l 1033 </w:instrText>
          </w:r>
          <w:r w:rsidR="00B90876">
            <w:fldChar w:fldCharType="separate"/>
          </w:r>
          <w:r w:rsidR="00EA4CE7" w:rsidRPr="00EA4CE7">
            <w:rPr>
              <w:noProof/>
            </w:rPr>
            <w:t>(ACCA Global, 2022)</w:t>
          </w:r>
          <w:r w:rsidR="00B90876">
            <w:fldChar w:fldCharType="end"/>
          </w:r>
        </w:sdtContent>
      </w:sdt>
      <w:r w:rsidR="004079BC">
        <w:t>.</w:t>
      </w:r>
    </w:p>
    <w:p w14:paraId="7D080A8C" w14:textId="77777777" w:rsidR="005F58BC" w:rsidRDefault="005F58BC" w:rsidP="00F57088">
      <w:pPr>
        <w:pStyle w:val="Heading2"/>
      </w:pPr>
      <w:bookmarkStart w:id="6" w:name="_Toc101972178"/>
      <w:bookmarkStart w:id="7" w:name="_Toc123229507"/>
      <w:r>
        <w:t>Payback Period</w:t>
      </w:r>
      <w:bookmarkEnd w:id="6"/>
      <w:bookmarkEnd w:id="7"/>
    </w:p>
    <w:p w14:paraId="38899DF6" w14:textId="77777777" w:rsidR="00424B1C" w:rsidRDefault="007571A6" w:rsidP="00424B1C">
      <w:r w:rsidRPr="007571A6">
        <w:t>The payback period represents the length of time it will take for a project to recoup its necessary expenditure</w:t>
      </w:r>
      <w:sdt>
        <w:sdtPr>
          <w:id w:val="-203095333"/>
          <w:citation/>
        </w:sdtPr>
        <w:sdtContent>
          <w:r w:rsidR="00EA4CE7">
            <w:fldChar w:fldCharType="begin"/>
          </w:r>
          <w:r w:rsidR="00EA4CE7">
            <w:instrText xml:space="preserve"> CITATION Uwe07 \l 1033 </w:instrText>
          </w:r>
          <w:r w:rsidR="00EA4CE7">
            <w:fldChar w:fldCharType="separate"/>
          </w:r>
          <w:r w:rsidR="00EA4CE7">
            <w:rPr>
              <w:noProof/>
            </w:rPr>
            <w:t xml:space="preserve"> </w:t>
          </w:r>
          <w:r w:rsidR="00EA4CE7" w:rsidRPr="00EA4CE7">
            <w:rPr>
              <w:noProof/>
            </w:rPr>
            <w:t>(Götze, et al., 2007)</w:t>
          </w:r>
          <w:r w:rsidR="00EA4CE7">
            <w:fldChar w:fldCharType="end"/>
          </w:r>
        </w:sdtContent>
      </w:sdt>
      <w:r w:rsidRPr="007571A6">
        <w:t xml:space="preserve">. </w:t>
      </w:r>
      <w:r>
        <w:t>This is a</w:t>
      </w:r>
      <w:r w:rsidRPr="007571A6">
        <w:t xml:space="preserve"> popular and simple way of valuing investments </w:t>
      </w:r>
      <w:r>
        <w:t>and</w:t>
      </w:r>
      <w:r w:rsidRPr="007571A6">
        <w:t xml:space="preserve"> is based on cash flows</w:t>
      </w:r>
      <w:r>
        <w:t xml:space="preserve">. </w:t>
      </w:r>
      <w:r w:rsidR="00E22A64">
        <w:t>Further, through p</w:t>
      </w:r>
      <w:r>
        <w:t>ayback period</w:t>
      </w:r>
      <w:r w:rsidR="00E22A64">
        <w:t>, management of Next Plc can determine the liquidity of capital investment projects which will help manage cash flows efficiently.</w:t>
      </w:r>
      <w:r w:rsidR="00424B1C">
        <w:t xml:space="preserve"> Additionally, </w:t>
      </w:r>
      <w:r w:rsidR="00424B1C" w:rsidRPr="007571A6">
        <w:t>it promotes reducing risk and increasing liquidity.</w:t>
      </w:r>
      <w:r w:rsidR="00424B1C">
        <w:t xml:space="preserve"> </w:t>
      </w:r>
      <w:sdt>
        <w:sdtPr>
          <w:id w:val="-721286141"/>
          <w:citation/>
        </w:sdtPr>
        <w:sdtContent>
          <w:r w:rsidR="00424B1C">
            <w:fldChar w:fldCharType="begin"/>
          </w:r>
          <w:r w:rsidR="00424B1C">
            <w:instrText xml:space="preserve"> CITATION ACC221 \l 1033 </w:instrText>
          </w:r>
          <w:r w:rsidR="00424B1C">
            <w:fldChar w:fldCharType="separate"/>
          </w:r>
          <w:r w:rsidR="00EA4CE7" w:rsidRPr="00EA4CE7">
            <w:rPr>
              <w:noProof/>
            </w:rPr>
            <w:t>(ACCA Global, 2022)</w:t>
          </w:r>
          <w:r w:rsidR="00424B1C">
            <w:fldChar w:fldCharType="end"/>
          </w:r>
        </w:sdtContent>
      </w:sdt>
      <w:r w:rsidR="00424B1C">
        <w:t>.</w:t>
      </w:r>
    </w:p>
    <w:p w14:paraId="127DBF03" w14:textId="77777777" w:rsidR="00B67589" w:rsidRDefault="00E22A64" w:rsidP="00542517">
      <w:r>
        <w:t>However, it is noticeable for the management of Next Plc that payback period does not consider the cash flows ahead of the payback period</w:t>
      </w:r>
      <w:r w:rsidR="00AE289F">
        <w:t xml:space="preserve"> which might be valuable for the company</w:t>
      </w:r>
      <w:sdt>
        <w:sdtPr>
          <w:id w:val="526372344"/>
          <w:citation/>
        </w:sdtPr>
        <w:sdtContent>
          <w:r w:rsidR="00EA4CE7">
            <w:fldChar w:fldCharType="begin"/>
          </w:r>
          <w:r w:rsidR="00EA4CE7">
            <w:instrText xml:space="preserve"> CITATION Don02 \l 1033 </w:instrText>
          </w:r>
          <w:r w:rsidR="00EA4CE7">
            <w:fldChar w:fldCharType="separate"/>
          </w:r>
          <w:r w:rsidR="00EA4CE7">
            <w:rPr>
              <w:noProof/>
            </w:rPr>
            <w:t xml:space="preserve"> </w:t>
          </w:r>
          <w:r w:rsidR="00EA4CE7" w:rsidRPr="00EA4CE7">
            <w:rPr>
              <w:noProof/>
            </w:rPr>
            <w:t>(Dayananda, et al., 2002)</w:t>
          </w:r>
          <w:r w:rsidR="00EA4CE7">
            <w:fldChar w:fldCharType="end"/>
          </w:r>
        </w:sdtContent>
      </w:sdt>
      <w:r w:rsidR="00AE289F">
        <w:t xml:space="preserve">. So, while using this technique of investment appraisal, management of Next Plc should also consider the cash flows that the project is expected to generate after </w:t>
      </w:r>
      <w:r w:rsidR="00C074D6">
        <w:t>its payback period.</w:t>
      </w:r>
    </w:p>
    <w:p w14:paraId="7D1584FE" w14:textId="77777777" w:rsidR="00B67589" w:rsidRDefault="00B67589">
      <w:pPr>
        <w:spacing w:line="276" w:lineRule="auto"/>
        <w:jc w:val="left"/>
      </w:pPr>
      <w:r>
        <w:br w:type="page"/>
      </w:r>
    </w:p>
    <w:sdt>
      <w:sdtPr>
        <w:rPr>
          <w:b w:val="0"/>
          <w:caps w:val="0"/>
          <w:color w:val="auto"/>
          <w:spacing w:val="0"/>
          <w:sz w:val="24"/>
          <w:szCs w:val="20"/>
        </w:rPr>
        <w:id w:val="1814762665"/>
        <w:docPartObj>
          <w:docPartGallery w:val="Bibliographies"/>
          <w:docPartUnique/>
        </w:docPartObj>
      </w:sdtPr>
      <w:sdtContent>
        <w:p w14:paraId="3D9BF93D" w14:textId="77777777" w:rsidR="00B67589" w:rsidRDefault="00B67589">
          <w:pPr>
            <w:pStyle w:val="Heading1"/>
          </w:pPr>
          <w:r>
            <w:t>References</w:t>
          </w:r>
        </w:p>
        <w:sdt>
          <w:sdtPr>
            <w:id w:val="-573587230"/>
            <w:bibliography/>
          </w:sdtPr>
          <w:sdtContent>
            <w:p w14:paraId="23B56178" w14:textId="77777777" w:rsidR="00EA4CE7" w:rsidRDefault="00B67589" w:rsidP="00EA4CE7">
              <w:pPr>
                <w:pStyle w:val="Bibliography"/>
                <w:rPr>
                  <w:noProof/>
                  <w:szCs w:val="24"/>
                </w:rPr>
              </w:pPr>
              <w:r>
                <w:fldChar w:fldCharType="begin"/>
              </w:r>
              <w:r>
                <w:instrText xml:space="preserve"> BIBLIOGRAPHY </w:instrText>
              </w:r>
              <w:r>
                <w:fldChar w:fldCharType="separate"/>
              </w:r>
              <w:r w:rsidR="00EA4CE7">
                <w:rPr>
                  <w:noProof/>
                </w:rPr>
                <w:t xml:space="preserve">ACCA Global, 2022. </w:t>
              </w:r>
              <w:r w:rsidR="00EA4CE7">
                <w:rPr>
                  <w:i/>
                  <w:iCs/>
                  <w:noProof/>
                </w:rPr>
                <w:t xml:space="preserve">Advanced investment appraisal. </w:t>
              </w:r>
              <w:r w:rsidR="00EA4CE7">
                <w:rPr>
                  <w:noProof/>
                </w:rPr>
                <w:t xml:space="preserve">[Online] </w:t>
              </w:r>
              <w:r w:rsidR="00EA4CE7">
                <w:rPr>
                  <w:noProof/>
                </w:rPr>
                <w:br/>
                <w:t xml:space="preserve">Available at: </w:t>
              </w:r>
              <w:r w:rsidR="00EA4CE7">
                <w:rPr>
                  <w:noProof/>
                  <w:u w:val="single"/>
                </w:rPr>
                <w:t>https://www.accaglobal.com/my/en/student/exam-support-resources/fundamentals-exams-study-resources/f9/technical-articles/advanced-investment-appraisal.html</w:t>
              </w:r>
              <w:r w:rsidR="00EA4CE7">
                <w:rPr>
                  <w:noProof/>
                </w:rPr>
                <w:br/>
                <w:t>[Accessed 25 April 2022].</w:t>
              </w:r>
            </w:p>
            <w:p w14:paraId="0068F6F0" w14:textId="77777777" w:rsidR="00EA4CE7" w:rsidRDefault="00EA4CE7" w:rsidP="00EA4CE7">
              <w:pPr>
                <w:pStyle w:val="Bibliography"/>
                <w:rPr>
                  <w:noProof/>
                </w:rPr>
              </w:pPr>
              <w:r>
                <w:rPr>
                  <w:noProof/>
                </w:rPr>
                <w:t xml:space="preserve">ACCA Global, 2022. </w:t>
              </w:r>
              <w:r>
                <w:rPr>
                  <w:i/>
                  <w:iCs/>
                  <w:noProof/>
                </w:rPr>
                <w:t xml:space="preserve">Payback and discounted payback. </w:t>
              </w:r>
              <w:r>
                <w:rPr>
                  <w:noProof/>
                </w:rPr>
                <w:t xml:space="preserve">[Online] </w:t>
              </w:r>
              <w:r>
                <w:rPr>
                  <w:noProof/>
                </w:rPr>
                <w:br/>
                <w:t xml:space="preserve">Available at: </w:t>
              </w:r>
              <w:r>
                <w:rPr>
                  <w:noProof/>
                  <w:u w:val="single"/>
                </w:rPr>
                <w:t>https://www.accaglobal.com/lk/en/student/exam-support-resources/foundation-level-study-resources/ffm/ffm-technical-articles/discounted-payback.html</w:t>
              </w:r>
              <w:r>
                <w:rPr>
                  <w:noProof/>
                </w:rPr>
                <w:br/>
                <w:t>[Accessed 26 April 2022].</w:t>
              </w:r>
            </w:p>
            <w:p w14:paraId="55D60D75" w14:textId="77777777" w:rsidR="00EA4CE7" w:rsidRDefault="00EA4CE7" w:rsidP="00EA4CE7">
              <w:pPr>
                <w:pStyle w:val="Bibliography"/>
                <w:rPr>
                  <w:noProof/>
                </w:rPr>
              </w:pPr>
              <w:r>
                <w:rPr>
                  <w:noProof/>
                </w:rPr>
                <w:t xml:space="preserve">ACCA, 2022. </w:t>
              </w:r>
              <w:r>
                <w:rPr>
                  <w:i/>
                  <w:iCs/>
                  <w:noProof/>
                </w:rPr>
                <w:t xml:space="preserve">Dividend Theory. </w:t>
              </w:r>
              <w:r>
                <w:rPr>
                  <w:noProof/>
                </w:rPr>
                <w:t xml:space="preserve">[Online] </w:t>
              </w:r>
              <w:r>
                <w:rPr>
                  <w:noProof/>
                </w:rPr>
                <w:br/>
                <w:t xml:space="preserve">Available at: </w:t>
              </w:r>
              <w:r>
                <w:rPr>
                  <w:noProof/>
                  <w:u w:val="single"/>
                </w:rPr>
                <w:t>https://www.accaglobal.com/uk/en/student/exam-support-resources/fundamentals-exams-study-resources/f9/technical-articles/dividend-theory.html</w:t>
              </w:r>
              <w:r>
                <w:rPr>
                  <w:noProof/>
                </w:rPr>
                <w:br/>
                <w:t>[Accessed 28 December 2022].</w:t>
              </w:r>
            </w:p>
            <w:p w14:paraId="0FCF2B28" w14:textId="77777777" w:rsidR="00EA4CE7" w:rsidRDefault="00EA4CE7" w:rsidP="00EA4CE7">
              <w:pPr>
                <w:pStyle w:val="Bibliography"/>
                <w:rPr>
                  <w:noProof/>
                </w:rPr>
              </w:pPr>
              <w:r>
                <w:rPr>
                  <w:noProof/>
                </w:rPr>
                <w:t xml:space="preserve">Dayananda, D. et al., 2002. </w:t>
              </w:r>
              <w:r>
                <w:rPr>
                  <w:i/>
                  <w:iCs/>
                  <w:noProof/>
                </w:rPr>
                <w:t xml:space="preserve">Capital Budgeting: Financial Appraisal of Investment Projects. </w:t>
              </w:r>
              <w:r>
                <w:rPr>
                  <w:noProof/>
                </w:rPr>
                <w:t>s.l.:Cambridge University Press.</w:t>
              </w:r>
            </w:p>
            <w:p w14:paraId="19B763BE" w14:textId="77777777" w:rsidR="00EA4CE7" w:rsidRDefault="00EA4CE7" w:rsidP="00EA4CE7">
              <w:pPr>
                <w:pStyle w:val="Bibliography"/>
                <w:rPr>
                  <w:noProof/>
                </w:rPr>
              </w:pPr>
              <w:r>
                <w:rPr>
                  <w:noProof/>
                </w:rPr>
                <w:t xml:space="preserve">Fama, E. F., 1970. Efficient Capital Markets: A Review of Theory and Empirical Work. </w:t>
              </w:r>
              <w:r>
                <w:rPr>
                  <w:i/>
                  <w:iCs/>
                  <w:noProof/>
                </w:rPr>
                <w:t xml:space="preserve">The Journal of Finance, </w:t>
              </w:r>
              <w:r>
                <w:rPr>
                  <w:noProof/>
                </w:rPr>
                <w:t>25(2), pp. 383-417.</w:t>
              </w:r>
            </w:p>
            <w:p w14:paraId="2B7A2B12" w14:textId="77777777" w:rsidR="00EA4CE7" w:rsidRDefault="00EA4CE7" w:rsidP="00EA4CE7">
              <w:pPr>
                <w:pStyle w:val="Bibliography"/>
                <w:rPr>
                  <w:noProof/>
                </w:rPr>
              </w:pPr>
              <w:r>
                <w:rPr>
                  <w:noProof/>
                </w:rPr>
                <w:t xml:space="preserve">Götze, U., Northcott, D. &amp; Schuster, P., 2007. </w:t>
              </w:r>
              <w:r>
                <w:rPr>
                  <w:i/>
                  <w:iCs/>
                  <w:noProof/>
                </w:rPr>
                <w:t xml:space="preserve">Investment Appraisal: Methods and Models. </w:t>
              </w:r>
              <w:r>
                <w:rPr>
                  <w:noProof/>
                </w:rPr>
                <w:t>s.l.:Springer Science &amp; Business Media.</w:t>
              </w:r>
            </w:p>
            <w:p w14:paraId="08D30A1D" w14:textId="77777777" w:rsidR="00EA4CE7" w:rsidRDefault="00EA4CE7" w:rsidP="00EA4CE7">
              <w:pPr>
                <w:pStyle w:val="Bibliography"/>
                <w:rPr>
                  <w:noProof/>
                </w:rPr>
              </w:pPr>
              <w:r>
                <w:rPr>
                  <w:noProof/>
                </w:rPr>
                <w:t xml:space="preserve">Harvard Business Review, 2016. </w:t>
              </w:r>
              <w:r>
                <w:rPr>
                  <w:i/>
                  <w:iCs/>
                  <w:noProof/>
                </w:rPr>
                <w:t xml:space="preserve">A Refresher on Internal Rate of Return. </w:t>
              </w:r>
              <w:r>
                <w:rPr>
                  <w:noProof/>
                </w:rPr>
                <w:t xml:space="preserve">[Online] </w:t>
              </w:r>
              <w:r>
                <w:rPr>
                  <w:noProof/>
                </w:rPr>
                <w:br/>
                <w:t xml:space="preserve">Available at: </w:t>
              </w:r>
              <w:r>
                <w:rPr>
                  <w:noProof/>
                  <w:u w:val="single"/>
                </w:rPr>
                <w:t>https://hbr.org/2016/03/a-refresher-on-internal-rate-of-return</w:t>
              </w:r>
              <w:r>
                <w:rPr>
                  <w:noProof/>
                </w:rPr>
                <w:br/>
                <w:t>[Accessed 25 April 2022].</w:t>
              </w:r>
            </w:p>
            <w:p w14:paraId="2337B355" w14:textId="77777777" w:rsidR="00EA4CE7" w:rsidRDefault="00EA4CE7" w:rsidP="00EA4CE7">
              <w:pPr>
                <w:pStyle w:val="Bibliography"/>
                <w:rPr>
                  <w:noProof/>
                </w:rPr>
              </w:pPr>
              <w:r>
                <w:rPr>
                  <w:noProof/>
                </w:rPr>
                <w:t xml:space="preserve">Jones, S. L. &amp; Netter, J. M., 2015. </w:t>
              </w:r>
              <w:r>
                <w:rPr>
                  <w:i/>
                  <w:iCs/>
                  <w:noProof/>
                </w:rPr>
                <w:t xml:space="preserve">Efficient Capital Markets. </w:t>
              </w:r>
              <w:r>
                <w:rPr>
                  <w:noProof/>
                </w:rPr>
                <w:t xml:space="preserve">[Online] </w:t>
              </w:r>
              <w:r>
                <w:rPr>
                  <w:noProof/>
                </w:rPr>
                <w:br/>
                <w:t xml:space="preserve">Available at: </w:t>
              </w:r>
              <w:r>
                <w:rPr>
                  <w:noProof/>
                  <w:u w:val="single"/>
                </w:rPr>
                <w:t>https://www.econlib.org/library/Enc/EfficientCapitalMarkets.html</w:t>
              </w:r>
              <w:r>
                <w:rPr>
                  <w:noProof/>
                </w:rPr>
                <w:br/>
                <w:t>[Accessed 28 December 2022].</w:t>
              </w:r>
            </w:p>
            <w:p w14:paraId="2AE79195" w14:textId="77777777" w:rsidR="00EA4CE7" w:rsidRDefault="00EA4CE7" w:rsidP="00EA4CE7">
              <w:pPr>
                <w:pStyle w:val="Bibliography"/>
                <w:rPr>
                  <w:noProof/>
                </w:rPr>
              </w:pPr>
              <w:r>
                <w:rPr>
                  <w:noProof/>
                </w:rPr>
                <w:t xml:space="preserve">Marks &amp; Spencer, 2022. </w:t>
              </w:r>
              <w:r>
                <w:rPr>
                  <w:i/>
                  <w:iCs/>
                  <w:noProof/>
                </w:rPr>
                <w:t xml:space="preserve">FINAICIAL STATEMENTS. </w:t>
              </w:r>
              <w:r>
                <w:rPr>
                  <w:noProof/>
                </w:rPr>
                <w:t xml:space="preserve">[Online] </w:t>
              </w:r>
              <w:r>
                <w:rPr>
                  <w:noProof/>
                </w:rPr>
                <w:br/>
                <w:t xml:space="preserve">Available at: </w:t>
              </w:r>
              <w:r>
                <w:rPr>
                  <w:noProof/>
                  <w:u w:val="single"/>
                </w:rPr>
                <w:t>https://corporate.marksandspencer.com/investors/our-performance-updates/2022-annual-report</w:t>
              </w:r>
              <w:r>
                <w:rPr>
                  <w:noProof/>
                </w:rPr>
                <w:br/>
                <w:t>[Accessed 5 December 2022].</w:t>
              </w:r>
            </w:p>
            <w:p w14:paraId="10C8C278" w14:textId="77777777" w:rsidR="00EA4CE7" w:rsidRDefault="00EA4CE7" w:rsidP="00EA4CE7">
              <w:pPr>
                <w:pStyle w:val="Bibliography"/>
                <w:rPr>
                  <w:noProof/>
                </w:rPr>
              </w:pPr>
              <w:r>
                <w:rPr>
                  <w:noProof/>
                </w:rPr>
                <w:t xml:space="preserve">Next Plc, 2022. </w:t>
              </w:r>
              <w:r>
                <w:rPr>
                  <w:i/>
                  <w:iCs/>
                  <w:noProof/>
                </w:rPr>
                <w:t xml:space="preserve">ANNUAL REPORT &amp; ACCOUNTS. </w:t>
              </w:r>
              <w:r>
                <w:rPr>
                  <w:noProof/>
                </w:rPr>
                <w:t xml:space="preserve">[Online] </w:t>
              </w:r>
              <w:r>
                <w:rPr>
                  <w:noProof/>
                </w:rPr>
                <w:br/>
                <w:t xml:space="preserve">Available at: </w:t>
              </w:r>
              <w:r>
                <w:rPr>
                  <w:noProof/>
                  <w:u w:val="single"/>
                </w:rPr>
                <w:t>https://www.nextplc.co.uk/~/media/Files/N/Next-PLC-V2/documents/2022/annual-reports-and-account-jan-2022.pdf</w:t>
              </w:r>
              <w:r>
                <w:rPr>
                  <w:noProof/>
                </w:rPr>
                <w:br/>
                <w:t>[Accessed 28 December 2022].</w:t>
              </w:r>
            </w:p>
            <w:p w14:paraId="00D9380F" w14:textId="77777777" w:rsidR="00EA4CE7" w:rsidRDefault="00EA4CE7" w:rsidP="00EA4CE7">
              <w:pPr>
                <w:pStyle w:val="Bibliography"/>
                <w:rPr>
                  <w:noProof/>
                </w:rPr>
              </w:pPr>
              <w:r>
                <w:rPr>
                  <w:noProof/>
                </w:rPr>
                <w:t xml:space="preserve">Reuters, 2022. </w:t>
              </w:r>
              <w:r>
                <w:rPr>
                  <w:i/>
                  <w:iCs/>
                  <w:noProof/>
                </w:rPr>
                <w:t xml:space="preserve">Next PLC. </w:t>
              </w:r>
              <w:r>
                <w:rPr>
                  <w:noProof/>
                </w:rPr>
                <w:t xml:space="preserve">[Online] </w:t>
              </w:r>
              <w:r>
                <w:rPr>
                  <w:noProof/>
                </w:rPr>
                <w:br/>
                <w:t xml:space="preserve">Available at: </w:t>
              </w:r>
              <w:r>
                <w:rPr>
                  <w:noProof/>
                  <w:u w:val="single"/>
                </w:rPr>
                <w:t>https://www.reuters.com/markets/companies/NXT.L/</w:t>
              </w:r>
              <w:r>
                <w:rPr>
                  <w:noProof/>
                </w:rPr>
                <w:br/>
                <w:t>[Accessed 27 December 2022].</w:t>
              </w:r>
            </w:p>
            <w:p w14:paraId="28484F59" w14:textId="77777777" w:rsidR="00EA4CE7" w:rsidRDefault="00EA4CE7" w:rsidP="00EA4CE7">
              <w:pPr>
                <w:pStyle w:val="Bibliography"/>
                <w:rPr>
                  <w:noProof/>
                </w:rPr>
              </w:pPr>
              <w:r>
                <w:rPr>
                  <w:noProof/>
                </w:rPr>
                <w:t xml:space="preserve">Röhrich, M., 2010. </w:t>
              </w:r>
              <w:r>
                <w:rPr>
                  <w:i/>
                  <w:iCs/>
                  <w:noProof/>
                </w:rPr>
                <w:t xml:space="preserve">Fundamentals of Investment Appraisal: An Illustration based on a Case Study. </w:t>
              </w:r>
              <w:r>
                <w:rPr>
                  <w:noProof/>
                </w:rPr>
                <w:t>s.l.:Oldenbourg Verlag.</w:t>
              </w:r>
            </w:p>
            <w:p w14:paraId="7918D023" w14:textId="77777777" w:rsidR="00B67589" w:rsidRDefault="00B67589" w:rsidP="00EA4CE7">
              <w:r>
                <w:rPr>
                  <w:b/>
                  <w:bCs/>
                  <w:noProof/>
                </w:rPr>
                <w:fldChar w:fldCharType="end"/>
              </w:r>
            </w:p>
          </w:sdtContent>
        </w:sdt>
      </w:sdtContent>
    </w:sdt>
    <w:p w14:paraId="47F5CD02" w14:textId="77777777" w:rsidR="00EA4CE7" w:rsidRDefault="00EA4CE7" w:rsidP="00542517"/>
    <w:p w14:paraId="3BC69261" w14:textId="77777777" w:rsidR="00EA4CE7" w:rsidRPr="00EA4CE7" w:rsidRDefault="00EA4CE7" w:rsidP="00EA4CE7">
      <w:pPr>
        <w:tabs>
          <w:tab w:val="left" w:pos="3375"/>
        </w:tabs>
      </w:pPr>
      <w:r>
        <w:tab/>
      </w:r>
    </w:p>
    <w:p w14:paraId="4BEA661C" w14:textId="77777777" w:rsidR="00EA4CE7" w:rsidRPr="00EA4CE7" w:rsidRDefault="00EA4CE7" w:rsidP="00EA4CE7"/>
    <w:p w14:paraId="7A5C15F6" w14:textId="77777777" w:rsidR="00EA4CE7" w:rsidRPr="00EA4CE7" w:rsidRDefault="00EA4CE7" w:rsidP="00EA4CE7">
      <w:pPr>
        <w:tabs>
          <w:tab w:val="left" w:pos="3375"/>
        </w:tabs>
      </w:pPr>
      <w:r>
        <w:tab/>
      </w:r>
    </w:p>
    <w:p w14:paraId="39C37DBF" w14:textId="77777777" w:rsidR="00EA4CE7" w:rsidRPr="00EA4CE7" w:rsidRDefault="00EA4CE7" w:rsidP="00EA4CE7"/>
    <w:p w14:paraId="1BBBDA23" w14:textId="77777777" w:rsidR="00EA4CE7" w:rsidRPr="00EA4CE7" w:rsidRDefault="00EA4CE7" w:rsidP="00EA4CE7"/>
    <w:p w14:paraId="10AC2AB6" w14:textId="77777777" w:rsidR="00EA4CE7" w:rsidRPr="00EA4CE7" w:rsidRDefault="00EA4CE7" w:rsidP="00EA4CE7">
      <w:pPr>
        <w:tabs>
          <w:tab w:val="left" w:pos="3375"/>
        </w:tabs>
      </w:pPr>
      <w:r>
        <w:tab/>
      </w:r>
    </w:p>
    <w:p w14:paraId="37EF5239" w14:textId="77777777" w:rsidR="00EA4CE7" w:rsidRDefault="00EA4CE7" w:rsidP="00EA4CE7"/>
    <w:p w14:paraId="733220D5" w14:textId="77777777" w:rsidR="00542517" w:rsidRPr="00EA4CE7" w:rsidRDefault="00EA4CE7" w:rsidP="00EA4CE7">
      <w:pPr>
        <w:tabs>
          <w:tab w:val="left" w:pos="3375"/>
        </w:tabs>
      </w:pPr>
      <w:r>
        <w:tab/>
      </w:r>
    </w:p>
    <w:sectPr w:rsidR="00542517" w:rsidRPr="00EA4CE7" w:rsidSect="00114FE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45D78" w14:textId="77777777" w:rsidR="00B7730A" w:rsidRDefault="00B7730A" w:rsidP="00114FE5">
      <w:pPr>
        <w:spacing w:before="0" w:after="0" w:line="240" w:lineRule="auto"/>
      </w:pPr>
      <w:r>
        <w:separator/>
      </w:r>
    </w:p>
  </w:endnote>
  <w:endnote w:type="continuationSeparator" w:id="0">
    <w:p w14:paraId="05D6A628" w14:textId="77777777" w:rsidR="00B7730A" w:rsidRDefault="00B7730A" w:rsidP="00114F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TC Avant Garde Gothic W01 Dm">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52644"/>
      <w:docPartObj>
        <w:docPartGallery w:val="Page Numbers (Bottom of Page)"/>
        <w:docPartUnique/>
      </w:docPartObj>
    </w:sdtPr>
    <w:sdtContent>
      <w:sdt>
        <w:sdtPr>
          <w:id w:val="1728636285"/>
          <w:docPartObj>
            <w:docPartGallery w:val="Page Numbers (Top of Page)"/>
            <w:docPartUnique/>
          </w:docPartObj>
        </w:sdtPr>
        <w:sdtContent>
          <w:p w14:paraId="393D3697" w14:textId="77777777" w:rsidR="00114FE5" w:rsidRDefault="00114FE5">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4E72DD">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E72DD">
              <w:rPr>
                <w:b/>
                <w:bCs/>
                <w:noProof/>
              </w:rPr>
              <w:t>11</w:t>
            </w:r>
            <w:r>
              <w:rPr>
                <w:b/>
                <w:bCs/>
                <w:szCs w:val="24"/>
              </w:rPr>
              <w:fldChar w:fldCharType="end"/>
            </w:r>
          </w:p>
        </w:sdtContent>
      </w:sdt>
    </w:sdtContent>
  </w:sdt>
  <w:p w14:paraId="7C6405CF" w14:textId="77777777" w:rsidR="00114FE5" w:rsidRDefault="00114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524B7" w14:textId="77777777" w:rsidR="00B7730A" w:rsidRDefault="00B7730A" w:rsidP="00114FE5">
      <w:pPr>
        <w:spacing w:before="0" w:after="0" w:line="240" w:lineRule="auto"/>
      </w:pPr>
      <w:r>
        <w:separator/>
      </w:r>
    </w:p>
  </w:footnote>
  <w:footnote w:type="continuationSeparator" w:id="0">
    <w:p w14:paraId="34EE6D04" w14:textId="77777777" w:rsidR="00B7730A" w:rsidRDefault="00B7730A" w:rsidP="00114F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A0724"/>
    <w:multiLevelType w:val="hybridMultilevel"/>
    <w:tmpl w:val="1BC60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001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165"/>
    <w:rsid w:val="00021EE3"/>
    <w:rsid w:val="0004662B"/>
    <w:rsid w:val="0008000C"/>
    <w:rsid w:val="00114FE5"/>
    <w:rsid w:val="00131079"/>
    <w:rsid w:val="001664CB"/>
    <w:rsid w:val="00167CA1"/>
    <w:rsid w:val="001A37FF"/>
    <w:rsid w:val="001B6D20"/>
    <w:rsid w:val="002108AC"/>
    <w:rsid w:val="002136A5"/>
    <w:rsid w:val="00220928"/>
    <w:rsid w:val="00261387"/>
    <w:rsid w:val="0027116A"/>
    <w:rsid w:val="002C6143"/>
    <w:rsid w:val="002D3F4C"/>
    <w:rsid w:val="00380048"/>
    <w:rsid w:val="003E6F20"/>
    <w:rsid w:val="003F4870"/>
    <w:rsid w:val="004079BC"/>
    <w:rsid w:val="00424B1C"/>
    <w:rsid w:val="00435818"/>
    <w:rsid w:val="0045626C"/>
    <w:rsid w:val="00486D9D"/>
    <w:rsid w:val="004E39BB"/>
    <w:rsid w:val="004E72DD"/>
    <w:rsid w:val="0050072A"/>
    <w:rsid w:val="00505377"/>
    <w:rsid w:val="005054D8"/>
    <w:rsid w:val="00542517"/>
    <w:rsid w:val="005A4376"/>
    <w:rsid w:val="005E5F95"/>
    <w:rsid w:val="005F58BC"/>
    <w:rsid w:val="006128DF"/>
    <w:rsid w:val="00627198"/>
    <w:rsid w:val="00632286"/>
    <w:rsid w:val="00636B92"/>
    <w:rsid w:val="006603D1"/>
    <w:rsid w:val="00687374"/>
    <w:rsid w:val="006A3665"/>
    <w:rsid w:val="006B51F2"/>
    <w:rsid w:val="007012A4"/>
    <w:rsid w:val="0073201C"/>
    <w:rsid w:val="007571A6"/>
    <w:rsid w:val="00774D51"/>
    <w:rsid w:val="00782A1B"/>
    <w:rsid w:val="0078555D"/>
    <w:rsid w:val="0078747F"/>
    <w:rsid w:val="007D53A8"/>
    <w:rsid w:val="007E12D2"/>
    <w:rsid w:val="008620F6"/>
    <w:rsid w:val="0088402C"/>
    <w:rsid w:val="0089765A"/>
    <w:rsid w:val="00897D5A"/>
    <w:rsid w:val="008E381C"/>
    <w:rsid w:val="009A2437"/>
    <w:rsid w:val="009C591C"/>
    <w:rsid w:val="009D40D6"/>
    <w:rsid w:val="00A26E4A"/>
    <w:rsid w:val="00A26EBC"/>
    <w:rsid w:val="00A56A7E"/>
    <w:rsid w:val="00AC3EFA"/>
    <w:rsid w:val="00AC49E6"/>
    <w:rsid w:val="00AE289F"/>
    <w:rsid w:val="00B2063D"/>
    <w:rsid w:val="00B4371C"/>
    <w:rsid w:val="00B67589"/>
    <w:rsid w:val="00B67761"/>
    <w:rsid w:val="00B7730A"/>
    <w:rsid w:val="00B834C7"/>
    <w:rsid w:val="00B90876"/>
    <w:rsid w:val="00B97094"/>
    <w:rsid w:val="00BA110E"/>
    <w:rsid w:val="00BF57C2"/>
    <w:rsid w:val="00C074D6"/>
    <w:rsid w:val="00C74CE0"/>
    <w:rsid w:val="00C82061"/>
    <w:rsid w:val="00CD64AF"/>
    <w:rsid w:val="00D03BA3"/>
    <w:rsid w:val="00D15165"/>
    <w:rsid w:val="00D251E2"/>
    <w:rsid w:val="00D73530"/>
    <w:rsid w:val="00D9402C"/>
    <w:rsid w:val="00DC5B6E"/>
    <w:rsid w:val="00E22A64"/>
    <w:rsid w:val="00E33155"/>
    <w:rsid w:val="00E36FA9"/>
    <w:rsid w:val="00E70D24"/>
    <w:rsid w:val="00E91B28"/>
    <w:rsid w:val="00EA4CE7"/>
    <w:rsid w:val="00F101D3"/>
    <w:rsid w:val="00F337A5"/>
    <w:rsid w:val="00F57088"/>
    <w:rsid w:val="00F60D6D"/>
    <w:rsid w:val="00F711AB"/>
    <w:rsid w:val="00FB1096"/>
    <w:rsid w:val="00FB1EE3"/>
    <w:rsid w:val="00FF5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962D0"/>
  <w15:chartTrackingRefBased/>
  <w15:docId w15:val="{3A12CC3F-9E62-4EA1-9D84-949DDD3A0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EFA"/>
    <w:pPr>
      <w:spacing w:line="360" w:lineRule="auto"/>
      <w:jc w:val="both"/>
    </w:pPr>
    <w:rPr>
      <w:sz w:val="24"/>
    </w:rPr>
  </w:style>
  <w:style w:type="paragraph" w:styleId="Heading1">
    <w:name w:val="heading 1"/>
    <w:basedOn w:val="Normal"/>
    <w:next w:val="Normal"/>
    <w:link w:val="Heading1Char"/>
    <w:autoRedefine/>
    <w:uiPriority w:val="9"/>
    <w:qFormat/>
    <w:rsid w:val="00AC3EFA"/>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caps/>
      <w:color w:val="FFFFFF" w:themeColor="background1"/>
      <w:spacing w:val="15"/>
      <w:sz w:val="28"/>
      <w:szCs w:val="22"/>
    </w:rPr>
  </w:style>
  <w:style w:type="paragraph" w:styleId="Heading2">
    <w:name w:val="heading 2"/>
    <w:basedOn w:val="Normal"/>
    <w:next w:val="Normal"/>
    <w:link w:val="Heading2Char"/>
    <w:uiPriority w:val="9"/>
    <w:unhideWhenUsed/>
    <w:qFormat/>
    <w:rsid w:val="00AC3EFA"/>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C3EFA"/>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AC3EFA"/>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AC3EFA"/>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AC3EFA"/>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AC3EFA"/>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AC3EF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C3EF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EFA"/>
    <w:rPr>
      <w:b/>
      <w:caps/>
      <w:color w:val="FFFFFF" w:themeColor="background1"/>
      <w:spacing w:val="15"/>
      <w:sz w:val="28"/>
      <w:szCs w:val="22"/>
      <w:shd w:val="clear" w:color="auto" w:fill="5B9BD5" w:themeFill="accent1"/>
    </w:rPr>
  </w:style>
  <w:style w:type="character" w:customStyle="1" w:styleId="Heading2Char">
    <w:name w:val="Heading 2 Char"/>
    <w:basedOn w:val="DefaultParagraphFont"/>
    <w:link w:val="Heading2"/>
    <w:uiPriority w:val="9"/>
    <w:rsid w:val="00AC3EFA"/>
    <w:rPr>
      <w:caps/>
      <w:spacing w:val="15"/>
      <w:shd w:val="clear" w:color="auto" w:fill="DEEAF6" w:themeFill="accent1" w:themeFillTint="33"/>
    </w:rPr>
  </w:style>
  <w:style w:type="table" w:styleId="GridTable1Light-Accent6">
    <w:name w:val="Grid Table 1 Light Accent 6"/>
    <w:basedOn w:val="TableNormal"/>
    <w:uiPriority w:val="46"/>
    <w:rsid w:val="0050072A"/>
    <w:pPr>
      <w:spacing w:after="0" w:line="240" w:lineRule="auto"/>
    </w:pPr>
    <w:rPr>
      <w:sz w:val="21"/>
      <w:szCs w:val="21"/>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0072A"/>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50072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3Char">
    <w:name w:val="Heading 3 Char"/>
    <w:basedOn w:val="DefaultParagraphFont"/>
    <w:link w:val="Heading3"/>
    <w:uiPriority w:val="9"/>
    <w:semiHidden/>
    <w:rsid w:val="00AC3EFA"/>
    <w:rPr>
      <w:caps/>
      <w:color w:val="1F4D78" w:themeColor="accent1" w:themeShade="7F"/>
      <w:spacing w:val="15"/>
    </w:rPr>
  </w:style>
  <w:style w:type="paragraph" w:styleId="Header">
    <w:name w:val="header"/>
    <w:basedOn w:val="Normal"/>
    <w:link w:val="HeaderChar"/>
    <w:uiPriority w:val="99"/>
    <w:unhideWhenUsed/>
    <w:rsid w:val="00114F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4FE5"/>
    <w:rPr>
      <w:rFonts w:ascii="Arial" w:hAnsi="Arial"/>
      <w:sz w:val="24"/>
      <w:lang w:val="en-GB"/>
    </w:rPr>
  </w:style>
  <w:style w:type="paragraph" w:styleId="Footer">
    <w:name w:val="footer"/>
    <w:basedOn w:val="Normal"/>
    <w:link w:val="FooterChar"/>
    <w:uiPriority w:val="99"/>
    <w:unhideWhenUsed/>
    <w:rsid w:val="00114F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4FE5"/>
    <w:rPr>
      <w:rFonts w:ascii="Arial" w:hAnsi="Arial"/>
      <w:sz w:val="24"/>
      <w:lang w:val="en-GB"/>
    </w:rPr>
  </w:style>
  <w:style w:type="paragraph" w:styleId="NoSpacing">
    <w:name w:val="No Spacing"/>
    <w:link w:val="NoSpacingChar"/>
    <w:uiPriority w:val="1"/>
    <w:qFormat/>
    <w:rsid w:val="00AC3EFA"/>
    <w:pPr>
      <w:spacing w:after="0" w:line="240" w:lineRule="auto"/>
    </w:pPr>
  </w:style>
  <w:style w:type="character" w:customStyle="1" w:styleId="NoSpacingChar">
    <w:name w:val="No Spacing Char"/>
    <w:basedOn w:val="DefaultParagraphFont"/>
    <w:link w:val="NoSpacing"/>
    <w:uiPriority w:val="1"/>
    <w:rsid w:val="00114FE5"/>
  </w:style>
  <w:style w:type="paragraph" w:styleId="TOCHeading">
    <w:name w:val="TOC Heading"/>
    <w:basedOn w:val="Heading1"/>
    <w:next w:val="Normal"/>
    <w:uiPriority w:val="39"/>
    <w:unhideWhenUsed/>
    <w:qFormat/>
    <w:rsid w:val="00AC3EFA"/>
    <w:pPr>
      <w:outlineLvl w:val="9"/>
    </w:pPr>
  </w:style>
  <w:style w:type="paragraph" w:styleId="TOC1">
    <w:name w:val="toc 1"/>
    <w:basedOn w:val="Normal"/>
    <w:next w:val="Normal"/>
    <w:autoRedefine/>
    <w:uiPriority w:val="39"/>
    <w:unhideWhenUsed/>
    <w:rsid w:val="006603D1"/>
    <w:pPr>
      <w:spacing w:after="100"/>
    </w:pPr>
  </w:style>
  <w:style w:type="paragraph" w:styleId="TOC2">
    <w:name w:val="toc 2"/>
    <w:basedOn w:val="Normal"/>
    <w:next w:val="Normal"/>
    <w:autoRedefine/>
    <w:uiPriority w:val="39"/>
    <w:unhideWhenUsed/>
    <w:rsid w:val="006603D1"/>
    <w:pPr>
      <w:spacing w:after="100"/>
      <w:ind w:left="240"/>
    </w:pPr>
  </w:style>
  <w:style w:type="paragraph" w:styleId="TOC3">
    <w:name w:val="toc 3"/>
    <w:basedOn w:val="Normal"/>
    <w:next w:val="Normal"/>
    <w:autoRedefine/>
    <w:uiPriority w:val="39"/>
    <w:unhideWhenUsed/>
    <w:rsid w:val="006603D1"/>
    <w:pPr>
      <w:spacing w:after="100"/>
      <w:ind w:left="480"/>
    </w:pPr>
  </w:style>
  <w:style w:type="character" w:styleId="Hyperlink">
    <w:name w:val="Hyperlink"/>
    <w:basedOn w:val="DefaultParagraphFont"/>
    <w:uiPriority w:val="99"/>
    <w:unhideWhenUsed/>
    <w:rsid w:val="006603D1"/>
    <w:rPr>
      <w:color w:val="0563C1" w:themeColor="hyperlink"/>
      <w:u w:val="single"/>
    </w:rPr>
  </w:style>
  <w:style w:type="character" w:customStyle="1" w:styleId="Heading4Char">
    <w:name w:val="Heading 4 Char"/>
    <w:basedOn w:val="DefaultParagraphFont"/>
    <w:link w:val="Heading4"/>
    <w:uiPriority w:val="9"/>
    <w:semiHidden/>
    <w:rsid w:val="00AC3EFA"/>
    <w:rPr>
      <w:caps/>
      <w:color w:val="2E74B5" w:themeColor="accent1" w:themeShade="BF"/>
      <w:spacing w:val="10"/>
    </w:rPr>
  </w:style>
  <w:style w:type="character" w:customStyle="1" w:styleId="Heading5Char">
    <w:name w:val="Heading 5 Char"/>
    <w:basedOn w:val="DefaultParagraphFont"/>
    <w:link w:val="Heading5"/>
    <w:uiPriority w:val="9"/>
    <w:semiHidden/>
    <w:rsid w:val="00AC3EFA"/>
    <w:rPr>
      <w:caps/>
      <w:color w:val="2E74B5" w:themeColor="accent1" w:themeShade="BF"/>
      <w:spacing w:val="10"/>
    </w:rPr>
  </w:style>
  <w:style w:type="character" w:customStyle="1" w:styleId="Heading6Char">
    <w:name w:val="Heading 6 Char"/>
    <w:basedOn w:val="DefaultParagraphFont"/>
    <w:link w:val="Heading6"/>
    <w:uiPriority w:val="9"/>
    <w:semiHidden/>
    <w:rsid w:val="00AC3EFA"/>
    <w:rPr>
      <w:caps/>
      <w:color w:val="2E74B5" w:themeColor="accent1" w:themeShade="BF"/>
      <w:spacing w:val="10"/>
    </w:rPr>
  </w:style>
  <w:style w:type="character" w:customStyle="1" w:styleId="Heading7Char">
    <w:name w:val="Heading 7 Char"/>
    <w:basedOn w:val="DefaultParagraphFont"/>
    <w:link w:val="Heading7"/>
    <w:uiPriority w:val="9"/>
    <w:semiHidden/>
    <w:rsid w:val="00AC3EFA"/>
    <w:rPr>
      <w:caps/>
      <w:color w:val="2E74B5" w:themeColor="accent1" w:themeShade="BF"/>
      <w:spacing w:val="10"/>
    </w:rPr>
  </w:style>
  <w:style w:type="character" w:customStyle="1" w:styleId="Heading8Char">
    <w:name w:val="Heading 8 Char"/>
    <w:basedOn w:val="DefaultParagraphFont"/>
    <w:link w:val="Heading8"/>
    <w:uiPriority w:val="9"/>
    <w:semiHidden/>
    <w:rsid w:val="00AC3EFA"/>
    <w:rPr>
      <w:caps/>
      <w:spacing w:val="10"/>
      <w:sz w:val="18"/>
      <w:szCs w:val="18"/>
    </w:rPr>
  </w:style>
  <w:style w:type="character" w:customStyle="1" w:styleId="Heading9Char">
    <w:name w:val="Heading 9 Char"/>
    <w:basedOn w:val="DefaultParagraphFont"/>
    <w:link w:val="Heading9"/>
    <w:uiPriority w:val="9"/>
    <w:semiHidden/>
    <w:rsid w:val="00AC3EFA"/>
    <w:rPr>
      <w:i/>
      <w:iCs/>
      <w:caps/>
      <w:spacing w:val="10"/>
      <w:sz w:val="18"/>
      <w:szCs w:val="18"/>
    </w:rPr>
  </w:style>
  <w:style w:type="paragraph" w:styleId="Caption">
    <w:name w:val="caption"/>
    <w:basedOn w:val="Normal"/>
    <w:next w:val="Normal"/>
    <w:uiPriority w:val="35"/>
    <w:semiHidden/>
    <w:unhideWhenUsed/>
    <w:qFormat/>
    <w:rsid w:val="00AC3EFA"/>
    <w:rPr>
      <w:b/>
      <w:bCs/>
      <w:color w:val="2E74B5" w:themeColor="accent1" w:themeShade="BF"/>
      <w:sz w:val="16"/>
      <w:szCs w:val="16"/>
    </w:rPr>
  </w:style>
  <w:style w:type="paragraph" w:styleId="Title">
    <w:name w:val="Title"/>
    <w:basedOn w:val="Normal"/>
    <w:next w:val="Normal"/>
    <w:link w:val="TitleChar"/>
    <w:uiPriority w:val="10"/>
    <w:qFormat/>
    <w:rsid w:val="00AC3EFA"/>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AC3EFA"/>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AC3EF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C3EFA"/>
    <w:rPr>
      <w:caps/>
      <w:color w:val="595959" w:themeColor="text1" w:themeTint="A6"/>
      <w:spacing w:val="10"/>
      <w:sz w:val="21"/>
      <w:szCs w:val="21"/>
    </w:rPr>
  </w:style>
  <w:style w:type="character" w:styleId="Strong">
    <w:name w:val="Strong"/>
    <w:uiPriority w:val="22"/>
    <w:qFormat/>
    <w:rsid w:val="00AC3EFA"/>
    <w:rPr>
      <w:b/>
      <w:bCs/>
    </w:rPr>
  </w:style>
  <w:style w:type="character" w:styleId="Emphasis">
    <w:name w:val="Emphasis"/>
    <w:uiPriority w:val="20"/>
    <w:qFormat/>
    <w:rsid w:val="00AC3EFA"/>
    <w:rPr>
      <w:caps/>
      <w:color w:val="1F4D78" w:themeColor="accent1" w:themeShade="7F"/>
      <w:spacing w:val="5"/>
    </w:rPr>
  </w:style>
  <w:style w:type="paragraph" w:styleId="Quote">
    <w:name w:val="Quote"/>
    <w:basedOn w:val="Normal"/>
    <w:next w:val="Normal"/>
    <w:link w:val="QuoteChar"/>
    <w:uiPriority w:val="29"/>
    <w:qFormat/>
    <w:rsid w:val="00AC3EFA"/>
    <w:rPr>
      <w:i/>
      <w:iCs/>
      <w:szCs w:val="24"/>
    </w:rPr>
  </w:style>
  <w:style w:type="character" w:customStyle="1" w:styleId="QuoteChar">
    <w:name w:val="Quote Char"/>
    <w:basedOn w:val="DefaultParagraphFont"/>
    <w:link w:val="Quote"/>
    <w:uiPriority w:val="29"/>
    <w:rsid w:val="00AC3EFA"/>
    <w:rPr>
      <w:i/>
      <w:iCs/>
      <w:sz w:val="24"/>
      <w:szCs w:val="24"/>
    </w:rPr>
  </w:style>
  <w:style w:type="paragraph" w:styleId="IntenseQuote">
    <w:name w:val="Intense Quote"/>
    <w:basedOn w:val="Normal"/>
    <w:next w:val="Normal"/>
    <w:link w:val="IntenseQuoteChar"/>
    <w:uiPriority w:val="30"/>
    <w:qFormat/>
    <w:rsid w:val="00AC3EFA"/>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AC3EFA"/>
    <w:rPr>
      <w:color w:val="5B9BD5" w:themeColor="accent1"/>
      <w:sz w:val="24"/>
      <w:szCs w:val="24"/>
    </w:rPr>
  </w:style>
  <w:style w:type="character" w:styleId="SubtleEmphasis">
    <w:name w:val="Subtle Emphasis"/>
    <w:uiPriority w:val="19"/>
    <w:qFormat/>
    <w:rsid w:val="00AC3EFA"/>
    <w:rPr>
      <w:i/>
      <w:iCs/>
      <w:color w:val="1F4D78" w:themeColor="accent1" w:themeShade="7F"/>
    </w:rPr>
  </w:style>
  <w:style w:type="character" w:styleId="IntenseEmphasis">
    <w:name w:val="Intense Emphasis"/>
    <w:uiPriority w:val="21"/>
    <w:qFormat/>
    <w:rsid w:val="00AC3EFA"/>
    <w:rPr>
      <w:b/>
      <w:bCs/>
      <w:caps/>
      <w:color w:val="1F4D78" w:themeColor="accent1" w:themeShade="7F"/>
      <w:spacing w:val="10"/>
    </w:rPr>
  </w:style>
  <w:style w:type="character" w:styleId="SubtleReference">
    <w:name w:val="Subtle Reference"/>
    <w:uiPriority w:val="31"/>
    <w:qFormat/>
    <w:rsid w:val="00AC3EFA"/>
    <w:rPr>
      <w:b/>
      <w:bCs/>
      <w:color w:val="5B9BD5" w:themeColor="accent1"/>
    </w:rPr>
  </w:style>
  <w:style w:type="character" w:styleId="IntenseReference">
    <w:name w:val="Intense Reference"/>
    <w:uiPriority w:val="32"/>
    <w:qFormat/>
    <w:rsid w:val="00AC3EFA"/>
    <w:rPr>
      <w:b/>
      <w:bCs/>
      <w:i/>
      <w:iCs/>
      <w:caps/>
      <w:color w:val="5B9BD5" w:themeColor="accent1"/>
    </w:rPr>
  </w:style>
  <w:style w:type="character" w:styleId="BookTitle">
    <w:name w:val="Book Title"/>
    <w:uiPriority w:val="33"/>
    <w:qFormat/>
    <w:rsid w:val="00AC3EFA"/>
    <w:rPr>
      <w:b/>
      <w:bCs/>
      <w:i/>
      <w:iCs/>
      <w:spacing w:val="0"/>
    </w:rPr>
  </w:style>
  <w:style w:type="paragraph" w:styleId="Bibliography">
    <w:name w:val="Bibliography"/>
    <w:basedOn w:val="Normal"/>
    <w:next w:val="Normal"/>
    <w:uiPriority w:val="37"/>
    <w:unhideWhenUsed/>
    <w:rsid w:val="00B67589"/>
  </w:style>
  <w:style w:type="paragraph" w:styleId="ListParagraph">
    <w:name w:val="List Paragraph"/>
    <w:basedOn w:val="Normal"/>
    <w:uiPriority w:val="34"/>
    <w:qFormat/>
    <w:rsid w:val="004E72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270">
      <w:bodyDiv w:val="1"/>
      <w:marLeft w:val="0"/>
      <w:marRight w:val="0"/>
      <w:marTop w:val="0"/>
      <w:marBottom w:val="0"/>
      <w:divBdr>
        <w:top w:val="none" w:sz="0" w:space="0" w:color="auto"/>
        <w:left w:val="none" w:sz="0" w:space="0" w:color="auto"/>
        <w:bottom w:val="none" w:sz="0" w:space="0" w:color="auto"/>
        <w:right w:val="none" w:sz="0" w:space="0" w:color="auto"/>
      </w:divBdr>
    </w:div>
    <w:div w:id="50735213">
      <w:bodyDiv w:val="1"/>
      <w:marLeft w:val="0"/>
      <w:marRight w:val="0"/>
      <w:marTop w:val="0"/>
      <w:marBottom w:val="0"/>
      <w:divBdr>
        <w:top w:val="none" w:sz="0" w:space="0" w:color="auto"/>
        <w:left w:val="none" w:sz="0" w:space="0" w:color="auto"/>
        <w:bottom w:val="none" w:sz="0" w:space="0" w:color="auto"/>
        <w:right w:val="none" w:sz="0" w:space="0" w:color="auto"/>
      </w:divBdr>
    </w:div>
    <w:div w:id="102194568">
      <w:bodyDiv w:val="1"/>
      <w:marLeft w:val="0"/>
      <w:marRight w:val="0"/>
      <w:marTop w:val="0"/>
      <w:marBottom w:val="0"/>
      <w:divBdr>
        <w:top w:val="none" w:sz="0" w:space="0" w:color="auto"/>
        <w:left w:val="none" w:sz="0" w:space="0" w:color="auto"/>
        <w:bottom w:val="none" w:sz="0" w:space="0" w:color="auto"/>
        <w:right w:val="none" w:sz="0" w:space="0" w:color="auto"/>
      </w:divBdr>
    </w:div>
    <w:div w:id="139419248">
      <w:bodyDiv w:val="1"/>
      <w:marLeft w:val="0"/>
      <w:marRight w:val="0"/>
      <w:marTop w:val="0"/>
      <w:marBottom w:val="0"/>
      <w:divBdr>
        <w:top w:val="none" w:sz="0" w:space="0" w:color="auto"/>
        <w:left w:val="none" w:sz="0" w:space="0" w:color="auto"/>
        <w:bottom w:val="none" w:sz="0" w:space="0" w:color="auto"/>
        <w:right w:val="none" w:sz="0" w:space="0" w:color="auto"/>
      </w:divBdr>
    </w:div>
    <w:div w:id="216860500">
      <w:bodyDiv w:val="1"/>
      <w:marLeft w:val="0"/>
      <w:marRight w:val="0"/>
      <w:marTop w:val="0"/>
      <w:marBottom w:val="0"/>
      <w:divBdr>
        <w:top w:val="none" w:sz="0" w:space="0" w:color="auto"/>
        <w:left w:val="none" w:sz="0" w:space="0" w:color="auto"/>
        <w:bottom w:val="none" w:sz="0" w:space="0" w:color="auto"/>
        <w:right w:val="none" w:sz="0" w:space="0" w:color="auto"/>
      </w:divBdr>
    </w:div>
    <w:div w:id="320961092">
      <w:bodyDiv w:val="1"/>
      <w:marLeft w:val="0"/>
      <w:marRight w:val="0"/>
      <w:marTop w:val="0"/>
      <w:marBottom w:val="0"/>
      <w:divBdr>
        <w:top w:val="none" w:sz="0" w:space="0" w:color="auto"/>
        <w:left w:val="none" w:sz="0" w:space="0" w:color="auto"/>
        <w:bottom w:val="none" w:sz="0" w:space="0" w:color="auto"/>
        <w:right w:val="none" w:sz="0" w:space="0" w:color="auto"/>
      </w:divBdr>
    </w:div>
    <w:div w:id="346517777">
      <w:bodyDiv w:val="1"/>
      <w:marLeft w:val="0"/>
      <w:marRight w:val="0"/>
      <w:marTop w:val="0"/>
      <w:marBottom w:val="0"/>
      <w:divBdr>
        <w:top w:val="none" w:sz="0" w:space="0" w:color="auto"/>
        <w:left w:val="none" w:sz="0" w:space="0" w:color="auto"/>
        <w:bottom w:val="none" w:sz="0" w:space="0" w:color="auto"/>
        <w:right w:val="none" w:sz="0" w:space="0" w:color="auto"/>
      </w:divBdr>
    </w:div>
    <w:div w:id="381246575">
      <w:bodyDiv w:val="1"/>
      <w:marLeft w:val="0"/>
      <w:marRight w:val="0"/>
      <w:marTop w:val="0"/>
      <w:marBottom w:val="0"/>
      <w:divBdr>
        <w:top w:val="none" w:sz="0" w:space="0" w:color="auto"/>
        <w:left w:val="none" w:sz="0" w:space="0" w:color="auto"/>
        <w:bottom w:val="none" w:sz="0" w:space="0" w:color="auto"/>
        <w:right w:val="none" w:sz="0" w:space="0" w:color="auto"/>
      </w:divBdr>
    </w:div>
    <w:div w:id="439181726">
      <w:bodyDiv w:val="1"/>
      <w:marLeft w:val="0"/>
      <w:marRight w:val="0"/>
      <w:marTop w:val="0"/>
      <w:marBottom w:val="0"/>
      <w:divBdr>
        <w:top w:val="none" w:sz="0" w:space="0" w:color="auto"/>
        <w:left w:val="none" w:sz="0" w:space="0" w:color="auto"/>
        <w:bottom w:val="none" w:sz="0" w:space="0" w:color="auto"/>
        <w:right w:val="none" w:sz="0" w:space="0" w:color="auto"/>
      </w:divBdr>
    </w:div>
    <w:div w:id="446697617">
      <w:bodyDiv w:val="1"/>
      <w:marLeft w:val="0"/>
      <w:marRight w:val="0"/>
      <w:marTop w:val="0"/>
      <w:marBottom w:val="0"/>
      <w:divBdr>
        <w:top w:val="none" w:sz="0" w:space="0" w:color="auto"/>
        <w:left w:val="none" w:sz="0" w:space="0" w:color="auto"/>
        <w:bottom w:val="none" w:sz="0" w:space="0" w:color="auto"/>
        <w:right w:val="none" w:sz="0" w:space="0" w:color="auto"/>
      </w:divBdr>
    </w:div>
    <w:div w:id="486283175">
      <w:bodyDiv w:val="1"/>
      <w:marLeft w:val="0"/>
      <w:marRight w:val="0"/>
      <w:marTop w:val="0"/>
      <w:marBottom w:val="0"/>
      <w:divBdr>
        <w:top w:val="none" w:sz="0" w:space="0" w:color="auto"/>
        <w:left w:val="none" w:sz="0" w:space="0" w:color="auto"/>
        <w:bottom w:val="none" w:sz="0" w:space="0" w:color="auto"/>
        <w:right w:val="none" w:sz="0" w:space="0" w:color="auto"/>
      </w:divBdr>
    </w:div>
    <w:div w:id="494884356">
      <w:bodyDiv w:val="1"/>
      <w:marLeft w:val="0"/>
      <w:marRight w:val="0"/>
      <w:marTop w:val="0"/>
      <w:marBottom w:val="0"/>
      <w:divBdr>
        <w:top w:val="none" w:sz="0" w:space="0" w:color="auto"/>
        <w:left w:val="none" w:sz="0" w:space="0" w:color="auto"/>
        <w:bottom w:val="none" w:sz="0" w:space="0" w:color="auto"/>
        <w:right w:val="none" w:sz="0" w:space="0" w:color="auto"/>
      </w:divBdr>
    </w:div>
    <w:div w:id="545214799">
      <w:bodyDiv w:val="1"/>
      <w:marLeft w:val="0"/>
      <w:marRight w:val="0"/>
      <w:marTop w:val="0"/>
      <w:marBottom w:val="0"/>
      <w:divBdr>
        <w:top w:val="none" w:sz="0" w:space="0" w:color="auto"/>
        <w:left w:val="none" w:sz="0" w:space="0" w:color="auto"/>
        <w:bottom w:val="none" w:sz="0" w:space="0" w:color="auto"/>
        <w:right w:val="none" w:sz="0" w:space="0" w:color="auto"/>
      </w:divBdr>
    </w:div>
    <w:div w:id="546531500">
      <w:bodyDiv w:val="1"/>
      <w:marLeft w:val="0"/>
      <w:marRight w:val="0"/>
      <w:marTop w:val="0"/>
      <w:marBottom w:val="0"/>
      <w:divBdr>
        <w:top w:val="none" w:sz="0" w:space="0" w:color="auto"/>
        <w:left w:val="none" w:sz="0" w:space="0" w:color="auto"/>
        <w:bottom w:val="none" w:sz="0" w:space="0" w:color="auto"/>
        <w:right w:val="none" w:sz="0" w:space="0" w:color="auto"/>
      </w:divBdr>
    </w:div>
    <w:div w:id="768700756">
      <w:bodyDiv w:val="1"/>
      <w:marLeft w:val="0"/>
      <w:marRight w:val="0"/>
      <w:marTop w:val="0"/>
      <w:marBottom w:val="0"/>
      <w:divBdr>
        <w:top w:val="none" w:sz="0" w:space="0" w:color="auto"/>
        <w:left w:val="none" w:sz="0" w:space="0" w:color="auto"/>
        <w:bottom w:val="none" w:sz="0" w:space="0" w:color="auto"/>
        <w:right w:val="none" w:sz="0" w:space="0" w:color="auto"/>
      </w:divBdr>
    </w:div>
    <w:div w:id="798111867">
      <w:bodyDiv w:val="1"/>
      <w:marLeft w:val="0"/>
      <w:marRight w:val="0"/>
      <w:marTop w:val="0"/>
      <w:marBottom w:val="0"/>
      <w:divBdr>
        <w:top w:val="none" w:sz="0" w:space="0" w:color="auto"/>
        <w:left w:val="none" w:sz="0" w:space="0" w:color="auto"/>
        <w:bottom w:val="none" w:sz="0" w:space="0" w:color="auto"/>
        <w:right w:val="none" w:sz="0" w:space="0" w:color="auto"/>
      </w:divBdr>
    </w:div>
    <w:div w:id="855120581">
      <w:bodyDiv w:val="1"/>
      <w:marLeft w:val="0"/>
      <w:marRight w:val="0"/>
      <w:marTop w:val="0"/>
      <w:marBottom w:val="0"/>
      <w:divBdr>
        <w:top w:val="none" w:sz="0" w:space="0" w:color="auto"/>
        <w:left w:val="none" w:sz="0" w:space="0" w:color="auto"/>
        <w:bottom w:val="none" w:sz="0" w:space="0" w:color="auto"/>
        <w:right w:val="none" w:sz="0" w:space="0" w:color="auto"/>
      </w:divBdr>
    </w:div>
    <w:div w:id="880870482">
      <w:bodyDiv w:val="1"/>
      <w:marLeft w:val="0"/>
      <w:marRight w:val="0"/>
      <w:marTop w:val="0"/>
      <w:marBottom w:val="0"/>
      <w:divBdr>
        <w:top w:val="none" w:sz="0" w:space="0" w:color="auto"/>
        <w:left w:val="none" w:sz="0" w:space="0" w:color="auto"/>
        <w:bottom w:val="none" w:sz="0" w:space="0" w:color="auto"/>
        <w:right w:val="none" w:sz="0" w:space="0" w:color="auto"/>
      </w:divBdr>
    </w:div>
    <w:div w:id="905645251">
      <w:bodyDiv w:val="1"/>
      <w:marLeft w:val="0"/>
      <w:marRight w:val="0"/>
      <w:marTop w:val="0"/>
      <w:marBottom w:val="0"/>
      <w:divBdr>
        <w:top w:val="none" w:sz="0" w:space="0" w:color="auto"/>
        <w:left w:val="none" w:sz="0" w:space="0" w:color="auto"/>
        <w:bottom w:val="none" w:sz="0" w:space="0" w:color="auto"/>
        <w:right w:val="none" w:sz="0" w:space="0" w:color="auto"/>
      </w:divBdr>
    </w:div>
    <w:div w:id="948665076">
      <w:bodyDiv w:val="1"/>
      <w:marLeft w:val="0"/>
      <w:marRight w:val="0"/>
      <w:marTop w:val="0"/>
      <w:marBottom w:val="0"/>
      <w:divBdr>
        <w:top w:val="none" w:sz="0" w:space="0" w:color="auto"/>
        <w:left w:val="none" w:sz="0" w:space="0" w:color="auto"/>
        <w:bottom w:val="none" w:sz="0" w:space="0" w:color="auto"/>
        <w:right w:val="none" w:sz="0" w:space="0" w:color="auto"/>
      </w:divBdr>
    </w:div>
    <w:div w:id="986979083">
      <w:bodyDiv w:val="1"/>
      <w:marLeft w:val="0"/>
      <w:marRight w:val="0"/>
      <w:marTop w:val="0"/>
      <w:marBottom w:val="0"/>
      <w:divBdr>
        <w:top w:val="none" w:sz="0" w:space="0" w:color="auto"/>
        <w:left w:val="none" w:sz="0" w:space="0" w:color="auto"/>
        <w:bottom w:val="none" w:sz="0" w:space="0" w:color="auto"/>
        <w:right w:val="none" w:sz="0" w:space="0" w:color="auto"/>
      </w:divBdr>
    </w:div>
    <w:div w:id="1059860114">
      <w:bodyDiv w:val="1"/>
      <w:marLeft w:val="0"/>
      <w:marRight w:val="0"/>
      <w:marTop w:val="0"/>
      <w:marBottom w:val="0"/>
      <w:divBdr>
        <w:top w:val="none" w:sz="0" w:space="0" w:color="auto"/>
        <w:left w:val="none" w:sz="0" w:space="0" w:color="auto"/>
        <w:bottom w:val="none" w:sz="0" w:space="0" w:color="auto"/>
        <w:right w:val="none" w:sz="0" w:space="0" w:color="auto"/>
      </w:divBdr>
    </w:div>
    <w:div w:id="1182161487">
      <w:bodyDiv w:val="1"/>
      <w:marLeft w:val="0"/>
      <w:marRight w:val="0"/>
      <w:marTop w:val="0"/>
      <w:marBottom w:val="0"/>
      <w:divBdr>
        <w:top w:val="none" w:sz="0" w:space="0" w:color="auto"/>
        <w:left w:val="none" w:sz="0" w:space="0" w:color="auto"/>
        <w:bottom w:val="none" w:sz="0" w:space="0" w:color="auto"/>
        <w:right w:val="none" w:sz="0" w:space="0" w:color="auto"/>
      </w:divBdr>
    </w:div>
    <w:div w:id="1304239999">
      <w:bodyDiv w:val="1"/>
      <w:marLeft w:val="0"/>
      <w:marRight w:val="0"/>
      <w:marTop w:val="0"/>
      <w:marBottom w:val="0"/>
      <w:divBdr>
        <w:top w:val="none" w:sz="0" w:space="0" w:color="auto"/>
        <w:left w:val="none" w:sz="0" w:space="0" w:color="auto"/>
        <w:bottom w:val="none" w:sz="0" w:space="0" w:color="auto"/>
        <w:right w:val="none" w:sz="0" w:space="0" w:color="auto"/>
      </w:divBdr>
    </w:div>
    <w:div w:id="1583953542">
      <w:bodyDiv w:val="1"/>
      <w:marLeft w:val="0"/>
      <w:marRight w:val="0"/>
      <w:marTop w:val="0"/>
      <w:marBottom w:val="0"/>
      <w:divBdr>
        <w:top w:val="none" w:sz="0" w:space="0" w:color="auto"/>
        <w:left w:val="none" w:sz="0" w:space="0" w:color="auto"/>
        <w:bottom w:val="none" w:sz="0" w:space="0" w:color="auto"/>
        <w:right w:val="none" w:sz="0" w:space="0" w:color="auto"/>
      </w:divBdr>
    </w:div>
    <w:div w:id="1673947274">
      <w:bodyDiv w:val="1"/>
      <w:marLeft w:val="0"/>
      <w:marRight w:val="0"/>
      <w:marTop w:val="0"/>
      <w:marBottom w:val="0"/>
      <w:divBdr>
        <w:top w:val="none" w:sz="0" w:space="0" w:color="auto"/>
        <w:left w:val="none" w:sz="0" w:space="0" w:color="auto"/>
        <w:bottom w:val="none" w:sz="0" w:space="0" w:color="auto"/>
        <w:right w:val="none" w:sz="0" w:space="0" w:color="auto"/>
      </w:divBdr>
    </w:div>
    <w:div w:id="1676881038">
      <w:bodyDiv w:val="1"/>
      <w:marLeft w:val="0"/>
      <w:marRight w:val="0"/>
      <w:marTop w:val="0"/>
      <w:marBottom w:val="0"/>
      <w:divBdr>
        <w:top w:val="none" w:sz="0" w:space="0" w:color="auto"/>
        <w:left w:val="none" w:sz="0" w:space="0" w:color="auto"/>
        <w:bottom w:val="none" w:sz="0" w:space="0" w:color="auto"/>
        <w:right w:val="none" w:sz="0" w:space="0" w:color="auto"/>
      </w:divBdr>
    </w:div>
    <w:div w:id="1788499935">
      <w:bodyDiv w:val="1"/>
      <w:marLeft w:val="0"/>
      <w:marRight w:val="0"/>
      <w:marTop w:val="0"/>
      <w:marBottom w:val="0"/>
      <w:divBdr>
        <w:top w:val="none" w:sz="0" w:space="0" w:color="auto"/>
        <w:left w:val="none" w:sz="0" w:space="0" w:color="auto"/>
        <w:bottom w:val="none" w:sz="0" w:space="0" w:color="auto"/>
        <w:right w:val="none" w:sz="0" w:space="0" w:color="auto"/>
      </w:divBdr>
    </w:div>
    <w:div w:id="1818833937">
      <w:bodyDiv w:val="1"/>
      <w:marLeft w:val="0"/>
      <w:marRight w:val="0"/>
      <w:marTop w:val="0"/>
      <w:marBottom w:val="0"/>
      <w:divBdr>
        <w:top w:val="none" w:sz="0" w:space="0" w:color="auto"/>
        <w:left w:val="none" w:sz="0" w:space="0" w:color="auto"/>
        <w:bottom w:val="none" w:sz="0" w:space="0" w:color="auto"/>
        <w:right w:val="none" w:sz="0" w:space="0" w:color="auto"/>
      </w:divBdr>
    </w:div>
    <w:div w:id="1854807569">
      <w:bodyDiv w:val="1"/>
      <w:marLeft w:val="0"/>
      <w:marRight w:val="0"/>
      <w:marTop w:val="0"/>
      <w:marBottom w:val="0"/>
      <w:divBdr>
        <w:top w:val="none" w:sz="0" w:space="0" w:color="auto"/>
        <w:left w:val="none" w:sz="0" w:space="0" w:color="auto"/>
        <w:bottom w:val="none" w:sz="0" w:space="0" w:color="auto"/>
        <w:right w:val="none" w:sz="0" w:space="0" w:color="auto"/>
      </w:divBdr>
    </w:div>
    <w:div w:id="1863788443">
      <w:bodyDiv w:val="1"/>
      <w:marLeft w:val="0"/>
      <w:marRight w:val="0"/>
      <w:marTop w:val="0"/>
      <w:marBottom w:val="0"/>
      <w:divBdr>
        <w:top w:val="none" w:sz="0" w:space="0" w:color="auto"/>
        <w:left w:val="none" w:sz="0" w:space="0" w:color="auto"/>
        <w:bottom w:val="none" w:sz="0" w:space="0" w:color="auto"/>
        <w:right w:val="none" w:sz="0" w:space="0" w:color="auto"/>
      </w:divBdr>
    </w:div>
    <w:div w:id="1878817148">
      <w:bodyDiv w:val="1"/>
      <w:marLeft w:val="0"/>
      <w:marRight w:val="0"/>
      <w:marTop w:val="0"/>
      <w:marBottom w:val="0"/>
      <w:divBdr>
        <w:top w:val="none" w:sz="0" w:space="0" w:color="auto"/>
        <w:left w:val="none" w:sz="0" w:space="0" w:color="auto"/>
        <w:bottom w:val="none" w:sz="0" w:space="0" w:color="auto"/>
        <w:right w:val="none" w:sz="0" w:space="0" w:color="auto"/>
      </w:divBdr>
    </w:div>
    <w:div w:id="1917088474">
      <w:bodyDiv w:val="1"/>
      <w:marLeft w:val="0"/>
      <w:marRight w:val="0"/>
      <w:marTop w:val="0"/>
      <w:marBottom w:val="0"/>
      <w:divBdr>
        <w:top w:val="none" w:sz="0" w:space="0" w:color="auto"/>
        <w:left w:val="none" w:sz="0" w:space="0" w:color="auto"/>
        <w:bottom w:val="none" w:sz="0" w:space="0" w:color="auto"/>
        <w:right w:val="none" w:sz="0" w:space="0" w:color="auto"/>
      </w:divBdr>
    </w:div>
    <w:div w:id="1975327598">
      <w:bodyDiv w:val="1"/>
      <w:marLeft w:val="0"/>
      <w:marRight w:val="0"/>
      <w:marTop w:val="0"/>
      <w:marBottom w:val="0"/>
      <w:divBdr>
        <w:top w:val="none" w:sz="0" w:space="0" w:color="auto"/>
        <w:left w:val="none" w:sz="0" w:space="0" w:color="auto"/>
        <w:bottom w:val="none" w:sz="0" w:space="0" w:color="auto"/>
        <w:right w:val="none" w:sz="0" w:space="0" w:color="auto"/>
      </w:divBdr>
    </w:div>
    <w:div w:id="211840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Reu222</b:Tag>
    <b:SourceType>InternetSite</b:SourceType>
    <b:Guid>{27033CF3-C1A7-4171-8220-2E0AAB13EBC1}</b:Guid>
    <b:Author>
      <b:Author>
        <b:Corporate>Reuters</b:Corporate>
      </b:Author>
    </b:Author>
    <b:Title>Next PLC</b:Title>
    <b:Year>2022</b:Year>
    <b:YearAccessed>2022</b:YearAccessed>
    <b:MonthAccessed>December</b:MonthAccessed>
    <b:DayAccessed>27</b:DayAccessed>
    <b:URL>https://www.reuters.com/markets/companies/NXT.L/</b:URL>
    <b:RefOrder>1</b:RefOrder>
  </b:Source>
  <b:Source>
    <b:Tag>ACC226</b:Tag>
    <b:SourceType>InternetSite</b:SourceType>
    <b:Guid>{EBE2B399-AB80-469A-87E4-D262F152EDDD}</b:Guid>
    <b:Author>
      <b:Author>
        <b:Corporate>ACCA</b:Corporate>
      </b:Author>
    </b:Author>
    <b:Title>Dividend Theory</b:Title>
    <b:Year>2022</b:Year>
    <b:YearAccessed>2022</b:YearAccessed>
    <b:MonthAccessed>December</b:MonthAccessed>
    <b:DayAccessed>28</b:DayAccessed>
    <b:URL>https://www.accaglobal.com/uk/en/student/exam-support-resources/fundamentals-exams-study-resources/f9/technical-articles/dividend-theory.html</b:URL>
    <b:RefOrder>2</b:RefOrder>
  </b:Source>
  <b:Source>
    <b:Tag>Nex221</b:Tag>
    <b:SourceType>InternetSite</b:SourceType>
    <b:Guid>{66B9F5B3-C273-4C58-94D0-1D26AF3F8AD6}</b:Guid>
    <b:Author>
      <b:Author>
        <b:Corporate>Next Plc</b:Corporate>
      </b:Author>
    </b:Author>
    <b:Title>ANNUAL REPORT &amp; ACCOUNTS</b:Title>
    <b:Year>2022</b:Year>
    <b:YearAccessed>2022</b:YearAccessed>
    <b:MonthAccessed>December</b:MonthAccessed>
    <b:DayAccessed>28</b:DayAccessed>
    <b:URL>https://www.nextplc.co.uk/~/media/Files/N/Next-PLC-V2/documents/2022/annual-reports-and-account-jan-2022.pdf</b:URL>
    <b:RefOrder>3</b:RefOrder>
  </b:Source>
  <b:Source>
    <b:Tag>Mar22</b:Tag>
    <b:SourceType>InternetSite</b:SourceType>
    <b:Guid>{EC7148FC-E092-4E03-8661-B7E87BBCC97A}</b:Guid>
    <b:Author>
      <b:Author>
        <b:Corporate>Marks &amp; Spencer</b:Corporate>
      </b:Author>
    </b:Author>
    <b:Title>FINAICIAL STATEMENTS</b:Title>
    <b:Year>2022</b:Year>
    <b:YearAccessed>2022</b:YearAccessed>
    <b:MonthAccessed>December</b:MonthAccessed>
    <b:DayAccessed>5</b:DayAccessed>
    <b:URL>https://corporate.marksandspencer.com/investors/our-performance-updates/2022-annual-report</b:URL>
    <b:RefOrder>4</b:RefOrder>
  </b:Source>
  <b:Source>
    <b:Tag>Fam70</b:Tag>
    <b:SourceType>JournalArticle</b:SourceType>
    <b:Guid>{6E33A072-8A0D-477D-840E-EC50994EEBC0}</b:Guid>
    <b:Title>Efficient Capital Markets: A Review of Theory and Empirical Work</b:Title>
    <b:Year>1970</b:Year>
    <b:JournalName>The Journal of Finance</b:JournalName>
    <b:Pages>383-417</b:Pages>
    <b:Volume>25</b:Volume>
    <b:Issue>2</b:Issue>
    <b:Author>
      <b:Author>
        <b:NameList>
          <b:Person>
            <b:Last>Fama</b:Last>
            <b:Middle>F.</b:Middle>
            <b:First>Eugene</b:First>
          </b:Person>
        </b:NameList>
      </b:Author>
    </b:Author>
    <b:RefOrder>5</b:RefOrder>
  </b:Source>
  <b:Source>
    <b:Tag>Jon15</b:Tag>
    <b:SourceType>InternetSite</b:SourceType>
    <b:Guid>{90E97B56-C2DB-4251-B315-1BCDE49B1073}</b:Guid>
    <b:Title>Efficient Capital Markets</b:Title>
    <b:Year>2015</b:Year>
    <b:Author>
      <b:Author>
        <b:NameList>
          <b:Person>
            <b:Last>Jones</b:Last>
            <b:Middle>L.</b:Middle>
            <b:First>Steven</b:First>
          </b:Person>
          <b:Person>
            <b:Last>Netter</b:Last>
            <b:Middle>M. </b:Middle>
            <b:First>Jeffry</b:First>
          </b:Person>
        </b:NameList>
      </b:Author>
    </b:Author>
    <b:YearAccessed>2022</b:YearAccessed>
    <b:MonthAccessed>December</b:MonthAccessed>
    <b:DayAccessed>28</b:DayAccessed>
    <b:URL>https://www.econlib.org/library/Enc/EfficientCapitalMarkets.html</b:URL>
    <b:RefOrder>6</b:RefOrder>
  </b:Source>
  <b:Source>
    <b:Tag>ACC22</b:Tag>
    <b:SourceType>InternetSite</b:SourceType>
    <b:Guid>{D10019EC-EAAC-471F-9B15-A506A86CE5F4}</b:Guid>
    <b:Author>
      <b:Author>
        <b:Corporate>ACCA Global</b:Corporate>
      </b:Author>
    </b:Author>
    <b:Title>Advanced investment appraisal</b:Title>
    <b:Year>2022</b:Year>
    <b:YearAccessed>2022</b:YearAccessed>
    <b:MonthAccessed>April</b:MonthAccessed>
    <b:DayAccessed>25</b:DayAccessed>
    <b:URL>https://www.accaglobal.com/my/en/student/exam-support-resources/fundamentals-exams-study-resources/f9/technical-articles/advanced-investment-appraisal.html</b:URL>
    <b:RefOrder>7</b:RefOrder>
  </b:Source>
  <b:Source>
    <b:Tag>Har16</b:Tag>
    <b:SourceType>InternetSite</b:SourceType>
    <b:Guid>{4577198A-CCB4-4443-8221-43C335A5DE13}</b:Guid>
    <b:Author>
      <b:Author>
        <b:Corporate>Harvard Business Review</b:Corporate>
      </b:Author>
    </b:Author>
    <b:Title>A Refresher on Internal Rate of Return</b:Title>
    <b:Year>2016</b:Year>
    <b:YearAccessed>2022</b:YearAccessed>
    <b:MonthAccessed>April</b:MonthAccessed>
    <b:DayAccessed>25</b:DayAccessed>
    <b:URL>https://hbr.org/2016/03/a-refresher-on-internal-rate-of-return</b:URL>
    <b:RefOrder>12</b:RefOrder>
  </b:Source>
  <b:Source>
    <b:Tag>ACC221</b:Tag>
    <b:SourceType>InternetSite</b:SourceType>
    <b:Guid>{9FF5AD0B-0650-4D23-87AE-C7A072759A8D}</b:Guid>
    <b:Author>
      <b:Author>
        <b:Corporate>ACCA Global</b:Corporate>
      </b:Author>
    </b:Author>
    <b:Title>Payback and discounted payback</b:Title>
    <b:Year>2022</b:Year>
    <b:YearAccessed>2022</b:YearAccessed>
    <b:MonthAccessed>April</b:MonthAccessed>
    <b:DayAccessed>26</b:DayAccessed>
    <b:URL>https://www.accaglobal.com/lk/en/student/exam-support-resources/foundation-level-study-resources/ffm/ffm-technical-articles/discounted-payback.html</b:URL>
    <b:RefOrder>10</b:RefOrder>
  </b:Source>
  <b:Source>
    <b:Tag>Don02</b:Tag>
    <b:SourceType>Book</b:SourceType>
    <b:Guid>{0F36BA5B-9330-4080-96E7-E007EA187007}</b:Guid>
    <b:Title>Capital Budgeting: Financial Appraisal of Investment Projects</b:Title>
    <b:Year>2002</b:Year>
    <b:Author>
      <b:Author>
        <b:NameList>
          <b:Person>
            <b:Last>Dayananda</b:Last>
            <b:First>Don</b:First>
          </b:Person>
          <b:Person>
            <b:Last>Irons</b:Last>
            <b:First>Richard</b:First>
          </b:Person>
          <b:Person>
            <b:Last>Harrison</b:Last>
            <b:First>Steve</b:First>
          </b:Person>
          <b:Person>
            <b:Last>Herbohn</b:Last>
            <b:First>John</b:First>
          </b:Person>
          <b:Person>
            <b:Last>Rowland</b:Last>
            <b:First>Patrick</b:First>
          </b:Person>
        </b:NameList>
      </b:Author>
    </b:Author>
    <b:Publisher>Cambridge University Press</b:Publisher>
    <b:RefOrder>11</b:RefOrder>
  </b:Source>
  <b:Source>
    <b:Tag>Uwe07</b:Tag>
    <b:SourceType>Book</b:SourceType>
    <b:Guid>{D7F9E4A2-F712-4FD3-B2D0-8E12207CD956}</b:Guid>
    <b:Author>
      <b:Author>
        <b:NameList>
          <b:Person>
            <b:Last>Götze</b:Last>
            <b:First>Uwe</b:First>
          </b:Person>
          <b:Person>
            <b:Last>Northcott</b:Last>
            <b:First>Deryl</b:First>
          </b:Person>
          <b:Person>
            <b:Last>Schuster</b:Last>
            <b:First>Peter</b:First>
          </b:Person>
        </b:NameList>
      </b:Author>
    </b:Author>
    <b:Title>Investment Appraisal: Methods and Models</b:Title>
    <b:Year>2007</b:Year>
    <b:Publisher>Springer Science &amp; Business Media</b:Publisher>
    <b:RefOrder>9</b:RefOrder>
  </b:Source>
  <b:Source>
    <b:Tag>Mar101</b:Tag>
    <b:SourceType>Book</b:SourceType>
    <b:Guid>{F505A658-EDB6-4D24-BC68-D84AFE9A3076}</b:Guid>
    <b:Title>Fundamentals of Investment Appraisal: An Illustration based on a Case Study</b:Title>
    <b:Year>2010</b:Year>
    <b:Author>
      <b:Author>
        <b:NameList>
          <b:Person>
            <b:Last>Röhrich</b:Last>
            <b:First>Martina</b:First>
          </b:Person>
        </b:NameList>
      </b:Author>
    </b:Author>
    <b:Publisher>Oldenbourg Verlag</b:Publisher>
    <b:RefOrder>8</b:RefOrder>
  </b:Source>
</b:Sources>
</file>

<file path=customXml/itemProps1.xml><?xml version="1.0" encoding="utf-8"?>
<ds:datastoreItem xmlns:ds="http://schemas.openxmlformats.org/officeDocument/2006/customXml" ds:itemID="{4E22B774-2547-4D7B-B8F3-0A1AEB10D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1</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International Financial Management</vt:lpstr>
    </vt:vector>
  </TitlesOfParts>
  <Company/>
  <LinksUpToDate>false</LinksUpToDate>
  <CharactersWithSpaces>13582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BA Business Management LCBB6002-A1</dc:subject>
  <dc:creator>Hasnain Haider/IT/PEL/LHR</dc:creator>
  <cp:keywords/>
  <dc:description/>
  <cp:lastModifiedBy>Bilyana Todorova</cp:lastModifiedBy>
  <cp:revision>78</cp:revision>
  <dcterms:created xsi:type="dcterms:W3CDTF">2022-12-28T06:23:00Z</dcterms:created>
  <dcterms:modified xsi:type="dcterms:W3CDTF">2023-01-04T12:02:00Z</dcterms:modified>
</cp:coreProperties>
</file>