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93776134"/>
        <w:docPartObj>
          <w:docPartGallery w:val="Cover Pages"/>
          <w:docPartUnique/>
        </w:docPartObj>
      </w:sdtPr>
      <w:sdtEndPr>
        <w:rPr>
          <w:rFonts w:ascii="Times New Roman" w:eastAsiaTheme="minorHAnsi" w:hAnsi="Times New Roman"/>
          <w:color w:val="000000" w:themeColor="text1"/>
          <w:sz w:val="24"/>
        </w:rPr>
      </w:sdtEndPr>
      <w:sdtContent>
        <w:p w14:paraId="0168AE9C" w14:textId="6D8A47DD" w:rsidR="00DA1D0E" w:rsidRDefault="00DA1D0E">
          <w:pPr>
            <w:pStyle w:val="NoSpacing"/>
            <w:spacing w:before="1540" w:after="240"/>
            <w:jc w:val="center"/>
            <w:rPr>
              <w:color w:val="4472C4" w:themeColor="accent1"/>
            </w:rPr>
          </w:pPr>
        </w:p>
        <w:sdt>
          <w:sdtPr>
            <w:rPr>
              <w:rFonts w:ascii="Times New Roman" w:hAnsi="Times New Roman" w:cs="Times New Roman"/>
              <w:b/>
              <w:bCs/>
              <w:sz w:val="44"/>
              <w:szCs w:val="44"/>
            </w:rPr>
            <w:alias w:val="Title"/>
            <w:tag w:val=""/>
            <w:id w:val="1735040861"/>
            <w:placeholder>
              <w:docPart w:val="7331D42B046042309982B1B110A54FED"/>
            </w:placeholder>
            <w:dataBinding w:prefixMappings="xmlns:ns0='http://purl.org/dc/elements/1.1/' xmlns:ns1='http://schemas.openxmlformats.org/package/2006/metadata/core-properties' " w:xpath="/ns1:coreProperties[1]/ns0:title[1]" w:storeItemID="{6C3C8BC8-F283-45AE-878A-BAB7291924A1}"/>
            <w:text/>
          </w:sdtPr>
          <w:sdtContent>
            <w:p w14:paraId="27FF444E" w14:textId="4C77DE25" w:rsidR="00DA1D0E" w:rsidRPr="009B7360" w:rsidRDefault="009B7360">
              <w:pPr>
                <w:pStyle w:val="NoSpacing"/>
                <w:pBdr>
                  <w:top w:val="single" w:sz="6" w:space="6" w:color="4472C4" w:themeColor="accent1"/>
                  <w:bottom w:val="single" w:sz="6" w:space="6" w:color="4472C4" w:themeColor="accent1"/>
                </w:pBdr>
                <w:spacing w:after="240"/>
                <w:jc w:val="center"/>
                <w:rPr>
                  <w:rFonts w:ascii="Times New Roman" w:hAnsi="Times New Roman" w:cs="Times New Roman"/>
                  <w:b/>
                  <w:bCs/>
                  <w:sz w:val="44"/>
                  <w:szCs w:val="44"/>
                </w:rPr>
              </w:pPr>
              <w:r w:rsidRPr="009B7360">
                <w:rPr>
                  <w:rFonts w:ascii="Times New Roman" w:hAnsi="Times New Roman" w:cs="Times New Roman"/>
                  <w:b/>
                  <w:bCs/>
                  <w:sz w:val="44"/>
                  <w:szCs w:val="44"/>
                </w:rPr>
                <w:t>Planning and Delivering an International Event</w:t>
              </w:r>
            </w:p>
          </w:sdtContent>
        </w:sdt>
        <w:p w14:paraId="06EC2F92" w14:textId="674913B0" w:rsidR="00DA1D0E" w:rsidRDefault="00DA1D0E">
          <w:pPr>
            <w:pStyle w:val="NoSpacing"/>
            <w:jc w:val="center"/>
            <w:rPr>
              <w:color w:val="4472C4" w:themeColor="accent1"/>
              <w:sz w:val="28"/>
              <w:szCs w:val="28"/>
            </w:rPr>
          </w:pPr>
        </w:p>
        <w:p w14:paraId="4E1401F2" w14:textId="30B5BC9A" w:rsidR="009B7360" w:rsidRDefault="009B7360" w:rsidP="001F7E1D">
          <w:pPr>
            <w:spacing w:line="276" w:lineRule="auto"/>
            <w:jc w:val="center"/>
          </w:pPr>
          <w:r w:rsidRPr="009B7360">
            <w:t>MODULE TITLE: INTERNATIONAL MEETINGS MANAGEMENT BMIH6007</w:t>
          </w:r>
        </w:p>
        <w:p w14:paraId="1BD94C18" w14:textId="37DADF55" w:rsidR="009B7360" w:rsidRDefault="009B7360" w:rsidP="001F7E1D">
          <w:pPr>
            <w:spacing w:line="276" w:lineRule="auto"/>
            <w:jc w:val="center"/>
          </w:pPr>
          <w:r w:rsidRPr="009B7360">
            <w:t>NAME</w:t>
          </w:r>
          <w:r>
            <w:t xml:space="preserve">: </w:t>
          </w:r>
          <w:r w:rsidRPr="009B7360">
            <w:t>MOHAMMED BAB AL FAZAL</w:t>
          </w:r>
        </w:p>
        <w:p w14:paraId="51F05A2F" w14:textId="12BF92EE" w:rsidR="009B7360" w:rsidRPr="009B7360" w:rsidRDefault="009B7360" w:rsidP="001F7E1D">
          <w:pPr>
            <w:spacing w:line="276" w:lineRule="auto"/>
            <w:jc w:val="center"/>
          </w:pPr>
          <w:r w:rsidRPr="009B7360">
            <w:t>STUDENT NUMBER</w:t>
          </w:r>
          <w:r>
            <w:t xml:space="preserve">: </w:t>
          </w:r>
          <w:r w:rsidRPr="009B7360">
            <w:t>2118712</w:t>
          </w:r>
        </w:p>
        <w:p w14:paraId="7761D02A" w14:textId="2AF04B28" w:rsidR="009B7360" w:rsidRPr="009B7360" w:rsidRDefault="009B7360" w:rsidP="001F7E1D">
          <w:pPr>
            <w:spacing w:line="276" w:lineRule="auto"/>
            <w:jc w:val="center"/>
          </w:pPr>
          <w:r w:rsidRPr="009B7360">
            <w:t>LECTURER’S NAME</w:t>
          </w:r>
          <w:r>
            <w:t xml:space="preserve">: </w:t>
          </w:r>
          <w:r w:rsidRPr="009B7360">
            <w:t>KATHRYN FLYNN</w:t>
          </w:r>
        </w:p>
        <w:p w14:paraId="2E5414D2" w14:textId="41F80D73" w:rsidR="00DA1D0E" w:rsidRDefault="00DA1D0E">
          <w:pPr>
            <w:spacing w:line="259" w:lineRule="auto"/>
            <w:jc w:val="left"/>
            <w:rPr>
              <w:rFonts w:eastAsiaTheme="majorEastAsia" w:cstheme="majorBidi"/>
              <w:b/>
              <w:i/>
              <w:sz w:val="32"/>
              <w:szCs w:val="32"/>
              <w:u w:val="single"/>
            </w:rPr>
          </w:pPr>
          <w:r>
            <w:br w:type="page"/>
          </w:r>
        </w:p>
      </w:sdtContent>
    </w:sdt>
    <w:sdt>
      <w:sdtPr>
        <w:id w:val="-890952240"/>
        <w:docPartObj>
          <w:docPartGallery w:val="Table of Contents"/>
          <w:docPartUnique/>
        </w:docPartObj>
      </w:sdtPr>
      <w:sdtEndPr>
        <w:rPr>
          <w:rFonts w:ascii="Times New Roman" w:eastAsiaTheme="minorHAnsi" w:hAnsi="Times New Roman" w:cstheme="minorBidi"/>
          <w:b/>
          <w:bCs/>
          <w:noProof/>
          <w:color w:val="000000" w:themeColor="text1"/>
          <w:sz w:val="24"/>
          <w:szCs w:val="22"/>
        </w:rPr>
      </w:sdtEndPr>
      <w:sdtContent>
        <w:p w14:paraId="0073EDAE" w14:textId="57F1771C" w:rsidR="00DA1D0E" w:rsidRDefault="00DA1D0E">
          <w:pPr>
            <w:pStyle w:val="TOCHeading"/>
          </w:pPr>
          <w:r>
            <w:t>Table of Contents</w:t>
          </w:r>
        </w:p>
        <w:p w14:paraId="3DFC7ECF" w14:textId="54E7D5AC" w:rsidR="001E1922" w:rsidRDefault="00DA1D0E">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91324604" w:history="1">
            <w:r w:rsidR="001E1922" w:rsidRPr="00221F57">
              <w:rPr>
                <w:rStyle w:val="Hyperlink"/>
                <w:noProof/>
              </w:rPr>
              <w:t>Introduction</w:t>
            </w:r>
            <w:r w:rsidR="001E1922">
              <w:rPr>
                <w:noProof/>
                <w:webHidden/>
              </w:rPr>
              <w:tab/>
            </w:r>
            <w:r w:rsidR="001E1922">
              <w:rPr>
                <w:noProof/>
                <w:webHidden/>
              </w:rPr>
              <w:fldChar w:fldCharType="begin"/>
            </w:r>
            <w:r w:rsidR="001E1922">
              <w:rPr>
                <w:noProof/>
                <w:webHidden/>
              </w:rPr>
              <w:instrText xml:space="preserve"> PAGEREF _Toc191324604 \h </w:instrText>
            </w:r>
            <w:r w:rsidR="001E1922">
              <w:rPr>
                <w:noProof/>
                <w:webHidden/>
              </w:rPr>
            </w:r>
            <w:r w:rsidR="001E1922">
              <w:rPr>
                <w:noProof/>
                <w:webHidden/>
              </w:rPr>
              <w:fldChar w:fldCharType="separate"/>
            </w:r>
            <w:r w:rsidR="001E1922">
              <w:rPr>
                <w:noProof/>
                <w:webHidden/>
              </w:rPr>
              <w:t>1</w:t>
            </w:r>
            <w:r w:rsidR="001E1922">
              <w:rPr>
                <w:noProof/>
                <w:webHidden/>
              </w:rPr>
              <w:fldChar w:fldCharType="end"/>
            </w:r>
          </w:hyperlink>
        </w:p>
        <w:p w14:paraId="1A99AF9B" w14:textId="6BF5D901" w:rsidR="001E1922" w:rsidRDefault="001E1922">
          <w:pPr>
            <w:pStyle w:val="TOC1"/>
            <w:tabs>
              <w:tab w:val="right" w:leader="dot" w:pos="9350"/>
            </w:tabs>
            <w:rPr>
              <w:rFonts w:asciiTheme="minorHAnsi" w:eastAsiaTheme="minorEastAsia" w:hAnsiTheme="minorHAnsi"/>
              <w:noProof/>
              <w:color w:val="auto"/>
              <w:sz w:val="22"/>
            </w:rPr>
          </w:pPr>
          <w:hyperlink w:anchor="_Toc191324605" w:history="1">
            <w:r w:rsidRPr="00221F57">
              <w:rPr>
                <w:rStyle w:val="Hyperlink"/>
                <w:noProof/>
              </w:rPr>
              <w:t>Event Cycle</w:t>
            </w:r>
            <w:r>
              <w:rPr>
                <w:noProof/>
                <w:webHidden/>
              </w:rPr>
              <w:tab/>
            </w:r>
            <w:r>
              <w:rPr>
                <w:noProof/>
                <w:webHidden/>
              </w:rPr>
              <w:fldChar w:fldCharType="begin"/>
            </w:r>
            <w:r>
              <w:rPr>
                <w:noProof/>
                <w:webHidden/>
              </w:rPr>
              <w:instrText xml:space="preserve"> PAGEREF _Toc191324605 \h </w:instrText>
            </w:r>
            <w:r>
              <w:rPr>
                <w:noProof/>
                <w:webHidden/>
              </w:rPr>
            </w:r>
            <w:r>
              <w:rPr>
                <w:noProof/>
                <w:webHidden/>
              </w:rPr>
              <w:fldChar w:fldCharType="separate"/>
            </w:r>
            <w:r>
              <w:rPr>
                <w:noProof/>
                <w:webHidden/>
              </w:rPr>
              <w:t>1</w:t>
            </w:r>
            <w:r>
              <w:rPr>
                <w:noProof/>
                <w:webHidden/>
              </w:rPr>
              <w:fldChar w:fldCharType="end"/>
            </w:r>
          </w:hyperlink>
        </w:p>
        <w:p w14:paraId="14F29013" w14:textId="3571AF86" w:rsidR="001E1922" w:rsidRDefault="001E1922">
          <w:pPr>
            <w:pStyle w:val="TOC1"/>
            <w:tabs>
              <w:tab w:val="right" w:leader="dot" w:pos="9350"/>
            </w:tabs>
            <w:rPr>
              <w:rFonts w:asciiTheme="minorHAnsi" w:eastAsiaTheme="minorEastAsia" w:hAnsiTheme="minorHAnsi"/>
              <w:noProof/>
              <w:color w:val="auto"/>
              <w:sz w:val="22"/>
            </w:rPr>
          </w:pPr>
          <w:hyperlink w:anchor="_Toc191324606" w:history="1">
            <w:r w:rsidRPr="00221F57">
              <w:rPr>
                <w:rStyle w:val="Hyperlink"/>
                <w:noProof/>
              </w:rPr>
              <w:t>Event Concept – Full Itinerary</w:t>
            </w:r>
            <w:r>
              <w:rPr>
                <w:noProof/>
                <w:webHidden/>
              </w:rPr>
              <w:tab/>
            </w:r>
            <w:r>
              <w:rPr>
                <w:noProof/>
                <w:webHidden/>
              </w:rPr>
              <w:fldChar w:fldCharType="begin"/>
            </w:r>
            <w:r>
              <w:rPr>
                <w:noProof/>
                <w:webHidden/>
              </w:rPr>
              <w:instrText xml:space="preserve"> PAGEREF _Toc191324606 \h </w:instrText>
            </w:r>
            <w:r>
              <w:rPr>
                <w:noProof/>
                <w:webHidden/>
              </w:rPr>
            </w:r>
            <w:r>
              <w:rPr>
                <w:noProof/>
                <w:webHidden/>
              </w:rPr>
              <w:fldChar w:fldCharType="separate"/>
            </w:r>
            <w:r>
              <w:rPr>
                <w:noProof/>
                <w:webHidden/>
              </w:rPr>
              <w:t>2</w:t>
            </w:r>
            <w:r>
              <w:rPr>
                <w:noProof/>
                <w:webHidden/>
              </w:rPr>
              <w:fldChar w:fldCharType="end"/>
            </w:r>
          </w:hyperlink>
        </w:p>
        <w:p w14:paraId="388DD64F" w14:textId="2C4896F2" w:rsidR="001E1922" w:rsidRDefault="001E1922">
          <w:pPr>
            <w:pStyle w:val="TOC1"/>
            <w:tabs>
              <w:tab w:val="right" w:leader="dot" w:pos="9350"/>
            </w:tabs>
            <w:rPr>
              <w:rFonts w:asciiTheme="minorHAnsi" w:eastAsiaTheme="minorEastAsia" w:hAnsiTheme="minorHAnsi"/>
              <w:noProof/>
              <w:color w:val="auto"/>
              <w:sz w:val="22"/>
            </w:rPr>
          </w:pPr>
          <w:hyperlink w:anchor="_Toc191324607" w:history="1">
            <w:r w:rsidRPr="00221F57">
              <w:rPr>
                <w:rStyle w:val="Hyperlink"/>
                <w:noProof/>
              </w:rPr>
              <w:t>Aim and Objectives of the Meeting / Event</w:t>
            </w:r>
            <w:r>
              <w:rPr>
                <w:noProof/>
                <w:webHidden/>
              </w:rPr>
              <w:tab/>
            </w:r>
            <w:r>
              <w:rPr>
                <w:noProof/>
                <w:webHidden/>
              </w:rPr>
              <w:fldChar w:fldCharType="begin"/>
            </w:r>
            <w:r>
              <w:rPr>
                <w:noProof/>
                <w:webHidden/>
              </w:rPr>
              <w:instrText xml:space="preserve"> PAGEREF _Toc191324607 \h </w:instrText>
            </w:r>
            <w:r>
              <w:rPr>
                <w:noProof/>
                <w:webHidden/>
              </w:rPr>
            </w:r>
            <w:r>
              <w:rPr>
                <w:noProof/>
                <w:webHidden/>
              </w:rPr>
              <w:fldChar w:fldCharType="separate"/>
            </w:r>
            <w:r>
              <w:rPr>
                <w:noProof/>
                <w:webHidden/>
              </w:rPr>
              <w:t>4</w:t>
            </w:r>
            <w:r>
              <w:rPr>
                <w:noProof/>
                <w:webHidden/>
              </w:rPr>
              <w:fldChar w:fldCharType="end"/>
            </w:r>
          </w:hyperlink>
        </w:p>
        <w:p w14:paraId="34637163" w14:textId="5C7955B5" w:rsidR="001E1922" w:rsidRDefault="001E1922">
          <w:pPr>
            <w:pStyle w:val="TOC1"/>
            <w:tabs>
              <w:tab w:val="right" w:leader="dot" w:pos="9350"/>
            </w:tabs>
            <w:rPr>
              <w:rFonts w:asciiTheme="minorHAnsi" w:eastAsiaTheme="minorEastAsia" w:hAnsiTheme="minorHAnsi"/>
              <w:noProof/>
              <w:color w:val="auto"/>
              <w:sz w:val="22"/>
            </w:rPr>
          </w:pPr>
          <w:hyperlink w:anchor="_Toc191324608" w:history="1">
            <w:r w:rsidRPr="00221F57">
              <w:rPr>
                <w:rStyle w:val="Hyperlink"/>
                <w:noProof/>
              </w:rPr>
              <w:t>Event Management – Required Skills and Resources</w:t>
            </w:r>
            <w:r>
              <w:rPr>
                <w:noProof/>
                <w:webHidden/>
              </w:rPr>
              <w:tab/>
            </w:r>
            <w:r>
              <w:rPr>
                <w:noProof/>
                <w:webHidden/>
              </w:rPr>
              <w:fldChar w:fldCharType="begin"/>
            </w:r>
            <w:r>
              <w:rPr>
                <w:noProof/>
                <w:webHidden/>
              </w:rPr>
              <w:instrText xml:space="preserve"> PAGEREF _Toc191324608 \h </w:instrText>
            </w:r>
            <w:r>
              <w:rPr>
                <w:noProof/>
                <w:webHidden/>
              </w:rPr>
            </w:r>
            <w:r>
              <w:rPr>
                <w:noProof/>
                <w:webHidden/>
              </w:rPr>
              <w:fldChar w:fldCharType="separate"/>
            </w:r>
            <w:r>
              <w:rPr>
                <w:noProof/>
                <w:webHidden/>
              </w:rPr>
              <w:t>5</w:t>
            </w:r>
            <w:r>
              <w:rPr>
                <w:noProof/>
                <w:webHidden/>
              </w:rPr>
              <w:fldChar w:fldCharType="end"/>
            </w:r>
          </w:hyperlink>
        </w:p>
        <w:p w14:paraId="6601B0E3" w14:textId="28A81F2E" w:rsidR="001E1922" w:rsidRDefault="001E1922">
          <w:pPr>
            <w:pStyle w:val="TOC1"/>
            <w:tabs>
              <w:tab w:val="right" w:leader="dot" w:pos="9350"/>
            </w:tabs>
            <w:rPr>
              <w:rFonts w:asciiTheme="minorHAnsi" w:eastAsiaTheme="minorEastAsia" w:hAnsiTheme="minorHAnsi"/>
              <w:noProof/>
              <w:color w:val="auto"/>
              <w:sz w:val="22"/>
            </w:rPr>
          </w:pPr>
          <w:hyperlink w:anchor="_Toc191324609" w:history="1">
            <w:r w:rsidRPr="00221F57">
              <w:rPr>
                <w:rStyle w:val="Hyperlink"/>
                <w:noProof/>
              </w:rPr>
              <w:t>Event Budget</w:t>
            </w:r>
            <w:r>
              <w:rPr>
                <w:noProof/>
                <w:webHidden/>
              </w:rPr>
              <w:tab/>
            </w:r>
            <w:r>
              <w:rPr>
                <w:noProof/>
                <w:webHidden/>
              </w:rPr>
              <w:fldChar w:fldCharType="begin"/>
            </w:r>
            <w:r>
              <w:rPr>
                <w:noProof/>
                <w:webHidden/>
              </w:rPr>
              <w:instrText xml:space="preserve"> PAGEREF _Toc191324609 \h </w:instrText>
            </w:r>
            <w:r>
              <w:rPr>
                <w:noProof/>
                <w:webHidden/>
              </w:rPr>
            </w:r>
            <w:r>
              <w:rPr>
                <w:noProof/>
                <w:webHidden/>
              </w:rPr>
              <w:fldChar w:fldCharType="separate"/>
            </w:r>
            <w:r>
              <w:rPr>
                <w:noProof/>
                <w:webHidden/>
              </w:rPr>
              <w:t>6</w:t>
            </w:r>
            <w:r>
              <w:rPr>
                <w:noProof/>
                <w:webHidden/>
              </w:rPr>
              <w:fldChar w:fldCharType="end"/>
            </w:r>
          </w:hyperlink>
        </w:p>
        <w:p w14:paraId="69EBF111" w14:textId="235CCD4D" w:rsidR="001E1922" w:rsidRDefault="001E1922">
          <w:pPr>
            <w:pStyle w:val="TOC1"/>
            <w:tabs>
              <w:tab w:val="right" w:leader="dot" w:pos="9350"/>
            </w:tabs>
            <w:rPr>
              <w:rFonts w:asciiTheme="minorHAnsi" w:eastAsiaTheme="minorEastAsia" w:hAnsiTheme="minorHAnsi"/>
              <w:noProof/>
              <w:color w:val="auto"/>
              <w:sz w:val="22"/>
            </w:rPr>
          </w:pPr>
          <w:hyperlink w:anchor="_Toc191324610" w:history="1">
            <w:r w:rsidRPr="00221F57">
              <w:rPr>
                <w:rStyle w:val="Hyperlink"/>
                <w:noProof/>
              </w:rPr>
              <w:t>Industry Trends</w:t>
            </w:r>
            <w:r>
              <w:rPr>
                <w:noProof/>
                <w:webHidden/>
              </w:rPr>
              <w:tab/>
            </w:r>
            <w:r>
              <w:rPr>
                <w:noProof/>
                <w:webHidden/>
              </w:rPr>
              <w:fldChar w:fldCharType="begin"/>
            </w:r>
            <w:r>
              <w:rPr>
                <w:noProof/>
                <w:webHidden/>
              </w:rPr>
              <w:instrText xml:space="preserve"> PAGEREF _Toc191324610 \h </w:instrText>
            </w:r>
            <w:r>
              <w:rPr>
                <w:noProof/>
                <w:webHidden/>
              </w:rPr>
            </w:r>
            <w:r>
              <w:rPr>
                <w:noProof/>
                <w:webHidden/>
              </w:rPr>
              <w:fldChar w:fldCharType="separate"/>
            </w:r>
            <w:r>
              <w:rPr>
                <w:noProof/>
                <w:webHidden/>
              </w:rPr>
              <w:t>7</w:t>
            </w:r>
            <w:r>
              <w:rPr>
                <w:noProof/>
                <w:webHidden/>
              </w:rPr>
              <w:fldChar w:fldCharType="end"/>
            </w:r>
          </w:hyperlink>
        </w:p>
        <w:p w14:paraId="1B8C1C01" w14:textId="4E6F0DB8" w:rsidR="001E1922" w:rsidRDefault="001E1922">
          <w:pPr>
            <w:pStyle w:val="TOC1"/>
            <w:tabs>
              <w:tab w:val="right" w:leader="dot" w:pos="9350"/>
            </w:tabs>
            <w:rPr>
              <w:rFonts w:asciiTheme="minorHAnsi" w:eastAsiaTheme="minorEastAsia" w:hAnsiTheme="minorHAnsi"/>
              <w:noProof/>
              <w:color w:val="auto"/>
              <w:sz w:val="22"/>
            </w:rPr>
          </w:pPr>
          <w:hyperlink w:anchor="_Toc191324611" w:history="1">
            <w:r w:rsidRPr="00221F57">
              <w:rPr>
                <w:rStyle w:val="Hyperlink"/>
                <w:noProof/>
              </w:rPr>
              <w:t>Situational and Cultural Considerations</w:t>
            </w:r>
            <w:r>
              <w:rPr>
                <w:noProof/>
                <w:webHidden/>
              </w:rPr>
              <w:tab/>
            </w:r>
            <w:r>
              <w:rPr>
                <w:noProof/>
                <w:webHidden/>
              </w:rPr>
              <w:fldChar w:fldCharType="begin"/>
            </w:r>
            <w:r>
              <w:rPr>
                <w:noProof/>
                <w:webHidden/>
              </w:rPr>
              <w:instrText xml:space="preserve"> PAGEREF _Toc191324611 \h </w:instrText>
            </w:r>
            <w:r>
              <w:rPr>
                <w:noProof/>
                <w:webHidden/>
              </w:rPr>
            </w:r>
            <w:r>
              <w:rPr>
                <w:noProof/>
                <w:webHidden/>
              </w:rPr>
              <w:fldChar w:fldCharType="separate"/>
            </w:r>
            <w:r>
              <w:rPr>
                <w:noProof/>
                <w:webHidden/>
              </w:rPr>
              <w:t>8</w:t>
            </w:r>
            <w:r>
              <w:rPr>
                <w:noProof/>
                <w:webHidden/>
              </w:rPr>
              <w:fldChar w:fldCharType="end"/>
            </w:r>
          </w:hyperlink>
        </w:p>
        <w:p w14:paraId="691B0B62" w14:textId="756A30F9" w:rsidR="001E1922" w:rsidRDefault="001E1922">
          <w:pPr>
            <w:pStyle w:val="TOC1"/>
            <w:tabs>
              <w:tab w:val="right" w:leader="dot" w:pos="9350"/>
            </w:tabs>
            <w:rPr>
              <w:rFonts w:asciiTheme="minorHAnsi" w:eastAsiaTheme="minorEastAsia" w:hAnsiTheme="minorHAnsi"/>
              <w:noProof/>
              <w:color w:val="auto"/>
              <w:sz w:val="22"/>
            </w:rPr>
          </w:pPr>
          <w:hyperlink w:anchor="_Toc191324612" w:history="1">
            <w:r w:rsidRPr="00221F57">
              <w:rPr>
                <w:rStyle w:val="Hyperlink"/>
                <w:noProof/>
              </w:rPr>
              <w:t>References</w:t>
            </w:r>
            <w:r>
              <w:rPr>
                <w:noProof/>
                <w:webHidden/>
              </w:rPr>
              <w:tab/>
            </w:r>
            <w:r>
              <w:rPr>
                <w:noProof/>
                <w:webHidden/>
              </w:rPr>
              <w:fldChar w:fldCharType="begin"/>
            </w:r>
            <w:r>
              <w:rPr>
                <w:noProof/>
                <w:webHidden/>
              </w:rPr>
              <w:instrText xml:space="preserve"> PAGEREF _Toc191324612 \h </w:instrText>
            </w:r>
            <w:r>
              <w:rPr>
                <w:noProof/>
                <w:webHidden/>
              </w:rPr>
            </w:r>
            <w:r>
              <w:rPr>
                <w:noProof/>
                <w:webHidden/>
              </w:rPr>
              <w:fldChar w:fldCharType="separate"/>
            </w:r>
            <w:r>
              <w:rPr>
                <w:noProof/>
                <w:webHidden/>
              </w:rPr>
              <w:t>10</w:t>
            </w:r>
            <w:r>
              <w:rPr>
                <w:noProof/>
                <w:webHidden/>
              </w:rPr>
              <w:fldChar w:fldCharType="end"/>
            </w:r>
          </w:hyperlink>
        </w:p>
        <w:p w14:paraId="7A71E680" w14:textId="4D909135" w:rsidR="00DA1D0E" w:rsidRDefault="00DA1D0E">
          <w:r>
            <w:rPr>
              <w:b/>
              <w:bCs/>
              <w:noProof/>
            </w:rPr>
            <w:fldChar w:fldCharType="end"/>
          </w:r>
        </w:p>
      </w:sdtContent>
    </w:sdt>
    <w:p w14:paraId="6FBBA6F6" w14:textId="77777777" w:rsidR="00DA1D0E" w:rsidRDefault="00DA1D0E" w:rsidP="00A620DE">
      <w:pPr>
        <w:pStyle w:val="Heading1"/>
        <w:sectPr w:rsidR="00DA1D0E" w:rsidSect="00DA1D0E">
          <w:footerReference w:type="default" r:id="rId8"/>
          <w:footerReference w:type="first" r:id="rId9"/>
          <w:pgSz w:w="12240" w:h="15840"/>
          <w:pgMar w:top="1440" w:right="1440" w:bottom="1440" w:left="1440" w:header="720" w:footer="720" w:gutter="0"/>
          <w:pgNumType w:start="0"/>
          <w:cols w:space="720"/>
          <w:titlePg/>
          <w:docGrid w:linePitch="360"/>
        </w:sectPr>
      </w:pPr>
    </w:p>
    <w:p w14:paraId="4C9D2289" w14:textId="7658236D" w:rsidR="00200E6B" w:rsidRDefault="00A620DE" w:rsidP="00A620DE">
      <w:pPr>
        <w:pStyle w:val="Heading1"/>
      </w:pPr>
      <w:bookmarkStart w:id="0" w:name="_Toc191324604"/>
      <w:r>
        <w:lastRenderedPageBreak/>
        <w:t>Introduction</w:t>
      </w:r>
      <w:bookmarkEnd w:id="0"/>
    </w:p>
    <w:p w14:paraId="2553C2A0" w14:textId="6FC6E22A" w:rsidR="00A620DE" w:rsidRDefault="00F23E90" w:rsidP="00A620DE">
      <w:r>
        <w:t>‘</w:t>
      </w:r>
      <w:r w:rsidR="00A620DE">
        <w:t>Hospitality for All: Driving Equality, Diversity, and Inclusion</w:t>
      </w:r>
      <w:r>
        <w:t>’</w:t>
      </w:r>
      <w:r w:rsidR="00A620DE">
        <w:t xml:space="preserve"> is a pioneering conference aimed at making strides for the hospitality and the MICE industries to tackle the big challenges they face in creating diverse and inclusive workplaces. Diversity in leadership and authenticity in inclusion in ranks are some of the areas that show studies point to Continuing to falter (</w:t>
      </w:r>
      <w:r w:rsidRPr="000720C0">
        <w:t>Bardhan</w:t>
      </w:r>
      <w:r>
        <w:t xml:space="preserve"> </w:t>
      </w:r>
      <w:r w:rsidRPr="000720C0">
        <w:t>and Gower, 2022</w:t>
      </w:r>
      <w:r w:rsidR="00A620DE">
        <w:t>). Promoting the adoption of inclusive policies in line with the United Nations’ Sustainable Development Goals (SDGs) and supporting the UK’s current agenda for equitable workplaces, this event has been selected as a strategic response to these challenges</w:t>
      </w:r>
      <w:r>
        <w:t xml:space="preserve"> (</w:t>
      </w:r>
      <w:r w:rsidRPr="00AC4800">
        <w:t>Cao, 2023</w:t>
      </w:r>
      <w:r>
        <w:t>)</w:t>
      </w:r>
      <w:r w:rsidR="00A620DE">
        <w:t>.</w:t>
      </w:r>
    </w:p>
    <w:p w14:paraId="4F8EC92C" w14:textId="1EA2B19B" w:rsidR="00A620DE" w:rsidRDefault="00A620DE" w:rsidP="00A620DE">
      <w:r>
        <w:t>The conference features a vibrant combination of keynote speeches, panel discussions, and interactive workshops. Gain insight from DEI specialists, HR professionals, and industry leaders on how inclusive practices are</w:t>
      </w:r>
      <w:r w:rsidR="0060403A">
        <w:t xml:space="preserve"> no</w:t>
      </w:r>
      <w:r>
        <w:t>t just good for people the</w:t>
      </w:r>
      <w:r w:rsidR="005522C0">
        <w:t>y a</w:t>
      </w:r>
      <w:r>
        <w:t>re essential for business innovation and employee satisfaction. The event is designed to provide a platform for open dialogue and collaborative problem-solving that will help empower attendees with actionable strategies to push forward equality, diversity, and inclusion (EDI), initiatives within their organizations.</w:t>
      </w:r>
    </w:p>
    <w:p w14:paraId="7ADC3A76" w14:textId="77777777" w:rsidR="00650231" w:rsidRDefault="00650231" w:rsidP="00650231">
      <w:pPr>
        <w:rPr>
          <w:color w:val="auto"/>
        </w:rPr>
      </w:pPr>
      <w:r>
        <w:t>By selecting the Manchester</w:t>
      </w:r>
      <w:r>
        <w:t> </w:t>
      </w:r>
      <w:r>
        <w:t>Central Convention Complex, one of the UK’s most well-known events spaces, the city has found a fitting home, boasting first-class amenities and excellent accessibility. The layout of the multi-purpose space is ideal for large plenary sessions as well as smaller breakout workshops, making it a dynamic and engaging experience for both in-person and virtual participants. Excellent transport links and a considerate selection of accessibility features around the venue and in accommodation options underscore the commitment to inclusivity at the event. For all of the above reasons, ‘Hospitality for All’ is more than a conference; it is a movement in the drive for progressive change in the hospitality industry, setting standards in EDI programs to pro-actively call out, and in the process, raising the game for EDI initiatives across the board.</w:t>
      </w:r>
    </w:p>
    <w:p w14:paraId="6172573C" w14:textId="77777777" w:rsidR="0025485E" w:rsidRDefault="0025485E" w:rsidP="00A620DE"/>
    <w:p w14:paraId="4253DD2E" w14:textId="3963A587" w:rsidR="00A620DE" w:rsidRPr="00A620DE" w:rsidRDefault="0060403A" w:rsidP="0025485E">
      <w:pPr>
        <w:pStyle w:val="Heading1"/>
      </w:pPr>
      <w:bookmarkStart w:id="1" w:name="_Toc191324605"/>
      <w:r>
        <w:t>Event Cycle</w:t>
      </w:r>
      <w:bookmarkEnd w:id="1"/>
    </w:p>
    <w:p w14:paraId="2DC2491E" w14:textId="229579BD" w:rsidR="00650231" w:rsidRPr="00650231" w:rsidRDefault="00650231" w:rsidP="00650231">
      <w:r w:rsidRPr="00650231">
        <w:t xml:space="preserve">Implementation Model This framework provides a </w:t>
      </w:r>
      <w:r w:rsidR="00FC3D65">
        <w:t>structured model</w:t>
      </w:r>
      <w:r w:rsidRPr="00650231">
        <w:t xml:space="preserve"> to plan events systematically from conception through to post-event evaluation. The event life cycle consists of 5 stages conceptualization and design; planning and development; promotion and marketing; execution and </w:t>
      </w:r>
      <w:r w:rsidRPr="00650231">
        <w:lastRenderedPageBreak/>
        <w:t xml:space="preserve">delivery; </w:t>
      </w:r>
      <w:r w:rsidR="00FC3D65">
        <w:t xml:space="preserve">and </w:t>
      </w:r>
      <w:r w:rsidRPr="00650231">
        <w:t>post-event evaluation and follow-up</w:t>
      </w:r>
      <w:r w:rsidR="00E86E32">
        <w:t xml:space="preserve"> (</w:t>
      </w:r>
      <w:r w:rsidR="00E86E32" w:rsidRPr="00D75F52">
        <w:t>Anwar, 2024)</w:t>
      </w:r>
      <w:r w:rsidRPr="00650231">
        <w:t xml:space="preserve">. Proper planning at all stages, allows the planners to be prepared and reduces </w:t>
      </w:r>
      <w:r w:rsidR="00FC3D65">
        <w:t>risks at</w:t>
      </w:r>
      <w:r w:rsidRPr="00650231">
        <w:t xml:space="preserve"> every stage of the project.</w:t>
      </w:r>
    </w:p>
    <w:p w14:paraId="117BCAC9" w14:textId="11561668" w:rsidR="00650231" w:rsidRPr="00650231" w:rsidRDefault="00FC3D65" w:rsidP="00650231">
      <w:r w:rsidRPr="00FC3D65">
        <w:rPr>
          <w:b/>
          <w:bCs/>
        </w:rPr>
        <w:t>Conceptualization and design stage:</w:t>
      </w:r>
      <w:r>
        <w:t xml:space="preserve"> </w:t>
      </w:r>
      <w:r w:rsidR="00650231" w:rsidRPr="00650231">
        <w:t>“</w:t>
      </w:r>
      <w:r>
        <w:t>Hospitality for</w:t>
      </w:r>
      <w:r w:rsidR="00650231" w:rsidRPr="00650231">
        <w:t xml:space="preserve"> </w:t>
      </w:r>
      <w:r>
        <w:t>All</w:t>
      </w:r>
      <w:r w:rsidR="00650231" w:rsidRPr="00650231">
        <w:t xml:space="preserve">: </w:t>
      </w:r>
      <w:r>
        <w:t>Driving</w:t>
      </w:r>
      <w:r w:rsidR="00650231" w:rsidRPr="00650231">
        <w:t xml:space="preserve"> </w:t>
      </w:r>
      <w:r w:rsidRPr="00650231">
        <w:t xml:space="preserve">Equality, Diversity </w:t>
      </w:r>
      <w:r w:rsidR="00650231" w:rsidRPr="00650231">
        <w:t xml:space="preserve">and </w:t>
      </w:r>
      <w:r>
        <w:t>Inclusion</w:t>
      </w:r>
      <w:r w:rsidR="00650231" w:rsidRPr="00650231">
        <w:t xml:space="preserve">” has seen the event cycle meticulously executed. </w:t>
      </w:r>
      <w:r>
        <w:t>In this</w:t>
      </w:r>
      <w:r w:rsidR="00650231" w:rsidRPr="00650231">
        <w:t xml:space="preserve"> stage, one of the areas selected as a focus was Equality, Diversity</w:t>
      </w:r>
      <w:r>
        <w:t>,</w:t>
      </w:r>
      <w:r w:rsidR="00650231" w:rsidRPr="00650231">
        <w:t xml:space="preserve"> and Inclusion (EDI) in part due to the growing need for leadership diversity and workplace inclusion within the hospitality industry. This year, the event focused on uniting industry stakeholders to share their best practices and </w:t>
      </w:r>
      <w:r>
        <w:t>actionable strategies</w:t>
      </w:r>
      <w:r w:rsidR="00650231" w:rsidRPr="00650231">
        <w:t>.</w:t>
      </w:r>
    </w:p>
    <w:p w14:paraId="551F2E0D" w14:textId="6BBC00A9" w:rsidR="00650231" w:rsidRPr="00650231" w:rsidRDefault="00650231" w:rsidP="00650231">
      <w:r w:rsidRPr="00FC3D65">
        <w:rPr>
          <w:b/>
          <w:bCs/>
        </w:rPr>
        <w:t>Planning and development:</w:t>
      </w:r>
      <w:r w:rsidR="00FC3D65">
        <w:t xml:space="preserve"> </w:t>
      </w:r>
      <w:r w:rsidRPr="00650231">
        <w:t xml:space="preserve">Key logistical decisions were made. Perhaps one of the most recognizable features of </w:t>
      </w:r>
      <w:r w:rsidR="00FC3D65">
        <w:t>the Manchester Central</w:t>
      </w:r>
      <w:r w:rsidRPr="00650231">
        <w:t xml:space="preserve"> Convention Complex is its high-level facilities and accessibility. </w:t>
      </w:r>
      <w:r w:rsidR="00E86E32">
        <w:t>It is</w:t>
      </w:r>
      <w:r w:rsidRPr="00650231">
        <w:t xml:space="preserve"> needed to consider detailed planning such as budgeting, identifying staffing and resource requirements</w:t>
      </w:r>
      <w:r w:rsidR="00FC3D65">
        <w:t>,</w:t>
      </w:r>
      <w:r w:rsidRPr="00650231">
        <w:t xml:space="preserve"> and scheduling to ensure a seamless hybrid </w:t>
      </w:r>
      <w:r w:rsidR="00FC3D65">
        <w:t>experience for</w:t>
      </w:r>
      <w:r w:rsidRPr="00650231">
        <w:t xml:space="preserve"> both the onsite audience and the virtual audience.</w:t>
      </w:r>
    </w:p>
    <w:p w14:paraId="6F41D445" w14:textId="33130C2A" w:rsidR="00FC3D65" w:rsidRDefault="00650231" w:rsidP="00650231">
      <w:r w:rsidRPr="00FC3D65">
        <w:rPr>
          <w:b/>
          <w:bCs/>
        </w:rPr>
        <w:t>Promotion and Marketing</w:t>
      </w:r>
      <w:r w:rsidR="00FC3D65">
        <w:t>: This stage</w:t>
      </w:r>
      <w:r w:rsidRPr="00650231">
        <w:t xml:space="preserve"> connects with the right audience through social media campaigns, informative e-mails targeted to the right people</w:t>
      </w:r>
      <w:r w:rsidR="00FC3D65">
        <w:t>,</w:t>
      </w:r>
      <w:r w:rsidRPr="00650231">
        <w:t xml:space="preserve"> and partnerships with </w:t>
      </w:r>
      <w:r w:rsidR="00FC3D65">
        <w:t>the hospitality</w:t>
      </w:r>
      <w:r w:rsidRPr="00650231">
        <w:t xml:space="preserve"> and MICE networks. </w:t>
      </w:r>
    </w:p>
    <w:p w14:paraId="283688EF" w14:textId="669E2A64" w:rsidR="00650231" w:rsidRPr="00650231" w:rsidRDefault="00650231" w:rsidP="00650231">
      <w:r w:rsidRPr="00FC3D65">
        <w:rPr>
          <w:b/>
          <w:bCs/>
        </w:rPr>
        <w:t>Execution and Delivery</w:t>
      </w:r>
      <w:r w:rsidRPr="00650231">
        <w:t>: At this stage</w:t>
      </w:r>
      <w:r w:rsidR="00FC3D65">
        <w:t>,</w:t>
      </w:r>
      <w:r w:rsidRPr="00650231">
        <w:t xml:space="preserve"> a dedicated team will have the responsibility of managing and overseeing the technical setups, </w:t>
      </w:r>
      <w:r w:rsidR="00FC3D65">
        <w:t>coordinating</w:t>
      </w:r>
      <w:r w:rsidRPr="00650231">
        <w:t xml:space="preserve"> with the speakers</w:t>
      </w:r>
      <w:r w:rsidR="00FC3D65">
        <w:t>,</w:t>
      </w:r>
      <w:r w:rsidRPr="00650231">
        <w:t xml:space="preserve"> and if any ground </w:t>
      </w:r>
      <w:r w:rsidR="00FC3D65">
        <w:t>operations</w:t>
      </w:r>
      <w:r w:rsidRPr="00650231">
        <w:t xml:space="preserve"> like guest receiving, monitoring the sessions, </w:t>
      </w:r>
      <w:r w:rsidR="00FC3D65">
        <w:t>driving</w:t>
      </w:r>
      <w:r w:rsidRPr="00650231">
        <w:t xml:space="preserve"> audience engagement</w:t>
      </w:r>
      <w:r w:rsidR="00FC3D65">
        <w:t>,</w:t>
      </w:r>
      <w:r w:rsidRPr="00650231">
        <w:t xml:space="preserve"> etc.</w:t>
      </w:r>
    </w:p>
    <w:p w14:paraId="4F2FF4FE" w14:textId="3ACB047B" w:rsidR="00650231" w:rsidRPr="00650231" w:rsidRDefault="00FC3D65" w:rsidP="00650231">
      <w:r w:rsidRPr="00E86E32">
        <w:rPr>
          <w:b/>
          <w:bCs/>
        </w:rPr>
        <w:t>P</w:t>
      </w:r>
      <w:r w:rsidR="00650231" w:rsidRPr="00E86E32">
        <w:rPr>
          <w:b/>
          <w:bCs/>
        </w:rPr>
        <w:t>ost-event Evaluation and Follow-up</w:t>
      </w:r>
      <w:r w:rsidRPr="00E86E32">
        <w:rPr>
          <w:b/>
          <w:bCs/>
        </w:rPr>
        <w:t>:</w:t>
      </w:r>
      <w:r>
        <w:t xml:space="preserve"> In this Stage</w:t>
      </w:r>
      <w:r w:rsidR="00650231" w:rsidRPr="00650231">
        <w:t xml:space="preserve"> attendee feedback &amp;</w:t>
      </w:r>
      <w:r w:rsidR="00650231" w:rsidRPr="00650231">
        <w:t> </w:t>
      </w:r>
      <w:r w:rsidR="00650231" w:rsidRPr="00650231">
        <w:t xml:space="preserve">performance data will be gathered to discover successes and opportunities for improvement. This cyclical process enables the event itself to be executed as effectively as possible, as well as sets the foundation for further development around EDI initiatives across </w:t>
      </w:r>
      <w:r>
        <w:t>the industry</w:t>
      </w:r>
      <w:r w:rsidR="00650231" w:rsidRPr="00650231">
        <w:t>.</w:t>
      </w:r>
    </w:p>
    <w:p w14:paraId="3287E596" w14:textId="20F09044" w:rsidR="00A620DE" w:rsidRDefault="00A620DE"/>
    <w:p w14:paraId="32942247" w14:textId="77777777" w:rsidR="00A620DE" w:rsidRPr="00A620DE" w:rsidRDefault="00A620DE" w:rsidP="0025485E">
      <w:pPr>
        <w:pStyle w:val="Heading1"/>
      </w:pPr>
      <w:bookmarkStart w:id="2" w:name="_Toc191324606"/>
      <w:r w:rsidRPr="00A620DE">
        <w:t>Event Concept – Full Itinerary</w:t>
      </w:r>
      <w:bookmarkEnd w:id="2"/>
    </w:p>
    <w:p w14:paraId="76FBDF7C" w14:textId="03FA6DA6" w:rsidR="00650231" w:rsidRPr="00650231" w:rsidRDefault="00650231" w:rsidP="00650231">
      <w:r w:rsidRPr="00650231">
        <w:t>Delegates on “Hospitality for All: Driving Equality, Diversity and Inclusion” will be immersed in a day of active and interactive format designed to both inform and engage,</w:t>
      </w:r>
      <w:r>
        <w:t xml:space="preserve"> </w:t>
      </w:r>
      <w:r w:rsidRPr="00650231">
        <w:t>inspire toward real action.</w:t>
      </w:r>
    </w:p>
    <w:tbl>
      <w:tblPr>
        <w:tblStyle w:val="TableGrid"/>
        <w:tblW w:w="0" w:type="auto"/>
        <w:tblLook w:val="04A0" w:firstRow="1" w:lastRow="0" w:firstColumn="1" w:lastColumn="0" w:noHBand="0" w:noVBand="1"/>
      </w:tblPr>
      <w:tblGrid>
        <w:gridCol w:w="1525"/>
        <w:gridCol w:w="7825"/>
      </w:tblGrid>
      <w:tr w:rsidR="00EF3EDA" w14:paraId="6DB7F441" w14:textId="77777777" w:rsidTr="00EF3EDA">
        <w:tc>
          <w:tcPr>
            <w:tcW w:w="9350" w:type="dxa"/>
            <w:gridSpan w:val="2"/>
            <w:shd w:val="clear" w:color="auto" w:fill="D9E2F3" w:themeFill="accent1" w:themeFillTint="33"/>
          </w:tcPr>
          <w:p w14:paraId="50371F48" w14:textId="234CD8CC" w:rsidR="00EF3EDA" w:rsidRPr="00EF3EDA" w:rsidRDefault="00EF3EDA" w:rsidP="00EF3EDA">
            <w:pPr>
              <w:jc w:val="center"/>
              <w:rPr>
                <w:b/>
                <w:bCs/>
              </w:rPr>
            </w:pPr>
            <w:r w:rsidRPr="00EF3EDA">
              <w:rPr>
                <w:b/>
                <w:bCs/>
              </w:rPr>
              <w:lastRenderedPageBreak/>
              <w:t>Session 1</w:t>
            </w:r>
          </w:p>
        </w:tc>
      </w:tr>
      <w:tr w:rsidR="00EF3EDA" w14:paraId="24ADFCA3" w14:textId="77777777" w:rsidTr="00EF3EDA">
        <w:tc>
          <w:tcPr>
            <w:tcW w:w="1525" w:type="dxa"/>
          </w:tcPr>
          <w:p w14:paraId="5C9BE949" w14:textId="024566E8" w:rsidR="00EF3EDA" w:rsidRDefault="00EF3EDA" w:rsidP="0025485E">
            <w:r w:rsidRPr="0025485E">
              <w:t>08:30</w:t>
            </w:r>
          </w:p>
        </w:tc>
        <w:tc>
          <w:tcPr>
            <w:tcW w:w="7825" w:type="dxa"/>
          </w:tcPr>
          <w:p w14:paraId="64517979" w14:textId="1AEC0E9F" w:rsidR="00EF3EDA" w:rsidRDefault="00650231" w:rsidP="0025485E">
            <w:r w:rsidRPr="00650231">
              <w:t xml:space="preserve">The day begins with registration and welcome coffee both in person </w:t>
            </w:r>
            <w:r>
              <w:t>and online</w:t>
            </w:r>
            <w:r w:rsidRPr="00650231">
              <w:t>, providing networking opportunities for in-person ones and a separate online lobby for their counterparts.</w:t>
            </w:r>
          </w:p>
        </w:tc>
      </w:tr>
      <w:tr w:rsidR="00EF3EDA" w14:paraId="02EFCFA0" w14:textId="77777777" w:rsidTr="00EF3EDA">
        <w:tc>
          <w:tcPr>
            <w:tcW w:w="1525" w:type="dxa"/>
          </w:tcPr>
          <w:p w14:paraId="41C1BF59" w14:textId="7DA8B93F" w:rsidR="00EF3EDA" w:rsidRDefault="00EF3EDA" w:rsidP="0025485E">
            <w:r w:rsidRPr="0025485E">
              <w:t>09:00</w:t>
            </w:r>
          </w:p>
        </w:tc>
        <w:tc>
          <w:tcPr>
            <w:tcW w:w="7825" w:type="dxa"/>
          </w:tcPr>
          <w:p w14:paraId="40D693C5" w14:textId="00E273F8" w:rsidR="00EF3EDA" w:rsidRDefault="00650231" w:rsidP="0025485E">
            <w:r w:rsidRPr="00650231">
              <w:t xml:space="preserve">Opening session with the </w:t>
            </w:r>
            <w:r>
              <w:t>event</w:t>
            </w:r>
            <w:r w:rsidRPr="00650231">
              <w:t xml:space="preserve">, </w:t>
            </w:r>
            <w:r>
              <w:t xml:space="preserve">welcoming </w:t>
            </w:r>
            <w:r w:rsidRPr="00650231">
              <w:t>delegates to the day</w:t>
            </w:r>
            <w:r w:rsidR="000B7E4C">
              <w:t>,</w:t>
            </w:r>
            <w:r w:rsidRPr="00650231">
              <w:t xml:space="preserve"> and explains why EDI matters to the hospitality sector</w:t>
            </w:r>
          </w:p>
        </w:tc>
      </w:tr>
      <w:tr w:rsidR="00EF3EDA" w14:paraId="353FFB93" w14:textId="77777777" w:rsidTr="00EF3EDA">
        <w:tc>
          <w:tcPr>
            <w:tcW w:w="1525" w:type="dxa"/>
          </w:tcPr>
          <w:p w14:paraId="44FCE58C" w14:textId="319B1D0F" w:rsidR="00EF3EDA" w:rsidRDefault="00EF3EDA" w:rsidP="0025485E">
            <w:r w:rsidRPr="0025485E">
              <w:t>09:15</w:t>
            </w:r>
          </w:p>
        </w:tc>
        <w:tc>
          <w:tcPr>
            <w:tcW w:w="7825" w:type="dxa"/>
          </w:tcPr>
          <w:p w14:paraId="34FEFD16" w14:textId="0C2E7E14" w:rsidR="00EF3EDA" w:rsidRDefault="00EF3EDA" w:rsidP="0025485E">
            <w:r w:rsidRPr="0025485E">
              <w:t xml:space="preserve">The event opens with a keynote address from a leading DEI expert to highlight industry challenges and </w:t>
            </w:r>
            <w:r>
              <w:t>growth opportunities</w:t>
            </w:r>
            <w:r w:rsidRPr="0025485E">
              <w:t>.</w:t>
            </w:r>
          </w:p>
        </w:tc>
      </w:tr>
      <w:tr w:rsidR="00EF3EDA" w14:paraId="51F669A6" w14:textId="77777777" w:rsidTr="00EF3EDA">
        <w:tc>
          <w:tcPr>
            <w:tcW w:w="1525" w:type="dxa"/>
          </w:tcPr>
          <w:p w14:paraId="72A31449" w14:textId="59E2ECC8" w:rsidR="00EF3EDA" w:rsidRDefault="00EF3EDA" w:rsidP="0025485E">
            <w:r w:rsidRPr="0025485E">
              <w:t xml:space="preserve">10:00 </w:t>
            </w:r>
          </w:p>
        </w:tc>
        <w:tc>
          <w:tcPr>
            <w:tcW w:w="7825" w:type="dxa"/>
          </w:tcPr>
          <w:p w14:paraId="754E2535" w14:textId="56D299B4" w:rsidR="00EF3EDA" w:rsidRDefault="00EF3EDA" w:rsidP="0025485E">
            <w:r w:rsidRPr="0025485E">
              <w:t xml:space="preserve">Interactive panel discussion with such industry leaders, HR professionals, </w:t>
            </w:r>
            <w:r>
              <w:t>and policymakers</w:t>
            </w:r>
            <w:r w:rsidRPr="0025485E">
              <w:t>, sharing their diverse perspectives on implementing inclusive practices</w:t>
            </w:r>
            <w:r>
              <w:t xml:space="preserve">. </w:t>
            </w:r>
          </w:p>
        </w:tc>
      </w:tr>
      <w:tr w:rsidR="00EF3EDA" w14:paraId="3A3C0D64" w14:textId="77777777" w:rsidTr="00EF3EDA">
        <w:tc>
          <w:tcPr>
            <w:tcW w:w="1525" w:type="dxa"/>
          </w:tcPr>
          <w:p w14:paraId="753FE7D5" w14:textId="330C2FD1" w:rsidR="00EF3EDA" w:rsidRDefault="00EF3EDA" w:rsidP="0025485E">
            <w:r>
              <w:t xml:space="preserve">10:45 </w:t>
            </w:r>
          </w:p>
        </w:tc>
        <w:tc>
          <w:tcPr>
            <w:tcW w:w="7825" w:type="dxa"/>
          </w:tcPr>
          <w:p w14:paraId="2FADD11D" w14:textId="0EDB7361" w:rsidR="00EF3EDA" w:rsidRDefault="00EF3EDA" w:rsidP="00EF3EDA">
            <w:pPr>
              <w:spacing w:after="160"/>
            </w:pPr>
            <w:r w:rsidRPr="0025485E">
              <w:t xml:space="preserve">A short break </w:t>
            </w:r>
            <w:r>
              <w:t>to give</w:t>
            </w:r>
            <w:r w:rsidRPr="0025485E">
              <w:t xml:space="preserve"> participants time to communicate with colleagues and get ready for the breakout sessions.</w:t>
            </w:r>
          </w:p>
        </w:tc>
      </w:tr>
      <w:tr w:rsidR="00EF3EDA" w14:paraId="710BD821" w14:textId="77777777" w:rsidTr="00EF3EDA">
        <w:tc>
          <w:tcPr>
            <w:tcW w:w="1525" w:type="dxa"/>
          </w:tcPr>
          <w:p w14:paraId="473829CE" w14:textId="63665AAE" w:rsidR="00EF3EDA" w:rsidRDefault="00EF3EDA" w:rsidP="0025485E">
            <w:r w:rsidRPr="0025485E">
              <w:t xml:space="preserve">11:00 </w:t>
            </w:r>
            <w:r>
              <w:t>-</w:t>
            </w:r>
            <w:r w:rsidRPr="0025485E">
              <w:t xml:space="preserve"> 12:30 </w:t>
            </w:r>
          </w:p>
        </w:tc>
        <w:tc>
          <w:tcPr>
            <w:tcW w:w="7825" w:type="dxa"/>
          </w:tcPr>
          <w:p w14:paraId="50A8A697" w14:textId="7344B823" w:rsidR="00EF3EDA" w:rsidRPr="0025485E" w:rsidRDefault="00650231" w:rsidP="00EF3EDA">
            <w:r w:rsidRPr="00650231">
              <w:t xml:space="preserve">Delegates choose from a menu of thematic </w:t>
            </w:r>
            <w:r>
              <w:t>parallel breakout</w:t>
            </w:r>
            <w:r w:rsidRPr="00650231">
              <w:t xml:space="preserve"> sessions maybe a DEI update, a case study of what works with regards to inclusivity, or actionable tools to implement right now in the workplace.</w:t>
            </w:r>
          </w:p>
        </w:tc>
      </w:tr>
      <w:tr w:rsidR="00EF3EDA" w14:paraId="2BBBD02E" w14:textId="77777777" w:rsidTr="00EF3EDA">
        <w:tc>
          <w:tcPr>
            <w:tcW w:w="1525" w:type="dxa"/>
          </w:tcPr>
          <w:p w14:paraId="00FFB17A" w14:textId="2ED71A83" w:rsidR="00EF3EDA" w:rsidRDefault="00EF3EDA" w:rsidP="0025485E">
            <w:r w:rsidRPr="0025485E">
              <w:t>12:30</w:t>
            </w:r>
          </w:p>
        </w:tc>
        <w:tc>
          <w:tcPr>
            <w:tcW w:w="7825" w:type="dxa"/>
          </w:tcPr>
          <w:p w14:paraId="6C48463F" w14:textId="25BDAC26" w:rsidR="00EF3EDA" w:rsidRPr="0025485E" w:rsidRDefault="00EF3EDA" w:rsidP="00EF3EDA">
            <w:pPr>
              <w:spacing w:after="160"/>
            </w:pPr>
            <w:r>
              <w:t xml:space="preserve">A </w:t>
            </w:r>
            <w:r w:rsidRPr="0025485E">
              <w:t xml:space="preserve">catered lunch is served with multiple menu </w:t>
            </w:r>
            <w:r>
              <w:t>options</w:t>
            </w:r>
            <w:r w:rsidRPr="0025485E">
              <w:t xml:space="preserve"> by informal networking.</w:t>
            </w:r>
          </w:p>
        </w:tc>
      </w:tr>
      <w:tr w:rsidR="00EF3EDA" w14:paraId="0A64D697" w14:textId="77777777" w:rsidTr="00EF3EDA">
        <w:tc>
          <w:tcPr>
            <w:tcW w:w="9350" w:type="dxa"/>
            <w:gridSpan w:val="2"/>
            <w:shd w:val="clear" w:color="auto" w:fill="D9E2F3" w:themeFill="accent1" w:themeFillTint="33"/>
          </w:tcPr>
          <w:p w14:paraId="17CC0EEA" w14:textId="369706CC" w:rsidR="00EF3EDA" w:rsidRPr="00EF3EDA" w:rsidRDefault="00EF3EDA" w:rsidP="00EF3EDA">
            <w:pPr>
              <w:jc w:val="center"/>
              <w:rPr>
                <w:b/>
                <w:bCs/>
              </w:rPr>
            </w:pPr>
            <w:r w:rsidRPr="00EF3EDA">
              <w:rPr>
                <w:b/>
                <w:bCs/>
              </w:rPr>
              <w:t>Session 2</w:t>
            </w:r>
          </w:p>
        </w:tc>
      </w:tr>
      <w:tr w:rsidR="00EF3EDA" w14:paraId="0D8A157B" w14:textId="77777777" w:rsidTr="00EF3EDA">
        <w:tc>
          <w:tcPr>
            <w:tcW w:w="1525" w:type="dxa"/>
          </w:tcPr>
          <w:p w14:paraId="59891F71" w14:textId="2A571E47" w:rsidR="00EF3EDA" w:rsidRPr="0025485E" w:rsidRDefault="00EF3EDA" w:rsidP="0025485E">
            <w:r w:rsidRPr="0025485E">
              <w:t xml:space="preserve">13:30 </w:t>
            </w:r>
          </w:p>
        </w:tc>
        <w:tc>
          <w:tcPr>
            <w:tcW w:w="7825" w:type="dxa"/>
          </w:tcPr>
          <w:p w14:paraId="7C8821EA" w14:textId="6BBBDA9D" w:rsidR="00EF3EDA" w:rsidRDefault="00EF3EDA" w:rsidP="00EF3EDA">
            <w:r w:rsidRPr="0025485E">
              <w:t xml:space="preserve">Practical workshop where everyone is put into </w:t>
            </w:r>
            <w:r>
              <w:t>a scenario to</w:t>
            </w:r>
            <w:r w:rsidRPr="0025485E">
              <w:t xml:space="preserve"> collaboratively solve problems and gain skills</w:t>
            </w:r>
          </w:p>
        </w:tc>
      </w:tr>
      <w:tr w:rsidR="00EF3EDA" w14:paraId="158ED30B" w14:textId="77777777" w:rsidTr="00EF3EDA">
        <w:tc>
          <w:tcPr>
            <w:tcW w:w="1525" w:type="dxa"/>
          </w:tcPr>
          <w:p w14:paraId="45A763FA" w14:textId="35E8B444" w:rsidR="00EF3EDA" w:rsidRPr="0025485E" w:rsidRDefault="00EF3EDA" w:rsidP="0025485E">
            <w:r w:rsidRPr="0025485E">
              <w:t xml:space="preserve">14:45 </w:t>
            </w:r>
          </w:p>
        </w:tc>
        <w:tc>
          <w:tcPr>
            <w:tcW w:w="7825" w:type="dxa"/>
          </w:tcPr>
          <w:p w14:paraId="41B345F0" w14:textId="0F2C62A1" w:rsidR="00EF3EDA" w:rsidRDefault="00650231" w:rsidP="00EF3EDA">
            <w:pPr>
              <w:spacing w:after="160"/>
            </w:pPr>
            <w:r w:rsidRPr="00650231">
              <w:t xml:space="preserve">A </w:t>
            </w:r>
            <w:r>
              <w:t>second-panel</w:t>
            </w:r>
            <w:r w:rsidRPr="00650231">
              <w:t xml:space="preserve"> discussion looking at EDI trends, now and in </w:t>
            </w:r>
            <w:r>
              <w:t>the future</w:t>
            </w:r>
            <w:r w:rsidRPr="00650231">
              <w:t xml:space="preserve">, and what role tech can play as a driver, followed by real-time </w:t>
            </w:r>
            <w:r>
              <w:t xml:space="preserve">questions and </w:t>
            </w:r>
            <w:r w:rsidR="000F4D2C">
              <w:t>a</w:t>
            </w:r>
            <w:r>
              <w:t>nswers</w:t>
            </w:r>
            <w:r w:rsidRPr="00650231">
              <w:t xml:space="preserve"> to ensure every voice is heard.</w:t>
            </w:r>
          </w:p>
        </w:tc>
      </w:tr>
      <w:tr w:rsidR="00EF3EDA" w14:paraId="08E1874C" w14:textId="77777777" w:rsidTr="00EF3EDA">
        <w:tc>
          <w:tcPr>
            <w:tcW w:w="1525" w:type="dxa"/>
          </w:tcPr>
          <w:p w14:paraId="1C77134F" w14:textId="6131A9F3" w:rsidR="00EF3EDA" w:rsidRPr="0025485E" w:rsidRDefault="00EF3EDA" w:rsidP="0025485E">
            <w:r w:rsidRPr="0025485E">
              <w:t>15:30</w:t>
            </w:r>
          </w:p>
        </w:tc>
        <w:tc>
          <w:tcPr>
            <w:tcW w:w="7825" w:type="dxa"/>
          </w:tcPr>
          <w:p w14:paraId="1F2C7DC4" w14:textId="228B2E02" w:rsidR="00EF3EDA" w:rsidRDefault="00EF3EDA" w:rsidP="00EF3EDA">
            <w:pPr>
              <w:spacing w:after="160"/>
            </w:pPr>
            <w:r w:rsidRPr="0025485E">
              <w:t xml:space="preserve">The event wraps up with closing remarks summarizing key </w:t>
            </w:r>
            <w:r>
              <w:t>takeaways and</w:t>
            </w:r>
            <w:r w:rsidRPr="0025485E">
              <w:t xml:space="preserve"> </w:t>
            </w:r>
            <w:r>
              <w:t xml:space="preserve">the </w:t>
            </w:r>
            <w:r w:rsidRPr="0025485E">
              <w:t>next steps for applying learned strategies</w:t>
            </w:r>
          </w:p>
        </w:tc>
      </w:tr>
      <w:tr w:rsidR="00EF3EDA" w14:paraId="42D3256D" w14:textId="77777777" w:rsidTr="00EF3EDA">
        <w:tc>
          <w:tcPr>
            <w:tcW w:w="1525" w:type="dxa"/>
          </w:tcPr>
          <w:p w14:paraId="4F101FD6" w14:textId="3EBF43D5" w:rsidR="00EF3EDA" w:rsidRPr="0025485E" w:rsidRDefault="00EF3EDA" w:rsidP="0025485E">
            <w:r w:rsidRPr="0025485E">
              <w:t>16:00</w:t>
            </w:r>
          </w:p>
        </w:tc>
        <w:tc>
          <w:tcPr>
            <w:tcW w:w="7825" w:type="dxa"/>
          </w:tcPr>
          <w:p w14:paraId="38A23B8B" w14:textId="3F8D5749" w:rsidR="00EF3EDA" w:rsidRDefault="00EF3EDA" w:rsidP="00EF3EDA">
            <w:r w:rsidRPr="0025485E">
              <w:t xml:space="preserve">Lastly, delegates are invited to a virtual networking session until 16:00 where they can take the opportunity to </w:t>
            </w:r>
            <w:r>
              <w:t>build new</w:t>
            </w:r>
            <w:r w:rsidRPr="0025485E">
              <w:t xml:space="preserve"> relationships and follow up on previously discussed topics. </w:t>
            </w:r>
          </w:p>
        </w:tc>
      </w:tr>
    </w:tbl>
    <w:p w14:paraId="52FE670B" w14:textId="77777777" w:rsidR="005912F2" w:rsidRDefault="005912F2" w:rsidP="0025485E"/>
    <w:p w14:paraId="05D9EAA1" w14:textId="453D1293" w:rsidR="0025485E" w:rsidRPr="0025485E" w:rsidRDefault="0025485E" w:rsidP="0025485E">
      <w:r>
        <w:lastRenderedPageBreak/>
        <w:t>This</w:t>
      </w:r>
      <w:r w:rsidRPr="0025485E">
        <w:t xml:space="preserve"> well-rounded agenda is sure to spark interest with hands-on workshops, practical insights, as well </w:t>
      </w:r>
      <w:r w:rsidR="00BE7676">
        <w:t>an</w:t>
      </w:r>
      <w:r w:rsidRPr="0025485E">
        <w:t xml:space="preserve"> </w:t>
      </w:r>
      <w:r>
        <w:t>opportunity to</w:t>
      </w:r>
      <w:r w:rsidRPr="0025485E">
        <w:t xml:space="preserve"> gain key insights along with useful networking, all in all an educational and eye-opening day.</w:t>
      </w:r>
    </w:p>
    <w:p w14:paraId="432E69B2" w14:textId="6699A8CE" w:rsidR="005522C0" w:rsidRDefault="005522C0"/>
    <w:p w14:paraId="1E0EFC47" w14:textId="77777777" w:rsidR="005522C0" w:rsidRPr="005522C0" w:rsidRDefault="005522C0" w:rsidP="005522C0">
      <w:pPr>
        <w:pStyle w:val="Heading1"/>
      </w:pPr>
      <w:bookmarkStart w:id="3" w:name="_Toc191324607"/>
      <w:r w:rsidRPr="005522C0">
        <w:t>Aim and Objectives of the Meeting / Event</w:t>
      </w:r>
      <w:bookmarkEnd w:id="3"/>
    </w:p>
    <w:p w14:paraId="0D0B7D0D" w14:textId="39C8E9A0" w:rsidR="005522C0" w:rsidRPr="005522C0" w:rsidRDefault="005522C0" w:rsidP="005522C0">
      <w:r w:rsidRPr="005522C0">
        <w:t xml:space="preserve">Overarching Aim: “Hospitality for All: Driving Equality, Diversity and Inclusion” seeks to be a </w:t>
      </w:r>
      <w:r>
        <w:t>powerful catalyst</w:t>
      </w:r>
      <w:r w:rsidRPr="005522C0">
        <w:t xml:space="preserve"> for change for professionals in the hospitality and MICE industries. </w:t>
      </w:r>
      <w:r>
        <w:t>One that</w:t>
      </w:r>
      <w:r w:rsidRPr="005522C0">
        <w:t xml:space="preserve"> would provide delegates </w:t>
      </w:r>
      <w:r>
        <w:t xml:space="preserve">with </w:t>
      </w:r>
      <w:r w:rsidRPr="005522C0">
        <w:t xml:space="preserve">tangible tools and insights to facilitate more inclusive workplace environments. </w:t>
      </w:r>
      <w:r>
        <w:t>By showcasing</w:t>
      </w:r>
      <w:r w:rsidRPr="005522C0">
        <w:t xml:space="preserve"> innovative approaches, sharing best </w:t>
      </w:r>
      <w:r>
        <w:t>practices</w:t>
      </w:r>
      <w:r w:rsidRPr="005522C0">
        <w:t>, and enabling targeted networking, the conference seeks to drive systemic change, improving equality, diversity, and inclusion (EDI) across the sector.</w:t>
      </w:r>
    </w:p>
    <w:p w14:paraId="0CC92036" w14:textId="77777777" w:rsidR="005522C0" w:rsidRPr="005522C0" w:rsidRDefault="005522C0" w:rsidP="005522C0">
      <w:r w:rsidRPr="005522C0">
        <w:t>SMART Objectives:</w:t>
      </w:r>
    </w:p>
    <w:p w14:paraId="1AE56BD8" w14:textId="4748E152" w:rsidR="005522C0" w:rsidRPr="005522C0" w:rsidRDefault="005522C0" w:rsidP="005522C0">
      <w:r w:rsidRPr="005522C0">
        <w:t>Increase</w:t>
      </w:r>
      <w:r w:rsidRPr="005522C0">
        <w:t> </w:t>
      </w:r>
      <w:r w:rsidRPr="005522C0">
        <w:t xml:space="preserve">Actionable Knowledge: The conference will be able to demonstrate (at least 85% of delegates) that they can articulate at least three specific EDI action strategies directly relevant to the hospitality sector by the conference conclusion. </w:t>
      </w:r>
      <w:r w:rsidR="00FC5A26">
        <w:t>It will be possible to</w:t>
      </w:r>
      <w:r w:rsidRPr="005522C0">
        <w:t xml:space="preserve"> have immediate post-event feedback on that and be validated with a follow-up </w:t>
      </w:r>
      <w:r>
        <w:t>3-month</w:t>
      </w:r>
      <w:r w:rsidRPr="005522C0">
        <w:t xml:space="preserve"> survey to ensure that something pragmatic and fun is gaining traction in their day job, and then use that to something that can they do in their organizations.</w:t>
      </w:r>
    </w:p>
    <w:p w14:paraId="6E670818" w14:textId="2949FADB" w:rsidR="005522C0" w:rsidRPr="005522C0" w:rsidRDefault="005522C0" w:rsidP="005522C0">
      <w:r w:rsidRPr="005522C0">
        <w:t xml:space="preserve">Raise Awareness </w:t>
      </w:r>
      <w:r>
        <w:t>and Understanding</w:t>
      </w:r>
      <w:r w:rsidRPr="005522C0">
        <w:t xml:space="preserve">: At least 90% of participants indicate that they have a better understanding during a survey at the end of all sessions, of challenges and emerging trends regarding EDI within the hospitality sector. At three </w:t>
      </w:r>
      <w:r>
        <w:t>months</w:t>
      </w:r>
      <w:r w:rsidRPr="005522C0">
        <w:t xml:space="preserve"> up feedback will be considered to verify the message is in fact heard.</w:t>
      </w:r>
    </w:p>
    <w:p w14:paraId="01AE7DA1" w14:textId="53D89EA7" w:rsidR="005522C0" w:rsidRPr="005522C0" w:rsidRDefault="005522C0" w:rsidP="005522C0">
      <w:r w:rsidRPr="005522C0">
        <w:t xml:space="preserve">Enhance Strategic Networking: Achieve </w:t>
      </w:r>
      <w:r>
        <w:t>a maximum</w:t>
      </w:r>
      <w:r w:rsidRPr="005522C0">
        <w:t xml:space="preserve"> of 70% engagement with around 300 expected participants in directed breakout sessions and create a specific virtual platform for networking. Aim to create a minimum of 200 new professional contacts to stimulate continuing collaboration and to lay the groundwork for cross-sectoral projects </w:t>
      </w:r>
      <w:r>
        <w:t>addressing</w:t>
      </w:r>
      <w:r w:rsidRPr="005522C0">
        <w:t xml:space="preserve"> related practice.</w:t>
      </w:r>
    </w:p>
    <w:p w14:paraId="1E16352D" w14:textId="4BE8862D" w:rsidR="005522C0" w:rsidRDefault="005522C0" w:rsidP="005522C0">
      <w:r w:rsidRPr="005522C0">
        <w:lastRenderedPageBreak/>
        <w:t xml:space="preserve">These specific aims mean that the event is about more than spreading the word about this important issue it should lead </w:t>
      </w:r>
      <w:r>
        <w:t>to real</w:t>
      </w:r>
      <w:r w:rsidRPr="005522C0">
        <w:t>, sustainable change in equality, diversity</w:t>
      </w:r>
      <w:r>
        <w:t>,</w:t>
      </w:r>
      <w:r w:rsidRPr="005522C0">
        <w:t xml:space="preserve"> and inclusion in hospitality.</w:t>
      </w:r>
    </w:p>
    <w:p w14:paraId="32704E48" w14:textId="1977E325" w:rsidR="00C05E3B" w:rsidRDefault="00C05E3B" w:rsidP="005522C0"/>
    <w:p w14:paraId="06F5F071" w14:textId="77777777" w:rsidR="00C05E3B" w:rsidRPr="007B6825" w:rsidRDefault="00C05E3B" w:rsidP="00C05E3B">
      <w:pPr>
        <w:pStyle w:val="Heading1"/>
      </w:pPr>
      <w:bookmarkStart w:id="4" w:name="_Toc191324608"/>
      <w:r w:rsidRPr="007B6825">
        <w:t xml:space="preserve">Event Management – </w:t>
      </w:r>
      <w:r w:rsidRPr="00F021B9">
        <w:t>Required Skills and Resources</w:t>
      </w:r>
      <w:bookmarkEnd w:id="4"/>
    </w:p>
    <w:p w14:paraId="2415C7BD" w14:textId="77777777" w:rsidR="00C05E3B" w:rsidRPr="007B6825" w:rsidRDefault="00C05E3B" w:rsidP="00C05E3B">
      <w:r w:rsidRPr="007B6825">
        <w:t xml:space="preserve">To be successful in managing “Hospitality for All: Driving Equality, Diversity and Inclusion” </w:t>
      </w:r>
      <w:r>
        <w:t>it will be necessary to have</w:t>
      </w:r>
      <w:r w:rsidRPr="007B6825">
        <w:t xml:space="preserve"> a variety </w:t>
      </w:r>
      <w:r>
        <w:t>of skills</w:t>
      </w:r>
      <w:r w:rsidRPr="007B6825">
        <w:t xml:space="preserve"> and resources, across operational, planning, and marketing activities.</w:t>
      </w:r>
    </w:p>
    <w:p w14:paraId="729C6956" w14:textId="77777777" w:rsidR="00C05E3B" w:rsidRPr="007B6825" w:rsidRDefault="00C05E3B" w:rsidP="00C05E3B">
      <w:r w:rsidRPr="007B6825">
        <w:t xml:space="preserve">Operational Management: Logistics on-site are crucial, requiring event managers </w:t>
      </w:r>
      <w:r>
        <w:t>to execute</w:t>
      </w:r>
      <w:r w:rsidRPr="007B6825">
        <w:t xml:space="preserve"> hybrid events</w:t>
      </w:r>
      <w:r>
        <w:t xml:space="preserve"> (</w:t>
      </w:r>
      <w:r w:rsidRPr="002B0A5A">
        <w:t>Bladen</w:t>
      </w:r>
      <w:r>
        <w:t xml:space="preserve"> et al., </w:t>
      </w:r>
      <w:r w:rsidRPr="002B0A5A">
        <w:t>2022</w:t>
      </w:r>
      <w:r>
        <w:t>)</w:t>
      </w:r>
      <w:r w:rsidRPr="007B6825">
        <w:t xml:space="preserve">. </w:t>
      </w:r>
      <w:r>
        <w:t>As event planners, the event management team will</w:t>
      </w:r>
      <w:r w:rsidRPr="007B6825">
        <w:t xml:space="preserve"> organize registration, schedule everything, coordinate with vendors, etc. to ensure a smooth </w:t>
      </w:r>
      <w:r>
        <w:t>experience at</w:t>
      </w:r>
      <w:r w:rsidRPr="007B6825">
        <w:t xml:space="preserve"> the venue for both in-person and virtual participants. A skilled technical crew who have </w:t>
      </w:r>
      <w:r>
        <w:t>experience working</w:t>
      </w:r>
      <w:r w:rsidRPr="007B6825">
        <w:t xml:space="preserve"> with audiovisual systems, live streaming and IT support is vital to ensure that all aspects of the event run smoothly, both digitally and physically</w:t>
      </w:r>
      <w:r>
        <w:t xml:space="preserve"> (</w:t>
      </w:r>
      <w:r w:rsidRPr="002B0A5A">
        <w:t>Roussos</w:t>
      </w:r>
      <w:r>
        <w:t xml:space="preserve"> et al., </w:t>
      </w:r>
      <w:r w:rsidRPr="002B0A5A">
        <w:t>2022</w:t>
      </w:r>
      <w:r>
        <w:t>)</w:t>
      </w:r>
      <w:r w:rsidRPr="007B6825">
        <w:t xml:space="preserve">. </w:t>
      </w:r>
    </w:p>
    <w:p w14:paraId="7581F39D" w14:textId="77777777" w:rsidR="00C05E3B" w:rsidRPr="007B6825" w:rsidRDefault="00C05E3B" w:rsidP="00C05E3B">
      <w:r w:rsidRPr="007B6825">
        <w:t xml:space="preserve">Project Management Skills: The planning phase requires good management and organization skills </w:t>
      </w:r>
      <w:r>
        <w:t>for a</w:t>
      </w:r>
      <w:r w:rsidRPr="007B6825">
        <w:t xml:space="preserve"> project</w:t>
      </w:r>
      <w:r>
        <w:t xml:space="preserve"> (</w:t>
      </w:r>
      <w:r w:rsidRPr="002B0A5A">
        <w:t>Irfan</w:t>
      </w:r>
      <w:r>
        <w:t xml:space="preserve"> et al., </w:t>
      </w:r>
      <w:r w:rsidRPr="002B0A5A">
        <w:t>2021</w:t>
      </w:r>
      <w:r>
        <w:t>)</w:t>
      </w:r>
      <w:r w:rsidRPr="007B6825">
        <w:t xml:space="preserve">. </w:t>
      </w:r>
      <w:r>
        <w:t>The team</w:t>
      </w:r>
      <w:r w:rsidRPr="007B6825">
        <w:t xml:space="preserve"> </w:t>
      </w:r>
      <w:r>
        <w:t>will act as</w:t>
      </w:r>
      <w:r w:rsidRPr="007B6825">
        <w:t xml:space="preserve"> </w:t>
      </w:r>
      <w:r>
        <w:t>savant-like</w:t>
      </w:r>
      <w:r w:rsidRPr="007B6825">
        <w:t xml:space="preserve"> when it comes to budgeting, managing timetables, assessing risk, contracting</w:t>
      </w:r>
      <w:r>
        <w:t>,</w:t>
      </w:r>
      <w:r w:rsidRPr="007B6825">
        <w:t xml:space="preserve"> and negotiating; even with vendors such as the Manchester Central Convention Complex. </w:t>
      </w:r>
      <w:r>
        <w:t>The team will also</w:t>
      </w:r>
      <w:r w:rsidRPr="007B6825">
        <w:t xml:space="preserve"> do contingency planning for potential disruptions as part of strategic planning. </w:t>
      </w:r>
    </w:p>
    <w:p w14:paraId="156BB31E" w14:textId="1260FE4B" w:rsidR="00C05E3B" w:rsidRDefault="00C05E3B" w:rsidP="00C05E3B">
      <w:r w:rsidRPr="007B6825">
        <w:t xml:space="preserve">Marketing and Promotion: </w:t>
      </w:r>
      <w:r>
        <w:t>It is important to have</w:t>
      </w:r>
      <w:r w:rsidRPr="007B6825">
        <w:t xml:space="preserve"> a marketing team that can </w:t>
      </w:r>
      <w:r>
        <w:t>bring visibility</w:t>
      </w:r>
      <w:r w:rsidRPr="007B6825">
        <w:t xml:space="preserve"> to </w:t>
      </w:r>
      <w:r>
        <w:t>a particular</w:t>
      </w:r>
      <w:r w:rsidRPr="007B6825">
        <w:t xml:space="preserve"> event and </w:t>
      </w:r>
      <w:proofErr w:type="gramStart"/>
      <w:r>
        <w:t>drive up</w:t>
      </w:r>
      <w:proofErr w:type="gramEnd"/>
      <w:r w:rsidRPr="007B6825">
        <w:t xml:space="preserve"> registrations</w:t>
      </w:r>
      <w:r>
        <w:t xml:space="preserve"> (</w:t>
      </w:r>
      <w:r w:rsidRPr="00DC0D9A">
        <w:t>Saarinen, 2025)</w:t>
      </w:r>
      <w:r w:rsidRPr="007B6825">
        <w:t>.</w:t>
      </w:r>
      <w:r>
        <w:t xml:space="preserve"> </w:t>
      </w:r>
      <w:r w:rsidRPr="007E383C">
        <w:t>The event planning team will assign an expert digital marketing</w:t>
      </w:r>
      <w:r>
        <w:t xml:space="preserve"> </w:t>
      </w:r>
      <w:r w:rsidRPr="007E383C">
        <w:t>Manager who will be able to execute and achieve</w:t>
      </w:r>
      <w:r>
        <w:t xml:space="preserve"> </w:t>
      </w:r>
      <w:r w:rsidRPr="007E383C">
        <w:t>targeted social campaigns</w:t>
      </w:r>
      <w:r>
        <w:t xml:space="preserve"> </w:t>
      </w:r>
      <w:r w:rsidRPr="007E383C">
        <w:t>on social media platforms like LinkedIn and Instagram</w:t>
      </w:r>
      <w:r>
        <w:t xml:space="preserve">. </w:t>
      </w:r>
      <w:r w:rsidRPr="007E383C">
        <w:t>his responsibilities will also include e-mail outreach and content</w:t>
      </w:r>
      <w:r>
        <w:t>-</w:t>
      </w:r>
      <w:r w:rsidRPr="007E383C">
        <w:t>based marketing</w:t>
      </w:r>
      <w:r>
        <w:t xml:space="preserve"> </w:t>
      </w:r>
      <w:r w:rsidRPr="007E383C">
        <w:t xml:space="preserve">to make people aware </w:t>
      </w:r>
      <w:r>
        <w:t>of</w:t>
      </w:r>
      <w:r w:rsidRPr="007E383C">
        <w:t xml:space="preserve"> the event</w:t>
      </w:r>
      <w:r>
        <w:t xml:space="preserve"> (</w:t>
      </w:r>
      <w:proofErr w:type="spellStart"/>
      <w:r w:rsidRPr="00C05E3B">
        <w:t>Onabokun</w:t>
      </w:r>
      <w:proofErr w:type="spellEnd"/>
      <w:r w:rsidRPr="00C05E3B">
        <w:t>, 2024)</w:t>
      </w:r>
      <w:r>
        <w:t xml:space="preserve">. </w:t>
      </w:r>
    </w:p>
    <w:p w14:paraId="5FC33AB9" w14:textId="7EA5A31A" w:rsidR="00C05E3B" w:rsidRDefault="00C05E3B" w:rsidP="00C05E3B">
      <w:r w:rsidRPr="007E383C">
        <w:t xml:space="preserve">Required </w:t>
      </w:r>
      <w:r>
        <w:t>R</w:t>
      </w:r>
      <w:r w:rsidRPr="007E383C">
        <w:t>esources</w:t>
      </w:r>
      <w:r>
        <w:t>: T</w:t>
      </w:r>
      <w:r w:rsidRPr="00E93AD1">
        <w:t xml:space="preserve">he event planning team will bring state-of-the-art facilities </w:t>
      </w:r>
      <w:r>
        <w:t>to</w:t>
      </w:r>
      <w:r w:rsidRPr="00E93AD1">
        <w:t xml:space="preserve"> the event venue along with </w:t>
      </w:r>
      <w:r>
        <w:t>a strong digital presence</w:t>
      </w:r>
      <w:r w:rsidRPr="00E93AD1">
        <w:t xml:space="preserve"> to make the hybrid event successful</w:t>
      </w:r>
      <w:r>
        <w:t xml:space="preserve">. </w:t>
      </w:r>
      <w:r w:rsidRPr="00E93AD1">
        <w:t xml:space="preserve">To make sure that every </w:t>
      </w:r>
      <w:r>
        <w:t>objective</w:t>
      </w:r>
      <w:r w:rsidRPr="00E93AD1">
        <w:t xml:space="preserve"> of the events </w:t>
      </w:r>
      <w:r>
        <w:t>is</w:t>
      </w:r>
      <w:r w:rsidRPr="00E93AD1">
        <w:t xml:space="preserve"> fulfilled the event team will require financial backing</w:t>
      </w:r>
      <w:r>
        <w:t xml:space="preserve"> </w:t>
      </w:r>
      <w:r w:rsidRPr="00E93AD1">
        <w:t xml:space="preserve">that will be </w:t>
      </w:r>
      <w:r w:rsidRPr="00E93AD1">
        <w:lastRenderedPageBreak/>
        <w:t xml:space="preserve">fulfilled through sponsorships and ticket sales while ensuring </w:t>
      </w:r>
      <w:r>
        <w:t xml:space="preserve">it as </w:t>
      </w:r>
      <w:r w:rsidRPr="00E93AD1">
        <w:t>a profitable and excellent value</w:t>
      </w:r>
      <w:r>
        <w:t>-</w:t>
      </w:r>
      <w:r w:rsidRPr="00E93AD1">
        <w:t xml:space="preserve">providing </w:t>
      </w:r>
      <w:r w:rsidR="007A77F3">
        <w:t>event (</w:t>
      </w:r>
      <w:r w:rsidR="007A77F3" w:rsidRPr="007A77F3">
        <w:t>Kerzner, 2025)</w:t>
      </w:r>
      <w:r>
        <w:t xml:space="preserve">. </w:t>
      </w:r>
    </w:p>
    <w:p w14:paraId="170BEB49" w14:textId="77777777" w:rsidR="00C05E3B" w:rsidRDefault="00C05E3B" w:rsidP="00C05E3B"/>
    <w:p w14:paraId="3F4DFE20" w14:textId="77777777" w:rsidR="00C05E3B" w:rsidRDefault="00C05E3B" w:rsidP="00C05E3B">
      <w:pPr>
        <w:pStyle w:val="Heading1"/>
      </w:pPr>
      <w:bookmarkStart w:id="5" w:name="_Toc191324609"/>
      <w:r>
        <w:t>Event Budget</w:t>
      </w:r>
      <w:bookmarkEnd w:id="5"/>
    </w:p>
    <w:p w14:paraId="2E1AEAB7" w14:textId="77777777" w:rsidR="00C05E3B" w:rsidRPr="00F021B9" w:rsidRDefault="00C05E3B" w:rsidP="00C05E3B">
      <w:pPr>
        <w:rPr>
          <w:b/>
          <w:bCs/>
        </w:rPr>
      </w:pPr>
      <w:r w:rsidRPr="00F021B9">
        <w:rPr>
          <w:b/>
          <w:bCs/>
        </w:rPr>
        <w:t>Expenditure Breakdown</w:t>
      </w:r>
    </w:p>
    <w:p w14:paraId="59AB4732" w14:textId="77777777" w:rsidR="00C05E3B" w:rsidRDefault="00C05E3B" w:rsidP="00C05E3B">
      <w:r>
        <w:rPr>
          <w:noProof/>
        </w:rPr>
        <w:drawing>
          <wp:inline distT="0" distB="0" distL="0" distR="0" wp14:anchorId="6B1F9ADB" wp14:editId="3684BF31">
            <wp:extent cx="5651882" cy="2325642"/>
            <wp:effectExtent l="0" t="0" r="6350" b="0"/>
            <wp:docPr id="4" name="Picture 4"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table with text on i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1718" cy="2333804"/>
                    </a:xfrm>
                    <a:prstGeom prst="rect">
                      <a:avLst/>
                    </a:prstGeom>
                    <a:noFill/>
                  </pic:spPr>
                </pic:pic>
              </a:graphicData>
            </a:graphic>
          </wp:inline>
        </w:drawing>
      </w:r>
    </w:p>
    <w:p w14:paraId="1AD72567" w14:textId="77777777" w:rsidR="00C05E3B" w:rsidRPr="00F021B9" w:rsidRDefault="00C05E3B" w:rsidP="00C05E3B">
      <w:pPr>
        <w:rPr>
          <w:b/>
          <w:bCs/>
        </w:rPr>
      </w:pPr>
      <w:r w:rsidRPr="00F021B9">
        <w:rPr>
          <w:b/>
          <w:bCs/>
        </w:rPr>
        <w:t>Income Generation and Funding Sources</w:t>
      </w:r>
    </w:p>
    <w:p w14:paraId="4AC2AAE5" w14:textId="77777777" w:rsidR="00C05E3B" w:rsidRPr="00875A9B" w:rsidRDefault="00C05E3B" w:rsidP="00C05E3B">
      <w:r>
        <w:rPr>
          <w:noProof/>
        </w:rPr>
        <w:drawing>
          <wp:inline distT="0" distB="0" distL="0" distR="0" wp14:anchorId="1DA7898E" wp14:editId="3F54BC64">
            <wp:extent cx="5753686" cy="1585665"/>
            <wp:effectExtent l="0" t="0" r="0" b="0"/>
            <wp:docPr id="5" name="Picture 5" descr="A blue and white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and white list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4489" cy="1594154"/>
                    </a:xfrm>
                    <a:prstGeom prst="rect">
                      <a:avLst/>
                    </a:prstGeom>
                    <a:noFill/>
                  </pic:spPr>
                </pic:pic>
              </a:graphicData>
            </a:graphic>
          </wp:inline>
        </w:drawing>
      </w:r>
    </w:p>
    <w:p w14:paraId="29230229" w14:textId="77777777" w:rsidR="00C05E3B" w:rsidRPr="00F021B9" w:rsidRDefault="00C05E3B" w:rsidP="00C05E3B">
      <w:pPr>
        <w:rPr>
          <w:b/>
          <w:bCs/>
        </w:rPr>
      </w:pPr>
      <w:r w:rsidRPr="00F021B9">
        <w:rPr>
          <w:b/>
          <w:bCs/>
        </w:rPr>
        <w:t>Financial Summary</w:t>
      </w:r>
    </w:p>
    <w:p w14:paraId="3F16B91C" w14:textId="77777777" w:rsidR="00C05E3B" w:rsidRPr="00214B41" w:rsidRDefault="00C05E3B" w:rsidP="00C05E3B">
      <w:pPr>
        <w:jc w:val="center"/>
        <w:rPr>
          <w:b/>
          <w:bCs/>
          <w:i/>
          <w:iCs/>
        </w:rPr>
      </w:pPr>
      <w:r>
        <w:rPr>
          <w:b/>
          <w:bCs/>
          <w:i/>
          <w:iCs/>
        </w:rPr>
        <w:t>‘</w:t>
      </w:r>
      <w:r w:rsidRPr="00214B41">
        <w:rPr>
          <w:b/>
          <w:bCs/>
          <w:i/>
          <w:iCs/>
        </w:rPr>
        <w:t>Total Income – Total Expenditure = Projected Net Profit</w:t>
      </w:r>
      <w:r>
        <w:rPr>
          <w:b/>
          <w:bCs/>
          <w:i/>
          <w:iCs/>
        </w:rPr>
        <w:t>’</w:t>
      </w:r>
    </w:p>
    <w:p w14:paraId="65C83552" w14:textId="77777777" w:rsidR="00C05E3B" w:rsidRDefault="00C05E3B" w:rsidP="00C05E3B">
      <w:pPr>
        <w:jc w:val="center"/>
      </w:pPr>
      <w:r>
        <w:rPr>
          <w:rFonts w:cs="Times New Roman"/>
        </w:rPr>
        <w:t>£110,000 – 70,000 = 40,000</w:t>
      </w:r>
    </w:p>
    <w:p w14:paraId="0462F362" w14:textId="77777777" w:rsidR="00503AAE" w:rsidRDefault="00503AAE" w:rsidP="00C05E3B">
      <w:pPr>
        <w:rPr>
          <w:b/>
          <w:bCs/>
        </w:rPr>
      </w:pPr>
    </w:p>
    <w:p w14:paraId="4EAD4B61" w14:textId="77777777" w:rsidR="00503AAE" w:rsidRDefault="00503AAE" w:rsidP="00C05E3B">
      <w:pPr>
        <w:rPr>
          <w:b/>
          <w:bCs/>
        </w:rPr>
      </w:pPr>
    </w:p>
    <w:p w14:paraId="4CB275F0" w14:textId="631F9BEA" w:rsidR="00C05E3B" w:rsidRDefault="00C05E3B" w:rsidP="00C05E3B">
      <w:pPr>
        <w:rPr>
          <w:b/>
          <w:bCs/>
        </w:rPr>
      </w:pPr>
      <w:r w:rsidRPr="00D30932">
        <w:rPr>
          <w:b/>
          <w:bCs/>
        </w:rPr>
        <w:lastRenderedPageBreak/>
        <w:t>Analysis</w:t>
      </w:r>
    </w:p>
    <w:p w14:paraId="75634848" w14:textId="77777777" w:rsidR="00C05E3B" w:rsidRPr="00D30932" w:rsidRDefault="00C05E3B" w:rsidP="00C05E3B">
      <w:r w:rsidRPr="00F021B9">
        <w:t xml:space="preserve">Based on the estimated cost and revenue it can be said that the report shows a good balance between revenue and cost and if everything goes according to the plan then the projected net profit will be </w:t>
      </w:r>
      <w:r>
        <w:rPr>
          <w:rFonts w:cs="Times New Roman"/>
        </w:rPr>
        <w:t>£</w:t>
      </w:r>
      <w:r w:rsidRPr="00F021B9">
        <w:t>40,000</w:t>
      </w:r>
      <w:r>
        <w:t xml:space="preserve">. </w:t>
      </w:r>
      <w:r w:rsidRPr="00F021B9">
        <w:t>The projected net profit will ensure that the event</w:t>
      </w:r>
      <w:r>
        <w:t xml:space="preserve"> </w:t>
      </w:r>
      <w:r w:rsidRPr="00F021B9">
        <w:t xml:space="preserve">will be financially sustainable while generating funding for making improvements for </w:t>
      </w:r>
      <w:r>
        <w:t xml:space="preserve">the </w:t>
      </w:r>
      <w:r w:rsidRPr="00F021B9">
        <w:t>next events</w:t>
      </w:r>
      <w:r>
        <w:t xml:space="preserve">. </w:t>
      </w:r>
      <w:r w:rsidRPr="00D30932">
        <w:t xml:space="preserve">These diversified income streams lessen the dependence on any one source of revenue and </w:t>
      </w:r>
      <w:r>
        <w:t>greatly reduce</w:t>
      </w:r>
      <w:r w:rsidRPr="00D30932">
        <w:t xml:space="preserve"> the risks of market fluctuations or lower-than-expected attendance. Events such as these often require </w:t>
      </w:r>
      <w:r>
        <w:t>substantial investments</w:t>
      </w:r>
      <w:r w:rsidRPr="00D30932">
        <w:t xml:space="preserve"> in both marketing and technical support to ensure high quality, critical for establishing this event as a genuine competitor in the busy meetings and events marketplace.</w:t>
      </w:r>
    </w:p>
    <w:p w14:paraId="7CD8F906" w14:textId="77777777" w:rsidR="00C05E3B" w:rsidRDefault="00C05E3B" w:rsidP="00C05E3B">
      <w:r w:rsidRPr="00D30932">
        <w:t xml:space="preserve">With rigorous cost controls and an innovative multi-stream revenue model, “Hospitality for All” could be not </w:t>
      </w:r>
      <w:r>
        <w:t>only profitable</w:t>
      </w:r>
      <w:r w:rsidRPr="00D30932">
        <w:t xml:space="preserve"> but also impactful in the fight for progressive EDI initiatives across the hospitality industry.</w:t>
      </w:r>
    </w:p>
    <w:p w14:paraId="2AD65996" w14:textId="77777777" w:rsidR="00C05E3B" w:rsidRPr="00D30932" w:rsidRDefault="00C05E3B" w:rsidP="00C05E3B"/>
    <w:p w14:paraId="7C379373" w14:textId="77777777" w:rsidR="00C05E3B" w:rsidRDefault="00C05E3B" w:rsidP="00C05E3B">
      <w:pPr>
        <w:pStyle w:val="Heading1"/>
      </w:pPr>
      <w:bookmarkStart w:id="6" w:name="_Toc191324610"/>
      <w:r>
        <w:t>Industry Trends</w:t>
      </w:r>
      <w:bookmarkEnd w:id="6"/>
    </w:p>
    <w:p w14:paraId="7B209950" w14:textId="065B87A7" w:rsidR="00C05E3B" w:rsidRDefault="00C05E3B" w:rsidP="00C05E3B">
      <w:r w:rsidRPr="00883E7B">
        <w:t xml:space="preserve">The meetings and events </w:t>
      </w:r>
      <w:r>
        <w:t>industry is</w:t>
      </w:r>
      <w:r w:rsidRPr="00883E7B">
        <w:t xml:space="preserve"> evolving quickly. One of the biggest trends is the rise of </w:t>
      </w:r>
      <w:r>
        <w:t>hybrid event</w:t>
      </w:r>
      <w:r w:rsidRPr="00883E7B">
        <w:t xml:space="preserve"> formats. As digital technology has advanced and </w:t>
      </w:r>
      <w:r>
        <w:t>society</w:t>
      </w:r>
      <w:r w:rsidRPr="00883E7B">
        <w:t xml:space="preserve"> learned lessons from the COVID-19 pandemic, organizers have begun to integrate physical and virtual elements of an event to make it more accessible and </w:t>
      </w:r>
      <w:r>
        <w:t>reach a</w:t>
      </w:r>
      <w:r w:rsidRPr="00883E7B">
        <w:t xml:space="preserve"> wider audience</w:t>
      </w:r>
      <w:r>
        <w:t xml:space="preserve"> (</w:t>
      </w:r>
      <w:r w:rsidRPr="008E02FE">
        <w:t>Mahadewi, 2023</w:t>
      </w:r>
      <w:r>
        <w:t>)</w:t>
      </w:r>
      <w:r w:rsidRPr="00883E7B">
        <w:t>. This hybrid model not only meets the diversified preferences of attendees,</w:t>
      </w:r>
      <w:r>
        <w:t xml:space="preserve"> </w:t>
      </w:r>
      <w:r w:rsidRPr="00883E7B">
        <w:t xml:space="preserve">but it allows organizations to expand their geographic reach without the </w:t>
      </w:r>
      <w:r>
        <w:t>limitation of</w:t>
      </w:r>
      <w:r w:rsidRPr="00883E7B">
        <w:t xml:space="preserve"> real estate</w:t>
      </w:r>
      <w:r>
        <w:t xml:space="preserve"> (</w:t>
      </w:r>
      <w:r w:rsidRPr="008B3B81">
        <w:t>Getz, 2025</w:t>
      </w:r>
      <w:r>
        <w:t>)</w:t>
      </w:r>
      <w:r w:rsidRPr="00883E7B">
        <w:t>.</w:t>
      </w:r>
      <w:r>
        <w:t xml:space="preserve"> </w:t>
      </w:r>
      <w:r w:rsidRPr="002E651C">
        <w:t>According to the research of</w:t>
      </w:r>
      <w:r>
        <w:t xml:space="preserve"> </w:t>
      </w:r>
      <w:r w:rsidRPr="0051679E">
        <w:t>Doran</w:t>
      </w:r>
      <w:r>
        <w:t xml:space="preserve"> et al.,</w:t>
      </w:r>
      <w:r w:rsidRPr="0051679E">
        <w:t xml:space="preserve"> </w:t>
      </w:r>
      <w:r>
        <w:t>(</w:t>
      </w:r>
      <w:r w:rsidRPr="0051679E">
        <w:t>2024</w:t>
      </w:r>
      <w:r>
        <w:t>) one of</w:t>
      </w:r>
      <w:r w:rsidRPr="002E651C">
        <w:t xml:space="preserve"> the main </w:t>
      </w:r>
      <w:r>
        <w:t>reasons</w:t>
      </w:r>
      <w:r w:rsidRPr="002E651C">
        <w:t xml:space="preserve"> behind the growing popularity of hybrid models is that it ensures everyone associated with the event especially</w:t>
      </w:r>
      <w:r>
        <w:t xml:space="preserve"> </w:t>
      </w:r>
      <w:r w:rsidRPr="002E651C">
        <w:t>the targeted stakeholders</w:t>
      </w:r>
      <w:r>
        <w:t xml:space="preserve"> feels</w:t>
      </w:r>
      <w:r w:rsidRPr="002E651C">
        <w:t xml:space="preserve"> free to join</w:t>
      </w:r>
      <w:r>
        <w:t xml:space="preserve">, </w:t>
      </w:r>
      <w:r w:rsidRPr="002E651C">
        <w:t>listen to the discussions</w:t>
      </w:r>
      <w:r>
        <w:t>,</w:t>
      </w:r>
      <w:r w:rsidRPr="002E651C">
        <w:t xml:space="preserve"> and generate learning and </w:t>
      </w:r>
      <w:r>
        <w:t xml:space="preserve">understanding. </w:t>
      </w:r>
    </w:p>
    <w:p w14:paraId="2CA679B1" w14:textId="048C8439" w:rsidR="00C05E3B" w:rsidRDefault="00C05E3B" w:rsidP="00C05E3B">
      <w:r w:rsidRPr="00883E7B">
        <w:t xml:space="preserve">The industry is also undergoing a green makeover with </w:t>
      </w:r>
      <w:r>
        <w:t>sustainability and</w:t>
      </w:r>
      <w:r w:rsidRPr="00883E7B">
        <w:t xml:space="preserve"> eco-friendly practices</w:t>
      </w:r>
      <w:r>
        <w:t xml:space="preserve"> (</w:t>
      </w:r>
      <w:r w:rsidRPr="00C05E3B">
        <w:t>Santos</w:t>
      </w:r>
      <w:r>
        <w:t xml:space="preserve"> et al., </w:t>
      </w:r>
      <w:r w:rsidRPr="00C05E3B">
        <w:t>2024)</w:t>
      </w:r>
      <w:r w:rsidRPr="00883E7B">
        <w:t xml:space="preserve">. With the world becoming increasingly aware of environmental issues, </w:t>
      </w:r>
      <w:r>
        <w:t>society is</w:t>
      </w:r>
      <w:r w:rsidRPr="00883E7B">
        <w:t xml:space="preserve"> now facing the expectation that all events do everything possible to lessen their ecological impact by managing their resources responsibly, reducing waste</w:t>
      </w:r>
      <w:r>
        <w:t>,</w:t>
      </w:r>
      <w:r w:rsidRPr="00883E7B">
        <w:t xml:space="preserve"> and running </w:t>
      </w:r>
      <w:r>
        <w:t>energy-efficient operations (</w:t>
      </w:r>
      <w:r w:rsidRPr="007016E1">
        <w:t>Bowdin</w:t>
      </w:r>
      <w:r>
        <w:t xml:space="preserve"> et al., </w:t>
      </w:r>
      <w:r w:rsidRPr="007016E1">
        <w:t>2023</w:t>
      </w:r>
      <w:r>
        <w:t>)</w:t>
      </w:r>
      <w:r w:rsidRPr="00883E7B">
        <w:t>.</w:t>
      </w:r>
      <w:r>
        <w:t xml:space="preserve"> </w:t>
      </w:r>
      <w:r w:rsidRPr="000D2B8D">
        <w:t xml:space="preserve">The society is moving towards greener practices, and it is often </w:t>
      </w:r>
      <w:r w:rsidRPr="000D2B8D">
        <w:lastRenderedPageBreak/>
        <w:t>considered multifaceted because it includes regulatory pressures</w:t>
      </w:r>
      <w:r>
        <w:t xml:space="preserve"> and </w:t>
      </w:r>
      <w:r w:rsidRPr="000D2B8D">
        <w:t>growing awareness among the stakeholders</w:t>
      </w:r>
      <w:r>
        <w:t xml:space="preserve"> (</w:t>
      </w:r>
      <w:r w:rsidRPr="007212C3">
        <w:t>Shahzad</w:t>
      </w:r>
      <w:r>
        <w:t xml:space="preserve"> et al., </w:t>
      </w:r>
      <w:r w:rsidRPr="007212C3">
        <w:t>2024</w:t>
      </w:r>
      <w:r>
        <w:t xml:space="preserve">). </w:t>
      </w:r>
      <w:r w:rsidRPr="006C1F15">
        <w:t xml:space="preserve">That is why organizers are </w:t>
      </w:r>
      <w:r>
        <w:t>to</w:t>
      </w:r>
      <w:r w:rsidRPr="006C1F15">
        <w:t xml:space="preserve"> some extent</w:t>
      </w:r>
      <w:r>
        <w:t xml:space="preserve"> </w:t>
      </w:r>
      <w:r w:rsidRPr="006C1F15">
        <w:t>feeling the pressure of including</w:t>
      </w:r>
      <w:r>
        <w:t xml:space="preserve"> </w:t>
      </w:r>
      <w:r w:rsidRPr="006C1F15">
        <w:t>such greener practices in every aspect of their event planning</w:t>
      </w:r>
      <w:r>
        <w:t xml:space="preserve">. </w:t>
      </w:r>
    </w:p>
    <w:p w14:paraId="099736DF" w14:textId="77777777" w:rsidR="00C05E3B" w:rsidRDefault="00C05E3B" w:rsidP="00C05E3B"/>
    <w:p w14:paraId="0920CC00" w14:textId="77777777" w:rsidR="00C05E3B" w:rsidRPr="004318C4" w:rsidRDefault="00C05E3B" w:rsidP="00C05E3B">
      <w:pPr>
        <w:pStyle w:val="Heading1"/>
      </w:pPr>
      <w:bookmarkStart w:id="7" w:name="_Toc191324611"/>
      <w:r w:rsidRPr="004318C4">
        <w:t>Situational and Cultural Considerations</w:t>
      </w:r>
      <w:bookmarkEnd w:id="7"/>
    </w:p>
    <w:p w14:paraId="4A3EDE50" w14:textId="77777777" w:rsidR="00C05E3B" w:rsidRPr="000B674C" w:rsidRDefault="00C05E3B" w:rsidP="00C05E3B">
      <w:r w:rsidRPr="000B674C">
        <w:t xml:space="preserve">One good means to accomplish </w:t>
      </w:r>
      <w:r>
        <w:t xml:space="preserve">situational and Cultural Considerations </w:t>
      </w:r>
      <w:r w:rsidRPr="000B674C">
        <w:t xml:space="preserve">is to go through </w:t>
      </w:r>
      <w:r>
        <w:t>a SWOT analysis</w:t>
      </w:r>
      <w:r w:rsidRPr="000B674C">
        <w:t xml:space="preserve">, reflecting on what internal strengths and weaknesses </w:t>
      </w:r>
      <w:r>
        <w:t xml:space="preserve">are </w:t>
      </w:r>
      <w:r w:rsidRPr="000B674C">
        <w:t xml:space="preserve">compared to the external opportunities and threats, which will help go a long way to develop </w:t>
      </w:r>
      <w:r>
        <w:t xml:space="preserve">a </w:t>
      </w:r>
      <w:r w:rsidRPr="000B674C">
        <w:t xml:space="preserve">sense </w:t>
      </w:r>
      <w:r>
        <w:t xml:space="preserve">of </w:t>
      </w:r>
      <w:r w:rsidRPr="000B674C">
        <w:t>the most well-rounded strategic plan possible.</w:t>
      </w:r>
    </w:p>
    <w:p w14:paraId="68E37362" w14:textId="77777777" w:rsidR="00C05E3B" w:rsidRDefault="00C05E3B" w:rsidP="00C05E3B">
      <w:r w:rsidRPr="000B674C">
        <w:rPr>
          <w:b/>
          <w:bCs/>
        </w:rPr>
        <w:t>Strengths</w:t>
      </w:r>
      <w:r w:rsidRPr="000B674C">
        <w:t xml:space="preserve">: One of </w:t>
      </w:r>
      <w:r>
        <w:t>the strengths</w:t>
      </w:r>
      <w:r w:rsidRPr="000B674C">
        <w:t xml:space="preserve"> of the event is the explicit focus on EDI in the hospitality space. In an age where corporate responsibility and social justice are </w:t>
      </w:r>
      <w:r>
        <w:t>front of mind</w:t>
      </w:r>
      <w:r w:rsidRPr="000B674C">
        <w:t xml:space="preserve"> for many in the public discourse, the theme </w:t>
      </w:r>
      <w:r>
        <w:t>resonates powerfully</w:t>
      </w:r>
      <w:r w:rsidRPr="000B674C">
        <w:t xml:space="preserve"> across diverse backgrounds. Hybrid Format</w:t>
      </w:r>
      <w:r>
        <w:t>, e</w:t>
      </w:r>
      <w:r w:rsidRPr="000B674C">
        <w:t xml:space="preserve">nsuring accessibility and a balance for local as well </w:t>
      </w:r>
      <w:r>
        <w:t>as global</w:t>
      </w:r>
      <w:r w:rsidRPr="000B674C">
        <w:t xml:space="preserve"> participants, </w:t>
      </w:r>
      <w:r>
        <w:t>this format</w:t>
      </w:r>
      <w:r w:rsidRPr="000B674C">
        <w:t xml:space="preserve"> is a contemporary platform considering the current dynamics of digital engagement</w:t>
      </w:r>
      <w:r>
        <w:t xml:space="preserve"> (</w:t>
      </w:r>
      <w:r w:rsidRPr="00072ACF">
        <w:t>Puccinelli</w:t>
      </w:r>
      <w:r>
        <w:t xml:space="preserve"> et al., </w:t>
      </w:r>
      <w:r w:rsidRPr="00072ACF">
        <w:t>2022</w:t>
      </w:r>
      <w:r>
        <w:t>)</w:t>
      </w:r>
      <w:r w:rsidRPr="000B674C">
        <w:t>. Moreover,</w:t>
      </w:r>
      <w:r>
        <w:t xml:space="preserve"> </w:t>
      </w:r>
      <w:r w:rsidRPr="000B674C">
        <w:t xml:space="preserve">the Manchester Central Convention Complex, where the event </w:t>
      </w:r>
      <w:r>
        <w:t>will take</w:t>
      </w:r>
      <w:r w:rsidRPr="000B674C">
        <w:t xml:space="preserve"> place is known for its state-of-the-art facilities and accessibility features to support inclusivity, such as wheelchair access and sophisticated hearing loop systems. </w:t>
      </w:r>
    </w:p>
    <w:p w14:paraId="78CE6C03" w14:textId="77777777" w:rsidR="00C05E3B" w:rsidRPr="000B674C" w:rsidRDefault="00C05E3B" w:rsidP="00C05E3B">
      <w:r w:rsidRPr="000B674C">
        <w:rPr>
          <w:b/>
          <w:bCs/>
        </w:rPr>
        <w:t>Weaknesses</w:t>
      </w:r>
      <w:r w:rsidRPr="000B674C">
        <w:t xml:space="preserve">: </w:t>
      </w:r>
      <w:r>
        <w:t>A</w:t>
      </w:r>
      <w:r w:rsidRPr="000B674C">
        <w:t xml:space="preserve"> hybrid event requires a solid technical foundation </w:t>
      </w:r>
      <w:r>
        <w:t>and experts</w:t>
      </w:r>
      <w:r w:rsidRPr="000B674C">
        <w:t xml:space="preserve"> to ensure smooth coordination between the two environments</w:t>
      </w:r>
      <w:r>
        <w:t xml:space="preserve"> (</w:t>
      </w:r>
      <w:r w:rsidRPr="00FD21B7">
        <w:t>Sagar, 2024)</w:t>
      </w:r>
      <w:r w:rsidRPr="000B674C">
        <w:t>.</w:t>
      </w:r>
      <w:r>
        <w:t xml:space="preserve"> </w:t>
      </w:r>
      <w:r w:rsidRPr="000B674C">
        <w:t xml:space="preserve">Any absence of technical support may </w:t>
      </w:r>
      <w:r>
        <w:t>cause a</w:t>
      </w:r>
      <w:r w:rsidRPr="000B674C">
        <w:t xml:space="preserve"> lack of attendee experience through coordination</w:t>
      </w:r>
      <w:r>
        <w:t xml:space="preserve"> (</w:t>
      </w:r>
      <w:r w:rsidRPr="00693931">
        <w:t>Papageorgiou</w:t>
      </w:r>
      <w:r>
        <w:t xml:space="preserve"> </w:t>
      </w:r>
      <w:r w:rsidRPr="00693931">
        <w:t>and Chalkia, 2022</w:t>
      </w:r>
      <w:r>
        <w:t>)</w:t>
      </w:r>
      <w:r w:rsidRPr="000B674C">
        <w:t xml:space="preserve">. Additionally, this EDI focus may face backlash or </w:t>
      </w:r>
      <w:r>
        <w:t>criticism from</w:t>
      </w:r>
      <w:r w:rsidRPr="000B674C">
        <w:t xml:space="preserve"> less progressive employees, or industries that are less experienced with such initiatives which may, as a result, impact participation rates.</w:t>
      </w:r>
    </w:p>
    <w:p w14:paraId="2212A122" w14:textId="77777777" w:rsidR="00C05E3B" w:rsidRPr="004318C4" w:rsidRDefault="00C05E3B" w:rsidP="00C05E3B">
      <w:r w:rsidRPr="000B674C">
        <w:rPr>
          <w:b/>
          <w:bCs/>
        </w:rPr>
        <w:t>Opportunities</w:t>
      </w:r>
      <w:r w:rsidRPr="004318C4">
        <w:t xml:space="preserve">: Moving outwards, </w:t>
      </w:r>
      <w:r>
        <w:t>the global</w:t>
      </w:r>
      <w:r w:rsidRPr="004318C4">
        <w:t xml:space="preserve"> trend towards social justice and inclusive practices is a perfect opportunity for the event</w:t>
      </w:r>
      <w:r>
        <w:t xml:space="preserve"> (</w:t>
      </w:r>
      <w:r w:rsidRPr="00693931">
        <w:t>Theoharis, 2024</w:t>
      </w:r>
      <w:r>
        <w:t>)</w:t>
      </w:r>
      <w:r w:rsidRPr="004318C4">
        <w:t xml:space="preserve">. There is a growing need </w:t>
      </w:r>
      <w:r>
        <w:t>among professionals</w:t>
      </w:r>
      <w:r w:rsidRPr="004318C4">
        <w:t xml:space="preserve"> and organizations to know and practice effective EDI strategies. This generates </w:t>
      </w:r>
      <w:r>
        <w:t>a large</w:t>
      </w:r>
      <w:r w:rsidRPr="004318C4">
        <w:t xml:space="preserve"> market for workshops, keynotes, and networking sessions on systemic change. Partnering with industry leaders and DEI experts will also enhance the </w:t>
      </w:r>
      <w:r>
        <w:t>credibility and</w:t>
      </w:r>
      <w:r w:rsidRPr="004318C4">
        <w:t xml:space="preserve"> reach of the event. </w:t>
      </w:r>
    </w:p>
    <w:p w14:paraId="3FBC5A83" w14:textId="77777777" w:rsidR="00C05E3B" w:rsidRPr="004318C4" w:rsidRDefault="00C05E3B" w:rsidP="00C05E3B">
      <w:r w:rsidRPr="000B674C">
        <w:rPr>
          <w:b/>
          <w:bCs/>
        </w:rPr>
        <w:lastRenderedPageBreak/>
        <w:t>Threats</w:t>
      </w:r>
      <w:r w:rsidRPr="004318C4">
        <w:t xml:space="preserve">: Externally the potential threats are many with a </w:t>
      </w:r>
      <w:r>
        <w:t>potentially</w:t>
      </w:r>
      <w:r w:rsidRPr="004318C4">
        <w:t xml:space="preserve"> crowded market where competing EDI or diversity summits are held at the same time, </w:t>
      </w:r>
      <w:r>
        <w:t>notably those</w:t>
      </w:r>
      <w:r w:rsidRPr="004318C4">
        <w:t xml:space="preserve"> held by larger HR or industry associations</w:t>
      </w:r>
      <w:r>
        <w:t xml:space="preserve"> (</w:t>
      </w:r>
      <w:r w:rsidRPr="006D7CC0">
        <w:t>Fu and Mahony</w:t>
      </w:r>
      <w:r>
        <w:t xml:space="preserve">, </w:t>
      </w:r>
      <w:r w:rsidRPr="006D7CC0">
        <w:t>2024</w:t>
      </w:r>
      <w:r>
        <w:t>)</w:t>
      </w:r>
      <w:r w:rsidRPr="004318C4">
        <w:t xml:space="preserve">. The economic uncertainties and budget-strapped potential sponsors and attendees may hinder </w:t>
      </w:r>
      <w:r>
        <w:t>participation as</w:t>
      </w:r>
      <w:r w:rsidRPr="004318C4">
        <w:t xml:space="preserve"> well. The event’s messaging will need to be carefully curated to resonate with wider industry stakeholders to avoid backlash from cultural resistance </w:t>
      </w:r>
      <w:r>
        <w:t>present in</w:t>
      </w:r>
      <w:r w:rsidRPr="004318C4">
        <w:t xml:space="preserve"> some areas of the industry.</w:t>
      </w:r>
    </w:p>
    <w:p w14:paraId="37E9202B" w14:textId="77777777" w:rsidR="00C05E3B" w:rsidRDefault="00C05E3B" w:rsidP="00C05E3B">
      <w:r w:rsidRPr="003F2808">
        <w:rPr>
          <w:b/>
          <w:bCs/>
        </w:rPr>
        <w:t>Cultural Considerations</w:t>
      </w:r>
      <w:r>
        <w:t>: Particularly around the cultural dimension, is particularly relevant in the context of the focus of the event on EDI. Comprehending local sentiment on diversity, showcasing a range of voices, and populating culturally sensitive material are essential when trying to win a wider audience. The event will have to deal with different social norms and potential barriers to communication so it will be important that everything from the sessions to the marketing communications are inclusive. Not only that, but these elements increase engagement and credibility in the message of the event itself.</w:t>
      </w:r>
    </w:p>
    <w:p w14:paraId="0583DD87" w14:textId="77777777" w:rsidR="00C05E3B" w:rsidRDefault="00C05E3B" w:rsidP="00C05E3B">
      <w:r>
        <w:t>To wrap it up, it does seem that the SWOT analysis would be the tool in the hands of the planning team to overcome some of the situational or cultural challenges in rolling out a landmark event like “Hospitality for All: Driving Equality, Diversity, and Inclusion.” By addressing these factors strategically, the society can not only ensure that the event is successful from an operational standpoint, but also that it is culturally relevant and impactful, so that it may create lasting benefits.</w:t>
      </w:r>
    </w:p>
    <w:p w14:paraId="2ED63798" w14:textId="77777777" w:rsidR="00C05E3B" w:rsidRDefault="00C05E3B" w:rsidP="00C05E3B"/>
    <w:p w14:paraId="2751C4C1" w14:textId="0D012E92" w:rsidR="00C05E3B" w:rsidRDefault="00C05E3B" w:rsidP="005522C0"/>
    <w:p w14:paraId="01644C9E" w14:textId="6931AD3D" w:rsidR="00DA1D0E" w:rsidRDefault="00DA1D0E" w:rsidP="005522C0"/>
    <w:p w14:paraId="31CFF7AB" w14:textId="77777777" w:rsidR="00503AAE" w:rsidRDefault="00503AAE" w:rsidP="005522C0"/>
    <w:p w14:paraId="34C61775" w14:textId="2E7EA179" w:rsidR="00DA1D0E" w:rsidRDefault="00DA1D0E" w:rsidP="005522C0"/>
    <w:p w14:paraId="4B055AC0" w14:textId="27774FA5" w:rsidR="00DA1D0E" w:rsidRDefault="00DA1D0E" w:rsidP="005522C0"/>
    <w:p w14:paraId="273722E4" w14:textId="5B319183" w:rsidR="00DA1D0E" w:rsidRDefault="00DA1D0E" w:rsidP="00DA1D0E">
      <w:pPr>
        <w:pStyle w:val="Heading1"/>
      </w:pPr>
      <w:bookmarkStart w:id="8" w:name="_Toc191324612"/>
      <w:r>
        <w:lastRenderedPageBreak/>
        <w:t>References</w:t>
      </w:r>
      <w:bookmarkEnd w:id="8"/>
    </w:p>
    <w:p w14:paraId="2B4E9CAD" w14:textId="77777777" w:rsidR="00D81491" w:rsidRPr="00C727DA" w:rsidRDefault="00D81491" w:rsidP="00D81491">
      <w:bookmarkStart w:id="9" w:name="_Hlk191323785"/>
      <w:bookmarkStart w:id="10" w:name="_Hlk191322978"/>
      <w:bookmarkStart w:id="11" w:name="_Hlk191321130"/>
      <w:r w:rsidRPr="00C727DA">
        <w:t>Anwar, I. (2024)</w:t>
      </w:r>
      <w:bookmarkEnd w:id="9"/>
      <w:r w:rsidRPr="00C727DA">
        <w:t>. </w:t>
      </w:r>
      <w:r w:rsidRPr="00C727DA">
        <w:rPr>
          <w:i/>
          <w:iCs/>
        </w:rPr>
        <w:t>The 5 Stages of the Project Management Life Cycle.</w:t>
      </w:r>
      <w:r w:rsidRPr="00C727DA">
        <w:t>, </w:t>
      </w:r>
      <w:r w:rsidRPr="00C727DA">
        <w:rPr>
          <w:i/>
          <w:iCs/>
        </w:rPr>
        <w:t>LinkedIn</w:t>
      </w:r>
      <w:r w:rsidRPr="00C727DA">
        <w:t>. Available at: https://www.linkedin.com/pulse/5-stages-project-management-life-cycle-imran-anwar-uvmje/ (Accessed: 18 February 2025).</w:t>
      </w:r>
    </w:p>
    <w:p w14:paraId="01DD5625" w14:textId="77777777" w:rsidR="00D81491" w:rsidRPr="00C727DA" w:rsidRDefault="00D81491" w:rsidP="00D81491">
      <w:r w:rsidRPr="00C727DA">
        <w:t>Bardhan, N. and Gower, K., (2022)</w:t>
      </w:r>
      <w:bookmarkEnd w:id="10"/>
      <w:r w:rsidRPr="00C727DA">
        <w:t>. </w:t>
      </w:r>
      <w:r w:rsidRPr="00C727DA">
        <w:rPr>
          <w:i/>
          <w:iCs/>
        </w:rPr>
        <w:t>The role of leadership in building inclusive diversity in public relations</w:t>
      </w:r>
      <w:r w:rsidRPr="00C727DA">
        <w:t>. Routledge.</w:t>
      </w:r>
    </w:p>
    <w:p w14:paraId="233E6CE2" w14:textId="77777777" w:rsidR="00D81491" w:rsidRPr="00C727DA" w:rsidRDefault="00D81491" w:rsidP="00D81491">
      <w:r w:rsidRPr="00C727DA">
        <w:t>Bladen, C., Kennell, J., Abson, E. and Wilde, N., (2022)</w:t>
      </w:r>
      <w:bookmarkEnd w:id="11"/>
      <w:r w:rsidRPr="00C727DA">
        <w:t>. </w:t>
      </w:r>
      <w:r w:rsidRPr="00C727DA">
        <w:rPr>
          <w:i/>
          <w:iCs/>
        </w:rPr>
        <w:t>Events management: An introduction</w:t>
      </w:r>
      <w:r w:rsidRPr="00C727DA">
        <w:t>. Routledge.</w:t>
      </w:r>
    </w:p>
    <w:p w14:paraId="2CE3F0B9" w14:textId="77777777" w:rsidR="00D81491" w:rsidRPr="00C727DA" w:rsidRDefault="00D81491" w:rsidP="00D81491">
      <w:bookmarkStart w:id="12" w:name="_Hlk191322537"/>
      <w:r w:rsidRPr="00C727DA">
        <w:t xml:space="preserve">Bowdin, G.A., Allen, J., Harris, R., Jago, L., </w:t>
      </w:r>
      <w:proofErr w:type="spellStart"/>
      <w:r w:rsidRPr="00C727DA">
        <w:t>O'toole</w:t>
      </w:r>
      <w:proofErr w:type="spellEnd"/>
      <w:r w:rsidRPr="00C727DA">
        <w:t>, W. and McDonnell, I., (2023).</w:t>
      </w:r>
      <w:bookmarkEnd w:id="12"/>
      <w:r w:rsidRPr="00C727DA">
        <w:t> </w:t>
      </w:r>
      <w:r w:rsidRPr="00C727DA">
        <w:rPr>
          <w:i/>
          <w:iCs/>
        </w:rPr>
        <w:t>Events management</w:t>
      </w:r>
      <w:r w:rsidRPr="00C727DA">
        <w:t>. Routledge.</w:t>
      </w:r>
    </w:p>
    <w:p w14:paraId="3F96B2C9" w14:textId="77777777" w:rsidR="00D81491" w:rsidRPr="00C727DA" w:rsidRDefault="00D81491" w:rsidP="00D81491">
      <w:bookmarkStart w:id="13" w:name="_Hlk191323060"/>
      <w:r w:rsidRPr="00C727DA">
        <w:t>Cao, X., (2023)</w:t>
      </w:r>
      <w:bookmarkEnd w:id="13"/>
      <w:r w:rsidRPr="00C727DA">
        <w:t>. SDG 8, decent work, and post-COVID recovery: policy implications, challenges, and opportunities in the UK. </w:t>
      </w:r>
      <w:r w:rsidRPr="00C727DA">
        <w:rPr>
          <w:i/>
          <w:iCs/>
        </w:rPr>
        <w:t>SDGs in the European Region</w:t>
      </w:r>
      <w:r w:rsidRPr="00C727DA">
        <w:t>, pp.101-126.</w:t>
      </w:r>
    </w:p>
    <w:p w14:paraId="1355B119" w14:textId="77777777" w:rsidR="00D81491" w:rsidRPr="00C727DA" w:rsidRDefault="00D81491" w:rsidP="00D81491">
      <w:bookmarkStart w:id="14" w:name="_Hlk191322483"/>
      <w:r w:rsidRPr="00C727DA">
        <w:t xml:space="preserve">Doran, A.L., Dutch, V., Warren, B., Watson, R.A., Murphy, K., Aldis, A., Cooper, I., Cockram, C., Harp, D., </w:t>
      </w:r>
      <w:proofErr w:type="spellStart"/>
      <w:r w:rsidRPr="00C727DA">
        <w:t>Desmau</w:t>
      </w:r>
      <w:proofErr w:type="spellEnd"/>
      <w:r w:rsidRPr="00C727DA">
        <w:t>, M. and Keppler, L., (2024)</w:t>
      </w:r>
      <w:bookmarkEnd w:id="14"/>
      <w:r w:rsidRPr="00C727DA">
        <w:t>. Planning virtual and hybrid events: steps to improve inclusion and accessibility. </w:t>
      </w:r>
      <w:r w:rsidRPr="00C727DA">
        <w:rPr>
          <w:i/>
          <w:iCs/>
        </w:rPr>
        <w:t>Geoscience Communication</w:t>
      </w:r>
      <w:r w:rsidRPr="00C727DA">
        <w:t>, </w:t>
      </w:r>
      <w:r w:rsidRPr="00C727DA">
        <w:rPr>
          <w:i/>
          <w:iCs/>
        </w:rPr>
        <w:t>7</w:t>
      </w:r>
      <w:r w:rsidRPr="00C727DA">
        <w:t>(4), pp.227-244.</w:t>
      </w:r>
    </w:p>
    <w:p w14:paraId="5977CB05" w14:textId="77777777" w:rsidR="00D81491" w:rsidRPr="00C727DA" w:rsidRDefault="00D81491" w:rsidP="00D81491">
      <w:bookmarkStart w:id="15" w:name="_Hlk191322891"/>
      <w:r w:rsidRPr="00C727DA">
        <w:t>Fu, Y. and Mahony, S., (2024)</w:t>
      </w:r>
      <w:bookmarkEnd w:id="15"/>
      <w:r w:rsidRPr="00C727DA">
        <w:t>. Toward implementing equality, diversity, and inclusion for virtual conferences within the LIS professions. </w:t>
      </w:r>
      <w:r w:rsidRPr="00C727DA">
        <w:rPr>
          <w:i/>
          <w:iCs/>
        </w:rPr>
        <w:t>Journal of Librarianship and Information Science</w:t>
      </w:r>
      <w:r w:rsidRPr="00C727DA">
        <w:t>, </w:t>
      </w:r>
      <w:r w:rsidRPr="00C727DA">
        <w:rPr>
          <w:i/>
          <w:iCs/>
        </w:rPr>
        <w:t>56</w:t>
      </w:r>
      <w:r w:rsidRPr="00C727DA">
        <w:t>(3), pp.728-742.</w:t>
      </w:r>
    </w:p>
    <w:p w14:paraId="63B46ED5" w14:textId="77777777" w:rsidR="00D81491" w:rsidRPr="00C727DA" w:rsidRDefault="00D81491" w:rsidP="00D81491">
      <w:bookmarkStart w:id="16" w:name="_Hlk191322438"/>
      <w:r w:rsidRPr="00C727DA">
        <w:t>Getz, D., (2025)</w:t>
      </w:r>
      <w:bookmarkEnd w:id="16"/>
      <w:r w:rsidRPr="00C727DA">
        <w:t>. Festival and event tourism. In </w:t>
      </w:r>
      <w:r w:rsidRPr="00C727DA">
        <w:rPr>
          <w:i/>
          <w:iCs/>
        </w:rPr>
        <w:t>Encyclopedia of tourism</w:t>
      </w:r>
      <w:r w:rsidRPr="00C727DA">
        <w:t> (pp. 391-395). Cham: Springer Nature Switzerland.</w:t>
      </w:r>
    </w:p>
    <w:p w14:paraId="1C0CD06D" w14:textId="77777777" w:rsidR="00D81491" w:rsidRPr="00C727DA" w:rsidRDefault="00D81491" w:rsidP="00D81491">
      <w:bookmarkStart w:id="17" w:name="_Hlk191321230"/>
      <w:r w:rsidRPr="00C727DA">
        <w:t>Irfan, M., Khan, S.Z., Hassan, N., Hassan, M., Habib, M., Khan, S. and Khan, H.H., (2021)</w:t>
      </w:r>
      <w:bookmarkEnd w:id="17"/>
      <w:r w:rsidRPr="00C727DA">
        <w:t>. Role of project planning and project manager competencies on public sector project success. </w:t>
      </w:r>
      <w:r w:rsidRPr="00C727DA">
        <w:rPr>
          <w:i/>
          <w:iCs/>
        </w:rPr>
        <w:t>Sustainability</w:t>
      </w:r>
      <w:r w:rsidRPr="00C727DA">
        <w:t>, </w:t>
      </w:r>
      <w:r w:rsidRPr="00C727DA">
        <w:rPr>
          <w:i/>
          <w:iCs/>
        </w:rPr>
        <w:t>13</w:t>
      </w:r>
      <w:r w:rsidRPr="00C727DA">
        <w:t>(3), p.1421.</w:t>
      </w:r>
    </w:p>
    <w:p w14:paraId="32A4A06B" w14:textId="77777777" w:rsidR="00D81491" w:rsidRPr="00C727DA" w:rsidRDefault="00D81491" w:rsidP="00D81491">
      <w:bookmarkStart w:id="18" w:name="_Hlk191323900"/>
      <w:r w:rsidRPr="00C727DA">
        <w:t>Kerzner, H., (2025)</w:t>
      </w:r>
      <w:bookmarkEnd w:id="18"/>
      <w:r w:rsidRPr="00C727DA">
        <w:t>. </w:t>
      </w:r>
      <w:r w:rsidRPr="00C727DA">
        <w:rPr>
          <w:i/>
          <w:iCs/>
        </w:rPr>
        <w:t>Project management: a systems approach to planning, scheduling, and controlling</w:t>
      </w:r>
      <w:r w:rsidRPr="00C727DA">
        <w:t>. John Wiley &amp; Sons.</w:t>
      </w:r>
    </w:p>
    <w:p w14:paraId="70AAF2E6" w14:textId="77777777" w:rsidR="00D81491" w:rsidRPr="00C727DA" w:rsidRDefault="00D81491" w:rsidP="00D81491">
      <w:bookmarkStart w:id="19" w:name="_Hlk191322356"/>
      <w:r w:rsidRPr="00C727DA">
        <w:lastRenderedPageBreak/>
        <w:t>Mahadewi, (2023)</w:t>
      </w:r>
      <w:bookmarkEnd w:id="19"/>
      <w:r w:rsidRPr="00C727DA">
        <w:t>. Hybrid Event: Utilization of Digital Technology in Organizing Events during the COVID-19 Pandemic in Indonesia. In </w:t>
      </w:r>
      <w:r w:rsidRPr="00C727DA">
        <w:rPr>
          <w:i/>
          <w:iCs/>
        </w:rPr>
        <w:t>Proceedings</w:t>
      </w:r>
      <w:r w:rsidRPr="00C727DA">
        <w:t> (Vol. 83, No. 1, p. 53). MDPI.</w:t>
      </w:r>
    </w:p>
    <w:p w14:paraId="69354D13" w14:textId="77777777" w:rsidR="00D81491" w:rsidRPr="00C727DA" w:rsidRDefault="00D81491" w:rsidP="00D81491">
      <w:bookmarkStart w:id="20" w:name="_Hlk191323954"/>
      <w:bookmarkStart w:id="21" w:name="_Hlk191322812"/>
      <w:proofErr w:type="spellStart"/>
      <w:r w:rsidRPr="00C727DA">
        <w:t>Onabokun</w:t>
      </w:r>
      <w:proofErr w:type="spellEnd"/>
      <w:r w:rsidRPr="00C727DA">
        <w:t>, T.O., (2024)</w:t>
      </w:r>
      <w:bookmarkEnd w:id="20"/>
      <w:r w:rsidRPr="00C727DA">
        <w:t>. Developing a Social Media Marketing Strategy on Instagram for a Small-Scale Event Company: blossom-world Events Company.</w:t>
      </w:r>
    </w:p>
    <w:p w14:paraId="3CDAC4EB" w14:textId="77777777" w:rsidR="00D81491" w:rsidRPr="00C727DA" w:rsidRDefault="00D81491" w:rsidP="00D81491">
      <w:r w:rsidRPr="00C727DA">
        <w:t>Papageorgiou, A. and Chalkia, A., (2022)</w:t>
      </w:r>
      <w:bookmarkEnd w:id="21"/>
      <w:r w:rsidRPr="00C727DA">
        <w:t>. Hybrid events and congresses and their impact on the Greek meetings industry. In </w:t>
      </w:r>
      <w:r w:rsidRPr="00C727DA">
        <w:rPr>
          <w:i/>
          <w:iCs/>
        </w:rPr>
        <w:t>International Conference of the International Association of Cultural and Digital Tourism</w:t>
      </w:r>
      <w:r w:rsidRPr="00C727DA">
        <w:t> (pp. 737-745). Cham: Springer International Publishing.</w:t>
      </w:r>
    </w:p>
    <w:p w14:paraId="2FC13E3E" w14:textId="77777777" w:rsidR="00D81491" w:rsidRPr="00C727DA" w:rsidRDefault="00D81491" w:rsidP="00D81491">
      <w:bookmarkStart w:id="22" w:name="_Hlk191322668"/>
      <w:r w:rsidRPr="00C727DA">
        <w:t xml:space="preserve">Puccinelli, E., </w:t>
      </w:r>
      <w:proofErr w:type="spellStart"/>
      <w:r w:rsidRPr="00C727DA">
        <w:t>Zeppilli</w:t>
      </w:r>
      <w:proofErr w:type="spellEnd"/>
      <w:r w:rsidRPr="00C727DA">
        <w:t xml:space="preserve">, D., </w:t>
      </w:r>
      <w:proofErr w:type="spellStart"/>
      <w:r w:rsidRPr="00C727DA">
        <w:t>Stefanoudis</w:t>
      </w:r>
      <w:proofErr w:type="spellEnd"/>
      <w:r w:rsidRPr="00C727DA">
        <w:t xml:space="preserve">, P.V., </w:t>
      </w:r>
      <w:proofErr w:type="spellStart"/>
      <w:r w:rsidRPr="00C727DA">
        <w:t>Wittische</w:t>
      </w:r>
      <w:proofErr w:type="spellEnd"/>
      <w:r w:rsidRPr="00C727DA">
        <w:t>-Helou, A., Kermorgant, M., Fuchs, S., Menot, L., Easton, E.E. and Weber, A.A., (2022)</w:t>
      </w:r>
      <w:bookmarkEnd w:id="22"/>
      <w:r w:rsidRPr="00C727DA">
        <w:t>. Hybrid conferences: opportunities, challenges and ways forward. </w:t>
      </w:r>
      <w:r w:rsidRPr="00C727DA">
        <w:rPr>
          <w:i/>
          <w:iCs/>
        </w:rPr>
        <w:t>Frontiers in Marine Science</w:t>
      </w:r>
      <w:r w:rsidRPr="00C727DA">
        <w:t>, </w:t>
      </w:r>
      <w:r w:rsidRPr="00C727DA">
        <w:rPr>
          <w:i/>
          <w:iCs/>
        </w:rPr>
        <w:t>9</w:t>
      </w:r>
      <w:r w:rsidRPr="00C727DA">
        <w:t>, p.902772.</w:t>
      </w:r>
    </w:p>
    <w:p w14:paraId="237DA652" w14:textId="77777777" w:rsidR="00D81491" w:rsidRPr="00C727DA" w:rsidRDefault="00D81491" w:rsidP="00D81491">
      <w:bookmarkStart w:id="23" w:name="_Hlk191321192"/>
      <w:r w:rsidRPr="00C727DA">
        <w:t xml:space="preserve">Roussos, G., </w:t>
      </w:r>
      <w:proofErr w:type="spellStart"/>
      <w:r w:rsidRPr="00C727DA">
        <w:t>Charidimou</w:t>
      </w:r>
      <w:proofErr w:type="spellEnd"/>
      <w:r w:rsidRPr="00C727DA">
        <w:t xml:space="preserve">, D., Kalfa, V., </w:t>
      </w:r>
      <w:proofErr w:type="spellStart"/>
      <w:r w:rsidRPr="00C727DA">
        <w:t>Petalotis</w:t>
      </w:r>
      <w:proofErr w:type="spellEnd"/>
      <w:r w:rsidRPr="00C727DA">
        <w:t xml:space="preserve">, A. and </w:t>
      </w:r>
      <w:proofErr w:type="spellStart"/>
      <w:r w:rsidRPr="00C727DA">
        <w:t>Agorogianni</w:t>
      </w:r>
      <w:proofErr w:type="spellEnd"/>
      <w:r w:rsidRPr="00C727DA">
        <w:t>, A., (2022)</w:t>
      </w:r>
      <w:bookmarkEnd w:id="23"/>
      <w:r w:rsidRPr="00C727DA">
        <w:t>. Deliver knowledge in a Digital World: Successfully Livestream In-Person, Virtual or Hybrid large-scale educational events-Challenges and best practices. </w:t>
      </w:r>
      <w:r w:rsidRPr="00C727DA">
        <w:rPr>
          <w:i/>
          <w:iCs/>
        </w:rPr>
        <w:t>European Journal of Higher Education IT</w:t>
      </w:r>
      <w:r w:rsidRPr="00C727DA">
        <w:t>, pp.2519-176.</w:t>
      </w:r>
    </w:p>
    <w:p w14:paraId="26624A71" w14:textId="77777777" w:rsidR="00D81491" w:rsidRPr="00C727DA" w:rsidRDefault="00D81491" w:rsidP="00D81491">
      <w:bookmarkStart w:id="24" w:name="_Hlk191321311"/>
      <w:r w:rsidRPr="00C727DA">
        <w:t>Saarinen, K. (2025)</w:t>
      </w:r>
      <w:bookmarkEnd w:id="24"/>
      <w:r w:rsidRPr="00C727DA">
        <w:t>. </w:t>
      </w:r>
      <w:r w:rsidRPr="00C727DA">
        <w:rPr>
          <w:i/>
          <w:iCs/>
        </w:rPr>
        <w:t>Everything You Need to Know About Event Marketing</w:t>
      </w:r>
      <w:r w:rsidRPr="00C727DA">
        <w:t>, </w:t>
      </w:r>
      <w:r w:rsidRPr="00C727DA">
        <w:rPr>
          <w:i/>
          <w:iCs/>
        </w:rPr>
        <w:t>Lyyti</w:t>
      </w:r>
      <w:r w:rsidRPr="00C727DA">
        <w:t>. Lyyti. Available at: https://www.lyyti.com/en/blog/everything-you-need-to-know-about-event-marketing (Accessed: 21 February 2025).</w:t>
      </w:r>
    </w:p>
    <w:p w14:paraId="23CEA2CD" w14:textId="77777777" w:rsidR="00D81491" w:rsidRPr="00C727DA" w:rsidRDefault="00D81491" w:rsidP="00D81491">
      <w:bookmarkStart w:id="25" w:name="_Hlk191322756"/>
      <w:r w:rsidRPr="00C727DA">
        <w:t>Sagar, P. (2024)</w:t>
      </w:r>
      <w:bookmarkEnd w:id="25"/>
      <w:r w:rsidRPr="00C727DA">
        <w:t>. </w:t>
      </w:r>
      <w:r w:rsidRPr="00C727DA">
        <w:rPr>
          <w:i/>
          <w:iCs/>
        </w:rPr>
        <w:t xml:space="preserve">The Ultimate Hybrid Event Planning Guide for Seamless Execution: </w:t>
      </w:r>
      <w:proofErr w:type="spellStart"/>
      <w:r w:rsidRPr="00C727DA">
        <w:rPr>
          <w:i/>
          <w:iCs/>
        </w:rPr>
        <w:t>Zuddl</w:t>
      </w:r>
      <w:proofErr w:type="spellEnd"/>
      <w:r w:rsidRPr="00C727DA">
        <w:t>, </w:t>
      </w:r>
      <w:r w:rsidRPr="00C727DA">
        <w:rPr>
          <w:i/>
          <w:iCs/>
        </w:rPr>
        <w:t>RSS</w:t>
      </w:r>
      <w:r w:rsidRPr="00C727DA">
        <w:t xml:space="preserve">. </w:t>
      </w:r>
      <w:proofErr w:type="spellStart"/>
      <w:r w:rsidRPr="00C727DA">
        <w:t>Zuddl</w:t>
      </w:r>
      <w:proofErr w:type="spellEnd"/>
      <w:r w:rsidRPr="00C727DA">
        <w:t>. Available at: https://www.zuddl.com/blog/back-to-the-basics-the-ultimate-guide-on-how-to-set-up-your-first-hybrid-event-step-by-step (Accessed: 20 February 2025).</w:t>
      </w:r>
    </w:p>
    <w:p w14:paraId="49484C78" w14:textId="77777777" w:rsidR="00D81491" w:rsidRPr="00C727DA" w:rsidRDefault="00D81491" w:rsidP="00D81491">
      <w:bookmarkStart w:id="26" w:name="_Hlk191323866"/>
      <w:bookmarkStart w:id="27" w:name="_Hlk191324127"/>
      <w:r w:rsidRPr="00C727DA">
        <w:t>Santos, J.A.C., Fernández-</w:t>
      </w:r>
      <w:proofErr w:type="spellStart"/>
      <w:r w:rsidRPr="00C727DA">
        <w:t>Gámez</w:t>
      </w:r>
      <w:proofErr w:type="spellEnd"/>
      <w:r w:rsidRPr="00C727DA">
        <w:t>, M.A., Puig-Cabrera, M. and Santos, M.C., (2024)</w:t>
      </w:r>
      <w:bookmarkEnd w:id="26"/>
      <w:r w:rsidRPr="00C727DA">
        <w:t>.</w:t>
      </w:r>
      <w:bookmarkEnd w:id="27"/>
      <w:r w:rsidRPr="00C727DA">
        <w:t xml:space="preserve"> Sustainability in business events: How hybrid formats shape attendee decision-making. </w:t>
      </w:r>
      <w:r w:rsidRPr="00C727DA">
        <w:rPr>
          <w:i/>
          <w:iCs/>
        </w:rPr>
        <w:t>Journal of Tourism and Services</w:t>
      </w:r>
      <w:r w:rsidRPr="00C727DA">
        <w:t>, </w:t>
      </w:r>
      <w:r w:rsidRPr="00C727DA">
        <w:rPr>
          <w:i/>
          <w:iCs/>
        </w:rPr>
        <w:t>15</w:t>
      </w:r>
      <w:r w:rsidRPr="00C727DA">
        <w:t>(29), pp.320-348.</w:t>
      </w:r>
    </w:p>
    <w:p w14:paraId="75AA61B2" w14:textId="77777777" w:rsidR="00D81491" w:rsidRPr="00C727DA" w:rsidRDefault="00D81491" w:rsidP="00D81491">
      <w:bookmarkStart w:id="28" w:name="_Hlk191322604"/>
      <w:r w:rsidRPr="00C727DA">
        <w:t>Shahzad, M.F., Xu, S., An, X., Asif, M. and Jafri, M.A.H., (2024)</w:t>
      </w:r>
      <w:bookmarkEnd w:id="28"/>
      <w:r w:rsidRPr="00C727DA">
        <w:t xml:space="preserve">. Effect of stakeholder pressure on environmental performance: Do virtual CSR, green credit, environmental and social reputation </w:t>
      </w:r>
      <w:proofErr w:type="gramStart"/>
      <w:r w:rsidRPr="00C727DA">
        <w:t>matter?.</w:t>
      </w:r>
      <w:proofErr w:type="gramEnd"/>
      <w:r w:rsidRPr="00C727DA">
        <w:t> </w:t>
      </w:r>
      <w:r w:rsidRPr="00C727DA">
        <w:rPr>
          <w:i/>
          <w:iCs/>
        </w:rPr>
        <w:t>Journal of Environmental Management</w:t>
      </w:r>
      <w:r w:rsidRPr="00C727DA">
        <w:t>, </w:t>
      </w:r>
      <w:r w:rsidRPr="00C727DA">
        <w:rPr>
          <w:i/>
          <w:iCs/>
        </w:rPr>
        <w:t>368</w:t>
      </w:r>
      <w:r w:rsidRPr="00C727DA">
        <w:t>, p.122223.</w:t>
      </w:r>
    </w:p>
    <w:p w14:paraId="17A836E5" w14:textId="74012B12" w:rsidR="00D81491" w:rsidRPr="00D81491" w:rsidRDefault="00D81491" w:rsidP="00D81491">
      <w:bookmarkStart w:id="29" w:name="_Hlk191322852"/>
      <w:r w:rsidRPr="00C727DA">
        <w:t>Theoharis, G., (2024)</w:t>
      </w:r>
      <w:bookmarkEnd w:id="29"/>
      <w:r w:rsidRPr="00C727DA">
        <w:t>. </w:t>
      </w:r>
      <w:r w:rsidRPr="00C727DA">
        <w:rPr>
          <w:i/>
          <w:iCs/>
        </w:rPr>
        <w:t>The school leaders our children deserve: Seven keys to equity, social justice, and school reform</w:t>
      </w:r>
      <w:r w:rsidRPr="00C727DA">
        <w:t>. Teachers College Press.</w:t>
      </w:r>
    </w:p>
    <w:sectPr w:rsidR="00D81491" w:rsidRPr="00D81491" w:rsidSect="00FC5A2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82C44" w14:textId="77777777" w:rsidR="007C610E" w:rsidRDefault="007C610E" w:rsidP="00FC5A26">
      <w:pPr>
        <w:spacing w:after="0" w:line="240" w:lineRule="auto"/>
      </w:pPr>
      <w:r>
        <w:separator/>
      </w:r>
    </w:p>
  </w:endnote>
  <w:endnote w:type="continuationSeparator" w:id="0">
    <w:p w14:paraId="15BBA572" w14:textId="77777777" w:rsidR="007C610E" w:rsidRDefault="007C610E" w:rsidP="00FC5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38789"/>
      <w:docPartObj>
        <w:docPartGallery w:val="Page Numbers (Bottom of Page)"/>
        <w:docPartUnique/>
      </w:docPartObj>
    </w:sdtPr>
    <w:sdtEndPr>
      <w:rPr>
        <w:noProof/>
      </w:rPr>
    </w:sdtEndPr>
    <w:sdtContent>
      <w:p w14:paraId="2594B9F7" w14:textId="4ECBF7C0" w:rsidR="00FC5A26" w:rsidRDefault="00FC5A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885B0" w14:textId="77777777" w:rsidR="00FC5A26" w:rsidRDefault="00FC5A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61279"/>
      <w:docPartObj>
        <w:docPartGallery w:val="Page Numbers (Bottom of Page)"/>
        <w:docPartUnique/>
      </w:docPartObj>
    </w:sdtPr>
    <w:sdtEndPr>
      <w:rPr>
        <w:noProof/>
      </w:rPr>
    </w:sdtEndPr>
    <w:sdtContent>
      <w:p w14:paraId="5296353F" w14:textId="7F4B2C59" w:rsidR="00FC5A26" w:rsidRDefault="00FC5A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4A4C6C" w14:textId="77777777" w:rsidR="00FC5A26" w:rsidRDefault="00FC5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9E3CA" w14:textId="77777777" w:rsidR="007C610E" w:rsidRDefault="007C610E" w:rsidP="00FC5A26">
      <w:pPr>
        <w:spacing w:after="0" w:line="240" w:lineRule="auto"/>
      </w:pPr>
      <w:r>
        <w:separator/>
      </w:r>
    </w:p>
  </w:footnote>
  <w:footnote w:type="continuationSeparator" w:id="0">
    <w:p w14:paraId="7991B2F3" w14:textId="77777777" w:rsidR="007C610E" w:rsidRDefault="007C610E" w:rsidP="00FC5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821E8"/>
    <w:multiLevelType w:val="multilevel"/>
    <w:tmpl w:val="D4F2C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5118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27C"/>
    <w:rsid w:val="000B7E4C"/>
    <w:rsid w:val="000F4D2C"/>
    <w:rsid w:val="00197709"/>
    <w:rsid w:val="001E1922"/>
    <w:rsid w:val="001F7E1D"/>
    <w:rsid w:val="00200E6B"/>
    <w:rsid w:val="0025485E"/>
    <w:rsid w:val="004048B9"/>
    <w:rsid w:val="0042727C"/>
    <w:rsid w:val="00503AAE"/>
    <w:rsid w:val="00525DD9"/>
    <w:rsid w:val="005522C0"/>
    <w:rsid w:val="005912F2"/>
    <w:rsid w:val="0060403A"/>
    <w:rsid w:val="00650231"/>
    <w:rsid w:val="007A77F3"/>
    <w:rsid w:val="007C610E"/>
    <w:rsid w:val="009B7360"/>
    <w:rsid w:val="00A55303"/>
    <w:rsid w:val="00A620DE"/>
    <w:rsid w:val="00BE7676"/>
    <w:rsid w:val="00C05E3B"/>
    <w:rsid w:val="00D81491"/>
    <w:rsid w:val="00DA1D0E"/>
    <w:rsid w:val="00E86E32"/>
    <w:rsid w:val="00EF3EDA"/>
    <w:rsid w:val="00F23E90"/>
    <w:rsid w:val="00FA7C9A"/>
    <w:rsid w:val="00FC3D65"/>
    <w:rsid w:val="00FC5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C3CCF2"/>
  <w15:chartTrackingRefBased/>
  <w15:docId w15:val="{BFBC30F1-9D2D-413B-94D3-5BA369226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ED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25DD9"/>
    <w:pPr>
      <w:keepNext/>
      <w:keepLines/>
      <w:spacing w:before="240" w:after="240"/>
      <w:outlineLvl w:val="0"/>
    </w:pPr>
    <w:rPr>
      <w:rFonts w:eastAsiaTheme="majorEastAsia" w:cstheme="majorBidi"/>
      <w:b/>
      <w:i/>
      <w:sz w:val="32"/>
      <w:szCs w:val="32"/>
      <w:u w:val="single"/>
    </w:rPr>
  </w:style>
  <w:style w:type="paragraph" w:styleId="Heading2">
    <w:name w:val="heading 2"/>
    <w:basedOn w:val="Normal"/>
    <w:next w:val="Normal"/>
    <w:link w:val="Heading2Char"/>
    <w:uiPriority w:val="9"/>
    <w:semiHidden/>
    <w:unhideWhenUsed/>
    <w:qFormat/>
    <w:rsid w:val="00525DD9"/>
    <w:pPr>
      <w:keepNext/>
      <w:keepLines/>
      <w:spacing w:before="40" w:after="0"/>
      <w:outlineLvl w:val="1"/>
    </w:pPr>
    <w:rPr>
      <w:rFonts w:eastAsiaTheme="majorEastAsia" w:cstheme="majorBidi"/>
      <w:i/>
      <w:sz w:val="28"/>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DD9"/>
    <w:rPr>
      <w:rFonts w:ascii="Times New Roman" w:eastAsiaTheme="majorEastAsia" w:hAnsi="Times New Roman" w:cstheme="majorBidi"/>
      <w:b/>
      <w:i/>
      <w:color w:val="000000" w:themeColor="text1"/>
      <w:sz w:val="32"/>
      <w:szCs w:val="32"/>
      <w:u w:val="single"/>
    </w:rPr>
  </w:style>
  <w:style w:type="character" w:customStyle="1" w:styleId="Heading2Char">
    <w:name w:val="Heading 2 Char"/>
    <w:basedOn w:val="DefaultParagraphFont"/>
    <w:link w:val="Heading2"/>
    <w:uiPriority w:val="9"/>
    <w:semiHidden/>
    <w:rsid w:val="00525DD9"/>
    <w:rPr>
      <w:rFonts w:ascii="Times New Roman" w:eastAsiaTheme="majorEastAsia" w:hAnsi="Times New Roman" w:cstheme="majorBidi"/>
      <w:i/>
      <w:color w:val="000000" w:themeColor="text1"/>
      <w:sz w:val="28"/>
      <w:szCs w:val="26"/>
      <w:u w:val="single"/>
    </w:rPr>
  </w:style>
  <w:style w:type="table" w:styleId="TableGrid">
    <w:name w:val="Table Grid"/>
    <w:basedOn w:val="TableNormal"/>
    <w:uiPriority w:val="39"/>
    <w:rsid w:val="00EF3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A1D0E"/>
    <w:pPr>
      <w:spacing w:after="0" w:line="240" w:lineRule="auto"/>
    </w:pPr>
    <w:rPr>
      <w:rFonts w:eastAsiaTheme="minorEastAsia"/>
    </w:rPr>
  </w:style>
  <w:style w:type="character" w:customStyle="1" w:styleId="NoSpacingChar">
    <w:name w:val="No Spacing Char"/>
    <w:basedOn w:val="DefaultParagraphFont"/>
    <w:link w:val="NoSpacing"/>
    <w:uiPriority w:val="1"/>
    <w:rsid w:val="00DA1D0E"/>
    <w:rPr>
      <w:rFonts w:eastAsiaTheme="minorEastAsia"/>
    </w:rPr>
  </w:style>
  <w:style w:type="paragraph" w:styleId="TOCHeading">
    <w:name w:val="TOC Heading"/>
    <w:basedOn w:val="Heading1"/>
    <w:next w:val="Normal"/>
    <w:uiPriority w:val="39"/>
    <w:unhideWhenUsed/>
    <w:qFormat/>
    <w:rsid w:val="00DA1D0E"/>
    <w:pPr>
      <w:spacing w:after="0" w:line="259" w:lineRule="auto"/>
      <w:jc w:val="left"/>
      <w:outlineLvl w:val="9"/>
    </w:pPr>
    <w:rPr>
      <w:rFonts w:asciiTheme="majorHAnsi" w:hAnsiTheme="majorHAnsi"/>
      <w:b w:val="0"/>
      <w:i w:val="0"/>
      <w:color w:val="2F5496" w:themeColor="accent1" w:themeShade="BF"/>
      <w:u w:val="none"/>
    </w:rPr>
  </w:style>
  <w:style w:type="paragraph" w:styleId="TOC1">
    <w:name w:val="toc 1"/>
    <w:basedOn w:val="Normal"/>
    <w:next w:val="Normal"/>
    <w:autoRedefine/>
    <w:uiPriority w:val="39"/>
    <w:unhideWhenUsed/>
    <w:rsid w:val="00DA1D0E"/>
    <w:pPr>
      <w:spacing w:after="100"/>
    </w:pPr>
  </w:style>
  <w:style w:type="character" w:styleId="Hyperlink">
    <w:name w:val="Hyperlink"/>
    <w:basedOn w:val="DefaultParagraphFont"/>
    <w:uiPriority w:val="99"/>
    <w:unhideWhenUsed/>
    <w:rsid w:val="00DA1D0E"/>
    <w:rPr>
      <w:color w:val="0563C1" w:themeColor="hyperlink"/>
      <w:u w:val="single"/>
    </w:rPr>
  </w:style>
  <w:style w:type="paragraph" w:styleId="Header">
    <w:name w:val="header"/>
    <w:basedOn w:val="Normal"/>
    <w:link w:val="HeaderChar"/>
    <w:uiPriority w:val="99"/>
    <w:unhideWhenUsed/>
    <w:rsid w:val="00FC5A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A26"/>
    <w:rPr>
      <w:rFonts w:ascii="Times New Roman" w:hAnsi="Times New Roman"/>
      <w:color w:val="000000" w:themeColor="text1"/>
      <w:sz w:val="24"/>
    </w:rPr>
  </w:style>
  <w:style w:type="paragraph" w:styleId="Footer">
    <w:name w:val="footer"/>
    <w:basedOn w:val="Normal"/>
    <w:link w:val="FooterChar"/>
    <w:uiPriority w:val="99"/>
    <w:unhideWhenUsed/>
    <w:rsid w:val="00FC5A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5A2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6507">
      <w:bodyDiv w:val="1"/>
      <w:marLeft w:val="0"/>
      <w:marRight w:val="0"/>
      <w:marTop w:val="0"/>
      <w:marBottom w:val="0"/>
      <w:divBdr>
        <w:top w:val="none" w:sz="0" w:space="0" w:color="auto"/>
        <w:left w:val="none" w:sz="0" w:space="0" w:color="auto"/>
        <w:bottom w:val="none" w:sz="0" w:space="0" w:color="auto"/>
        <w:right w:val="none" w:sz="0" w:space="0" w:color="auto"/>
      </w:divBdr>
    </w:div>
    <w:div w:id="18430539">
      <w:bodyDiv w:val="1"/>
      <w:marLeft w:val="0"/>
      <w:marRight w:val="0"/>
      <w:marTop w:val="0"/>
      <w:marBottom w:val="0"/>
      <w:divBdr>
        <w:top w:val="none" w:sz="0" w:space="0" w:color="auto"/>
        <w:left w:val="none" w:sz="0" w:space="0" w:color="auto"/>
        <w:bottom w:val="none" w:sz="0" w:space="0" w:color="auto"/>
        <w:right w:val="none" w:sz="0" w:space="0" w:color="auto"/>
      </w:divBdr>
    </w:div>
    <w:div w:id="47150106">
      <w:bodyDiv w:val="1"/>
      <w:marLeft w:val="0"/>
      <w:marRight w:val="0"/>
      <w:marTop w:val="0"/>
      <w:marBottom w:val="0"/>
      <w:divBdr>
        <w:top w:val="none" w:sz="0" w:space="0" w:color="auto"/>
        <w:left w:val="none" w:sz="0" w:space="0" w:color="auto"/>
        <w:bottom w:val="none" w:sz="0" w:space="0" w:color="auto"/>
        <w:right w:val="none" w:sz="0" w:space="0" w:color="auto"/>
      </w:divBdr>
    </w:div>
    <w:div w:id="75982833">
      <w:bodyDiv w:val="1"/>
      <w:marLeft w:val="0"/>
      <w:marRight w:val="0"/>
      <w:marTop w:val="0"/>
      <w:marBottom w:val="0"/>
      <w:divBdr>
        <w:top w:val="none" w:sz="0" w:space="0" w:color="auto"/>
        <w:left w:val="none" w:sz="0" w:space="0" w:color="auto"/>
        <w:bottom w:val="none" w:sz="0" w:space="0" w:color="auto"/>
        <w:right w:val="none" w:sz="0" w:space="0" w:color="auto"/>
      </w:divBdr>
    </w:div>
    <w:div w:id="96491021">
      <w:bodyDiv w:val="1"/>
      <w:marLeft w:val="0"/>
      <w:marRight w:val="0"/>
      <w:marTop w:val="0"/>
      <w:marBottom w:val="0"/>
      <w:divBdr>
        <w:top w:val="none" w:sz="0" w:space="0" w:color="auto"/>
        <w:left w:val="none" w:sz="0" w:space="0" w:color="auto"/>
        <w:bottom w:val="none" w:sz="0" w:space="0" w:color="auto"/>
        <w:right w:val="none" w:sz="0" w:space="0" w:color="auto"/>
      </w:divBdr>
    </w:div>
    <w:div w:id="161315407">
      <w:bodyDiv w:val="1"/>
      <w:marLeft w:val="0"/>
      <w:marRight w:val="0"/>
      <w:marTop w:val="0"/>
      <w:marBottom w:val="0"/>
      <w:divBdr>
        <w:top w:val="none" w:sz="0" w:space="0" w:color="auto"/>
        <w:left w:val="none" w:sz="0" w:space="0" w:color="auto"/>
        <w:bottom w:val="none" w:sz="0" w:space="0" w:color="auto"/>
        <w:right w:val="none" w:sz="0" w:space="0" w:color="auto"/>
      </w:divBdr>
    </w:div>
    <w:div w:id="206912699">
      <w:bodyDiv w:val="1"/>
      <w:marLeft w:val="0"/>
      <w:marRight w:val="0"/>
      <w:marTop w:val="0"/>
      <w:marBottom w:val="0"/>
      <w:divBdr>
        <w:top w:val="none" w:sz="0" w:space="0" w:color="auto"/>
        <w:left w:val="none" w:sz="0" w:space="0" w:color="auto"/>
        <w:bottom w:val="none" w:sz="0" w:space="0" w:color="auto"/>
        <w:right w:val="none" w:sz="0" w:space="0" w:color="auto"/>
      </w:divBdr>
    </w:div>
    <w:div w:id="387724723">
      <w:bodyDiv w:val="1"/>
      <w:marLeft w:val="0"/>
      <w:marRight w:val="0"/>
      <w:marTop w:val="0"/>
      <w:marBottom w:val="0"/>
      <w:divBdr>
        <w:top w:val="none" w:sz="0" w:space="0" w:color="auto"/>
        <w:left w:val="none" w:sz="0" w:space="0" w:color="auto"/>
        <w:bottom w:val="none" w:sz="0" w:space="0" w:color="auto"/>
        <w:right w:val="none" w:sz="0" w:space="0" w:color="auto"/>
      </w:divBdr>
    </w:div>
    <w:div w:id="512379186">
      <w:bodyDiv w:val="1"/>
      <w:marLeft w:val="0"/>
      <w:marRight w:val="0"/>
      <w:marTop w:val="0"/>
      <w:marBottom w:val="0"/>
      <w:divBdr>
        <w:top w:val="none" w:sz="0" w:space="0" w:color="auto"/>
        <w:left w:val="none" w:sz="0" w:space="0" w:color="auto"/>
        <w:bottom w:val="none" w:sz="0" w:space="0" w:color="auto"/>
        <w:right w:val="none" w:sz="0" w:space="0" w:color="auto"/>
      </w:divBdr>
    </w:div>
    <w:div w:id="639845949">
      <w:bodyDiv w:val="1"/>
      <w:marLeft w:val="0"/>
      <w:marRight w:val="0"/>
      <w:marTop w:val="0"/>
      <w:marBottom w:val="0"/>
      <w:divBdr>
        <w:top w:val="none" w:sz="0" w:space="0" w:color="auto"/>
        <w:left w:val="none" w:sz="0" w:space="0" w:color="auto"/>
        <w:bottom w:val="none" w:sz="0" w:space="0" w:color="auto"/>
        <w:right w:val="none" w:sz="0" w:space="0" w:color="auto"/>
      </w:divBdr>
    </w:div>
    <w:div w:id="817570028">
      <w:bodyDiv w:val="1"/>
      <w:marLeft w:val="0"/>
      <w:marRight w:val="0"/>
      <w:marTop w:val="0"/>
      <w:marBottom w:val="0"/>
      <w:divBdr>
        <w:top w:val="none" w:sz="0" w:space="0" w:color="auto"/>
        <w:left w:val="none" w:sz="0" w:space="0" w:color="auto"/>
        <w:bottom w:val="none" w:sz="0" w:space="0" w:color="auto"/>
        <w:right w:val="none" w:sz="0" w:space="0" w:color="auto"/>
      </w:divBdr>
    </w:div>
    <w:div w:id="990059969">
      <w:bodyDiv w:val="1"/>
      <w:marLeft w:val="0"/>
      <w:marRight w:val="0"/>
      <w:marTop w:val="0"/>
      <w:marBottom w:val="0"/>
      <w:divBdr>
        <w:top w:val="none" w:sz="0" w:space="0" w:color="auto"/>
        <w:left w:val="none" w:sz="0" w:space="0" w:color="auto"/>
        <w:bottom w:val="none" w:sz="0" w:space="0" w:color="auto"/>
        <w:right w:val="none" w:sz="0" w:space="0" w:color="auto"/>
      </w:divBdr>
    </w:div>
    <w:div w:id="1110200330">
      <w:bodyDiv w:val="1"/>
      <w:marLeft w:val="0"/>
      <w:marRight w:val="0"/>
      <w:marTop w:val="0"/>
      <w:marBottom w:val="0"/>
      <w:divBdr>
        <w:top w:val="none" w:sz="0" w:space="0" w:color="auto"/>
        <w:left w:val="none" w:sz="0" w:space="0" w:color="auto"/>
        <w:bottom w:val="none" w:sz="0" w:space="0" w:color="auto"/>
        <w:right w:val="none" w:sz="0" w:space="0" w:color="auto"/>
      </w:divBdr>
    </w:div>
    <w:div w:id="1145315275">
      <w:bodyDiv w:val="1"/>
      <w:marLeft w:val="0"/>
      <w:marRight w:val="0"/>
      <w:marTop w:val="0"/>
      <w:marBottom w:val="0"/>
      <w:divBdr>
        <w:top w:val="none" w:sz="0" w:space="0" w:color="auto"/>
        <w:left w:val="none" w:sz="0" w:space="0" w:color="auto"/>
        <w:bottom w:val="none" w:sz="0" w:space="0" w:color="auto"/>
        <w:right w:val="none" w:sz="0" w:space="0" w:color="auto"/>
      </w:divBdr>
    </w:div>
    <w:div w:id="1197698506">
      <w:bodyDiv w:val="1"/>
      <w:marLeft w:val="0"/>
      <w:marRight w:val="0"/>
      <w:marTop w:val="0"/>
      <w:marBottom w:val="0"/>
      <w:divBdr>
        <w:top w:val="none" w:sz="0" w:space="0" w:color="auto"/>
        <w:left w:val="none" w:sz="0" w:space="0" w:color="auto"/>
        <w:bottom w:val="none" w:sz="0" w:space="0" w:color="auto"/>
        <w:right w:val="none" w:sz="0" w:space="0" w:color="auto"/>
      </w:divBdr>
    </w:div>
    <w:div w:id="1269505378">
      <w:bodyDiv w:val="1"/>
      <w:marLeft w:val="0"/>
      <w:marRight w:val="0"/>
      <w:marTop w:val="0"/>
      <w:marBottom w:val="0"/>
      <w:divBdr>
        <w:top w:val="none" w:sz="0" w:space="0" w:color="auto"/>
        <w:left w:val="none" w:sz="0" w:space="0" w:color="auto"/>
        <w:bottom w:val="none" w:sz="0" w:space="0" w:color="auto"/>
        <w:right w:val="none" w:sz="0" w:space="0" w:color="auto"/>
      </w:divBdr>
    </w:div>
    <w:div w:id="1289819743">
      <w:bodyDiv w:val="1"/>
      <w:marLeft w:val="0"/>
      <w:marRight w:val="0"/>
      <w:marTop w:val="0"/>
      <w:marBottom w:val="0"/>
      <w:divBdr>
        <w:top w:val="none" w:sz="0" w:space="0" w:color="auto"/>
        <w:left w:val="none" w:sz="0" w:space="0" w:color="auto"/>
        <w:bottom w:val="none" w:sz="0" w:space="0" w:color="auto"/>
        <w:right w:val="none" w:sz="0" w:space="0" w:color="auto"/>
      </w:divBdr>
    </w:div>
    <w:div w:id="1290010653">
      <w:bodyDiv w:val="1"/>
      <w:marLeft w:val="0"/>
      <w:marRight w:val="0"/>
      <w:marTop w:val="0"/>
      <w:marBottom w:val="0"/>
      <w:divBdr>
        <w:top w:val="none" w:sz="0" w:space="0" w:color="auto"/>
        <w:left w:val="none" w:sz="0" w:space="0" w:color="auto"/>
        <w:bottom w:val="none" w:sz="0" w:space="0" w:color="auto"/>
        <w:right w:val="none" w:sz="0" w:space="0" w:color="auto"/>
      </w:divBdr>
    </w:div>
    <w:div w:id="1389067902">
      <w:bodyDiv w:val="1"/>
      <w:marLeft w:val="0"/>
      <w:marRight w:val="0"/>
      <w:marTop w:val="0"/>
      <w:marBottom w:val="0"/>
      <w:divBdr>
        <w:top w:val="none" w:sz="0" w:space="0" w:color="auto"/>
        <w:left w:val="none" w:sz="0" w:space="0" w:color="auto"/>
        <w:bottom w:val="none" w:sz="0" w:space="0" w:color="auto"/>
        <w:right w:val="none" w:sz="0" w:space="0" w:color="auto"/>
      </w:divBdr>
    </w:div>
    <w:div w:id="1401757068">
      <w:bodyDiv w:val="1"/>
      <w:marLeft w:val="0"/>
      <w:marRight w:val="0"/>
      <w:marTop w:val="0"/>
      <w:marBottom w:val="0"/>
      <w:divBdr>
        <w:top w:val="none" w:sz="0" w:space="0" w:color="auto"/>
        <w:left w:val="none" w:sz="0" w:space="0" w:color="auto"/>
        <w:bottom w:val="none" w:sz="0" w:space="0" w:color="auto"/>
        <w:right w:val="none" w:sz="0" w:space="0" w:color="auto"/>
      </w:divBdr>
    </w:div>
    <w:div w:id="1473525571">
      <w:bodyDiv w:val="1"/>
      <w:marLeft w:val="0"/>
      <w:marRight w:val="0"/>
      <w:marTop w:val="0"/>
      <w:marBottom w:val="0"/>
      <w:divBdr>
        <w:top w:val="none" w:sz="0" w:space="0" w:color="auto"/>
        <w:left w:val="none" w:sz="0" w:space="0" w:color="auto"/>
        <w:bottom w:val="none" w:sz="0" w:space="0" w:color="auto"/>
        <w:right w:val="none" w:sz="0" w:space="0" w:color="auto"/>
      </w:divBdr>
    </w:div>
    <w:div w:id="1480686923">
      <w:bodyDiv w:val="1"/>
      <w:marLeft w:val="0"/>
      <w:marRight w:val="0"/>
      <w:marTop w:val="0"/>
      <w:marBottom w:val="0"/>
      <w:divBdr>
        <w:top w:val="none" w:sz="0" w:space="0" w:color="auto"/>
        <w:left w:val="none" w:sz="0" w:space="0" w:color="auto"/>
        <w:bottom w:val="none" w:sz="0" w:space="0" w:color="auto"/>
        <w:right w:val="none" w:sz="0" w:space="0" w:color="auto"/>
      </w:divBdr>
    </w:div>
    <w:div w:id="1652638969">
      <w:bodyDiv w:val="1"/>
      <w:marLeft w:val="0"/>
      <w:marRight w:val="0"/>
      <w:marTop w:val="0"/>
      <w:marBottom w:val="0"/>
      <w:divBdr>
        <w:top w:val="none" w:sz="0" w:space="0" w:color="auto"/>
        <w:left w:val="none" w:sz="0" w:space="0" w:color="auto"/>
        <w:bottom w:val="none" w:sz="0" w:space="0" w:color="auto"/>
        <w:right w:val="none" w:sz="0" w:space="0" w:color="auto"/>
      </w:divBdr>
    </w:div>
    <w:div w:id="1663388986">
      <w:bodyDiv w:val="1"/>
      <w:marLeft w:val="0"/>
      <w:marRight w:val="0"/>
      <w:marTop w:val="0"/>
      <w:marBottom w:val="0"/>
      <w:divBdr>
        <w:top w:val="none" w:sz="0" w:space="0" w:color="auto"/>
        <w:left w:val="none" w:sz="0" w:space="0" w:color="auto"/>
        <w:bottom w:val="none" w:sz="0" w:space="0" w:color="auto"/>
        <w:right w:val="none" w:sz="0" w:space="0" w:color="auto"/>
      </w:divBdr>
    </w:div>
    <w:div w:id="1788500321">
      <w:bodyDiv w:val="1"/>
      <w:marLeft w:val="0"/>
      <w:marRight w:val="0"/>
      <w:marTop w:val="0"/>
      <w:marBottom w:val="0"/>
      <w:divBdr>
        <w:top w:val="none" w:sz="0" w:space="0" w:color="auto"/>
        <w:left w:val="none" w:sz="0" w:space="0" w:color="auto"/>
        <w:bottom w:val="none" w:sz="0" w:space="0" w:color="auto"/>
        <w:right w:val="none" w:sz="0" w:space="0" w:color="auto"/>
      </w:divBdr>
    </w:div>
    <w:div w:id="1816992539">
      <w:bodyDiv w:val="1"/>
      <w:marLeft w:val="0"/>
      <w:marRight w:val="0"/>
      <w:marTop w:val="0"/>
      <w:marBottom w:val="0"/>
      <w:divBdr>
        <w:top w:val="none" w:sz="0" w:space="0" w:color="auto"/>
        <w:left w:val="none" w:sz="0" w:space="0" w:color="auto"/>
        <w:bottom w:val="none" w:sz="0" w:space="0" w:color="auto"/>
        <w:right w:val="none" w:sz="0" w:space="0" w:color="auto"/>
      </w:divBdr>
    </w:div>
    <w:div w:id="1945191729">
      <w:bodyDiv w:val="1"/>
      <w:marLeft w:val="0"/>
      <w:marRight w:val="0"/>
      <w:marTop w:val="0"/>
      <w:marBottom w:val="0"/>
      <w:divBdr>
        <w:top w:val="none" w:sz="0" w:space="0" w:color="auto"/>
        <w:left w:val="none" w:sz="0" w:space="0" w:color="auto"/>
        <w:bottom w:val="none" w:sz="0" w:space="0" w:color="auto"/>
        <w:right w:val="none" w:sz="0" w:space="0" w:color="auto"/>
      </w:divBdr>
    </w:div>
    <w:div w:id="2104763171">
      <w:bodyDiv w:val="1"/>
      <w:marLeft w:val="0"/>
      <w:marRight w:val="0"/>
      <w:marTop w:val="0"/>
      <w:marBottom w:val="0"/>
      <w:divBdr>
        <w:top w:val="none" w:sz="0" w:space="0" w:color="auto"/>
        <w:left w:val="none" w:sz="0" w:space="0" w:color="auto"/>
        <w:bottom w:val="none" w:sz="0" w:space="0" w:color="auto"/>
        <w:right w:val="none" w:sz="0" w:space="0" w:color="auto"/>
      </w:divBdr>
    </w:div>
    <w:div w:id="210915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31D42B046042309982B1B110A54FED"/>
        <w:category>
          <w:name w:val="General"/>
          <w:gallery w:val="placeholder"/>
        </w:category>
        <w:types>
          <w:type w:val="bbPlcHdr"/>
        </w:types>
        <w:behaviors>
          <w:behavior w:val="content"/>
        </w:behaviors>
        <w:guid w:val="{28D6B537-0CE1-4FEE-9C73-A3DE8963DBEA}"/>
      </w:docPartPr>
      <w:docPartBody>
        <w:p w:rsidR="00000000" w:rsidRDefault="0063693E" w:rsidP="0063693E">
          <w:pPr>
            <w:pStyle w:val="7331D42B046042309982B1B110A54FE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3E"/>
    <w:rsid w:val="0063693E"/>
    <w:rsid w:val="00C61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31D42B046042309982B1B110A54FED">
    <w:name w:val="7331D42B046042309982B1B110A54FED"/>
    <w:rsid w:val="0063693E"/>
  </w:style>
  <w:style w:type="paragraph" w:customStyle="1" w:styleId="574BC1AFC3FA49D6B40AF13A6EC767A1">
    <w:name w:val="574BC1AFC3FA49D6B40AF13A6EC767A1"/>
    <w:rsid w:val="006369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EC6E5-B7A9-4978-9615-5071716C9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13</Pages>
  <Words>3103</Words>
  <Characters>18327</Characters>
  <Application>Microsoft Office Word</Application>
  <DocSecurity>0</DocSecurity>
  <Lines>314</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Xion Rahman</dc:creator>
  <cp:keywords/>
  <dc:description/>
  <cp:lastModifiedBy>Xion Rahman</cp:lastModifiedBy>
  <cp:revision>60</cp:revision>
  <dcterms:created xsi:type="dcterms:W3CDTF">2025-02-24T12:02:00Z</dcterms:created>
  <dcterms:modified xsi:type="dcterms:W3CDTF">2025-02-24T15:23:00Z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7b22a13296bf9f70d5acf5b65699f46620ec4b2d89ca777e7d6e0b59e5e2ac1d</vt:lpwstr>
  </property>
</Properties>
</file>