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B984D" w14:textId="63564B75" w:rsidR="00ED67A4" w:rsidRPr="00676824" w:rsidRDefault="008A5351" w:rsidP="002867F3">
      <w:pPr>
        <w:rPr>
          <w:rFonts w:ascii="Arial" w:hAnsi="Arial" w:cs="Arial"/>
        </w:rPr>
      </w:pPr>
      <w:r w:rsidRPr="00676824">
        <w:rPr>
          <w:rFonts w:ascii="Arial" w:hAnsi="Arial" w:cs="Arial"/>
        </w:rPr>
        <w:t>Homicide legislation in England and Wales is mostly based on common law and the Homicide Act 1957.</w:t>
      </w:r>
      <w:r w:rsidR="0063111C" w:rsidRPr="00676824">
        <w:rPr>
          <w:rFonts w:ascii="Arial" w:hAnsi="Arial" w:cs="Arial"/>
        </w:rPr>
        <w:t xml:space="preserve"> Nonetheless,</w:t>
      </w:r>
      <w:r w:rsidRPr="00676824">
        <w:rPr>
          <w:rFonts w:ascii="Arial" w:hAnsi="Arial" w:cs="Arial"/>
        </w:rPr>
        <w:t xml:space="preserve"> </w:t>
      </w:r>
      <w:r w:rsidR="00DC39EA" w:rsidRPr="00676824">
        <w:rPr>
          <w:rFonts w:ascii="Arial" w:hAnsi="Arial" w:cs="Arial"/>
        </w:rPr>
        <w:t>m</w:t>
      </w:r>
      <w:r w:rsidR="00DC39EA" w:rsidRPr="00676824">
        <w:rPr>
          <w:rFonts w:ascii="Arial" w:hAnsi="Arial" w:cs="Arial"/>
        </w:rPr>
        <w:t xml:space="preserve">urder and manslaughter are two distinct </w:t>
      </w:r>
      <w:r w:rsidR="00DC39EA" w:rsidRPr="00676824">
        <w:rPr>
          <w:rFonts w:ascii="Arial" w:hAnsi="Arial" w:cs="Arial"/>
        </w:rPr>
        <w:t>offences</w:t>
      </w:r>
      <w:r w:rsidR="00DC39EA" w:rsidRPr="00676824">
        <w:rPr>
          <w:rFonts w:ascii="Arial" w:hAnsi="Arial" w:cs="Arial"/>
        </w:rPr>
        <w:t xml:space="preserve"> that fall under the broader category of </w:t>
      </w:r>
      <w:r w:rsidR="004107A0" w:rsidRPr="00676824">
        <w:rPr>
          <w:rFonts w:ascii="Arial" w:hAnsi="Arial" w:cs="Arial"/>
        </w:rPr>
        <w:t>homicide</w:t>
      </w:r>
      <w:r w:rsidR="006D3E9C" w:rsidRPr="006D3E9C">
        <w:t xml:space="preserve"> </w:t>
      </w:r>
      <w:r w:rsidR="006D3E9C">
        <w:t>(</w:t>
      </w:r>
      <w:r w:rsidR="006D3E9C">
        <w:rPr>
          <w:i/>
          <w:iCs/>
        </w:rPr>
        <w:t>Homicide: Murder and Manslaughter | The Crown Prosecution Service</w:t>
      </w:r>
      <w:r w:rsidR="006D3E9C">
        <w:t>, 2023c)</w:t>
      </w:r>
      <w:r w:rsidR="004107A0" w:rsidRPr="00676824">
        <w:rPr>
          <w:rFonts w:ascii="Arial" w:hAnsi="Arial" w:cs="Arial"/>
        </w:rPr>
        <w:t>. To begin with, m</w:t>
      </w:r>
      <w:r w:rsidR="00DC39EA" w:rsidRPr="00676824">
        <w:rPr>
          <w:rFonts w:ascii="Arial" w:hAnsi="Arial" w:cs="Arial"/>
        </w:rPr>
        <w:t xml:space="preserve">anslaughter can be perpetrated through three distinct means: the act of intentionally causing death </w:t>
      </w:r>
      <w:r w:rsidR="002C0FD0">
        <w:rPr>
          <w:rFonts w:ascii="Arial" w:hAnsi="Arial" w:cs="Arial"/>
        </w:rPr>
        <w:t>to</w:t>
      </w:r>
      <w:r w:rsidR="00DC39EA" w:rsidRPr="00676824">
        <w:rPr>
          <w:rFonts w:ascii="Arial" w:hAnsi="Arial" w:cs="Arial"/>
        </w:rPr>
        <w:t xml:space="preserve"> commit murder, yet with the presence of a mitigating factor, specifically loss of control, diminished responsibility, or the act of killing </w:t>
      </w:r>
      <w:r w:rsidR="002C0FD0">
        <w:rPr>
          <w:rFonts w:ascii="Arial" w:hAnsi="Arial" w:cs="Arial"/>
        </w:rPr>
        <w:t>by</w:t>
      </w:r>
      <w:r w:rsidR="00DC39EA" w:rsidRPr="00676824">
        <w:rPr>
          <w:rFonts w:ascii="Arial" w:hAnsi="Arial" w:cs="Arial"/>
        </w:rPr>
        <w:t xml:space="preserve"> a suicide pact.</w:t>
      </w:r>
      <w:r w:rsidR="0076723E" w:rsidRPr="00676824">
        <w:rPr>
          <w:rFonts w:ascii="Arial" w:hAnsi="Arial" w:cs="Arial"/>
        </w:rPr>
        <w:t xml:space="preserve"> Then,</w:t>
      </w:r>
      <w:r w:rsidR="00612051" w:rsidRPr="00676824">
        <w:rPr>
          <w:rFonts w:ascii="Arial" w:hAnsi="Arial" w:cs="Arial"/>
        </w:rPr>
        <w:t xml:space="preserve"> </w:t>
      </w:r>
      <w:r w:rsidR="0076723E" w:rsidRPr="00676824">
        <w:rPr>
          <w:rFonts w:ascii="Arial" w:hAnsi="Arial" w:cs="Arial"/>
        </w:rPr>
        <w:t>t</w:t>
      </w:r>
      <w:r w:rsidR="00DC39EA" w:rsidRPr="00676824">
        <w:rPr>
          <w:rFonts w:ascii="Arial" w:hAnsi="Arial" w:cs="Arial"/>
        </w:rPr>
        <w:t>he first type of manslaughter is characterized by conduct that demonstrates a high degree of negligence, which poses a significant risk of death and ultimately leads to the loss of life. This is commonly referred to as "gross negligence manslaughter."</w:t>
      </w:r>
      <w:r w:rsidR="00612051" w:rsidRPr="00676824">
        <w:rPr>
          <w:rFonts w:ascii="Arial" w:hAnsi="Arial" w:cs="Arial"/>
        </w:rPr>
        <w:t xml:space="preserve"> Sec</w:t>
      </w:r>
      <w:r w:rsidR="00D932FF" w:rsidRPr="00676824">
        <w:rPr>
          <w:rFonts w:ascii="Arial" w:hAnsi="Arial" w:cs="Arial"/>
        </w:rPr>
        <w:t>ond</w:t>
      </w:r>
      <w:r w:rsidR="00612051" w:rsidRPr="00676824">
        <w:rPr>
          <w:rFonts w:ascii="Arial" w:hAnsi="Arial" w:cs="Arial"/>
        </w:rPr>
        <w:t>,</w:t>
      </w:r>
      <w:r w:rsidR="00D932FF" w:rsidRPr="00676824">
        <w:rPr>
          <w:rFonts w:ascii="Arial" w:hAnsi="Arial" w:cs="Arial"/>
        </w:rPr>
        <w:t xml:space="preserve"> the </w:t>
      </w:r>
      <w:r w:rsidR="00DC39EA" w:rsidRPr="00676824">
        <w:rPr>
          <w:rFonts w:ascii="Arial" w:hAnsi="Arial" w:cs="Arial"/>
        </w:rPr>
        <w:t xml:space="preserve">type of manslaughter involves engaging in an unlawful act that carries a potential for harm, which tragically results in death. This is known as "unlawful and dangerous act </w:t>
      </w:r>
      <w:r w:rsidR="00777846" w:rsidRPr="00676824">
        <w:rPr>
          <w:rFonts w:ascii="Arial" w:hAnsi="Arial" w:cs="Arial"/>
        </w:rPr>
        <w:t>manslaughter. Finally, the</w:t>
      </w:r>
      <w:r w:rsidR="00DC39EA" w:rsidRPr="00676824">
        <w:rPr>
          <w:rFonts w:ascii="Arial" w:hAnsi="Arial" w:cs="Arial"/>
        </w:rPr>
        <w:t xml:space="preserve"> term "involuntary manslaughter" is frequently employed to denote cases of manslaughter falling under categories 2</w:t>
      </w:r>
      <w:r w:rsidR="003405FB" w:rsidRPr="00676824">
        <w:rPr>
          <w:rFonts w:ascii="Arial" w:hAnsi="Arial" w:cs="Arial"/>
        </w:rPr>
        <w:t xml:space="preserve"> </w:t>
      </w:r>
      <w:r w:rsidR="00DC39EA" w:rsidRPr="00676824">
        <w:rPr>
          <w:rFonts w:ascii="Arial" w:hAnsi="Arial" w:cs="Arial"/>
        </w:rPr>
        <w:t>and 3, whereas category 1</w:t>
      </w:r>
      <w:r w:rsidR="003405FB" w:rsidRPr="00676824">
        <w:rPr>
          <w:rFonts w:ascii="Arial" w:hAnsi="Arial" w:cs="Arial"/>
        </w:rPr>
        <w:t xml:space="preserve"> </w:t>
      </w:r>
      <w:r w:rsidR="00DC39EA" w:rsidRPr="00676824">
        <w:rPr>
          <w:rFonts w:ascii="Arial" w:hAnsi="Arial" w:cs="Arial"/>
        </w:rPr>
        <w:t>is commonly referred to as voluntary manslaughter</w:t>
      </w:r>
      <w:r w:rsidR="003405FB" w:rsidRPr="00676824">
        <w:rPr>
          <w:rFonts w:ascii="Arial" w:hAnsi="Arial" w:cs="Arial"/>
        </w:rPr>
        <w:t xml:space="preserve"> </w:t>
      </w:r>
      <w:r w:rsidR="007378BF" w:rsidRPr="00676824">
        <w:rPr>
          <w:rFonts w:ascii="Arial" w:hAnsi="Arial" w:cs="Arial"/>
        </w:rPr>
        <w:t>(</w:t>
      </w:r>
      <w:r w:rsidR="007378BF" w:rsidRPr="00676824">
        <w:rPr>
          <w:rFonts w:ascii="Arial" w:hAnsi="Arial" w:cs="Arial"/>
          <w:i/>
          <w:iCs/>
        </w:rPr>
        <w:t>Homicide: Murder and Manslaughter | The Crown Prosecution Service</w:t>
      </w:r>
      <w:r w:rsidR="007378BF" w:rsidRPr="00676824">
        <w:rPr>
          <w:rFonts w:ascii="Arial" w:hAnsi="Arial" w:cs="Arial"/>
        </w:rPr>
        <w:t>, 2023b)</w:t>
      </w:r>
      <w:r w:rsidR="007378BF" w:rsidRPr="00676824">
        <w:rPr>
          <w:rFonts w:ascii="Arial" w:hAnsi="Arial" w:cs="Arial"/>
        </w:rPr>
        <w:t>.</w:t>
      </w:r>
      <w:r w:rsidR="0053076D" w:rsidRPr="00676824">
        <w:rPr>
          <w:rFonts w:ascii="Arial" w:hAnsi="Arial" w:cs="Arial"/>
        </w:rPr>
        <w:t xml:space="preserve"> Put simply, the</w:t>
      </w:r>
      <w:r w:rsidR="00A15F1A" w:rsidRPr="00676824">
        <w:rPr>
          <w:rFonts w:ascii="Arial" w:hAnsi="Arial" w:cs="Arial"/>
        </w:rPr>
        <w:t xml:space="preserve"> question of whether the legislation </w:t>
      </w:r>
      <w:r w:rsidR="00587BD7" w:rsidRPr="00676824">
        <w:rPr>
          <w:rFonts w:ascii="Arial" w:hAnsi="Arial" w:cs="Arial"/>
        </w:rPr>
        <w:t>of</w:t>
      </w:r>
      <w:r w:rsidR="00A15F1A" w:rsidRPr="00676824">
        <w:rPr>
          <w:rFonts w:ascii="Arial" w:hAnsi="Arial" w:cs="Arial"/>
        </w:rPr>
        <w:t xml:space="preserve"> homicide in England and Wales requires reform is a multifaceted and subjective matter. </w:t>
      </w:r>
      <w:r w:rsidR="00992674" w:rsidRPr="00676824">
        <w:rPr>
          <w:rFonts w:ascii="Arial" w:hAnsi="Arial" w:cs="Arial"/>
        </w:rPr>
        <w:t>Moreover, legal systems undergo constant evolution, and laws are not uncommon</w:t>
      </w:r>
      <w:r w:rsidR="00E1218F" w:rsidRPr="00676824">
        <w:rPr>
          <w:rFonts w:ascii="Arial" w:hAnsi="Arial" w:cs="Arial"/>
        </w:rPr>
        <w:t xml:space="preserve"> to </w:t>
      </w:r>
      <w:r w:rsidR="00A15F1A" w:rsidRPr="00676824">
        <w:rPr>
          <w:rFonts w:ascii="Arial" w:hAnsi="Arial" w:cs="Arial"/>
        </w:rPr>
        <w:t xml:space="preserve">undergo periodic </w:t>
      </w:r>
      <w:r w:rsidR="006A5E81" w:rsidRPr="00676824">
        <w:rPr>
          <w:rFonts w:ascii="Arial" w:hAnsi="Arial" w:cs="Arial"/>
        </w:rPr>
        <w:t>reviews</w:t>
      </w:r>
      <w:r w:rsidR="00A15F1A" w:rsidRPr="00676824">
        <w:rPr>
          <w:rFonts w:ascii="Arial" w:hAnsi="Arial" w:cs="Arial"/>
        </w:rPr>
        <w:t xml:space="preserve"> and </w:t>
      </w:r>
      <w:r w:rsidR="00CE732E" w:rsidRPr="00676824">
        <w:rPr>
          <w:rFonts w:ascii="Arial" w:hAnsi="Arial" w:cs="Arial"/>
        </w:rPr>
        <w:t>updates therefore</w:t>
      </w:r>
      <w:r w:rsidR="00DC7C26" w:rsidRPr="00676824">
        <w:rPr>
          <w:rFonts w:ascii="Arial" w:hAnsi="Arial" w:cs="Arial"/>
        </w:rPr>
        <w:t xml:space="preserve">, the </w:t>
      </w:r>
      <w:r w:rsidR="00842667" w:rsidRPr="00676824">
        <w:rPr>
          <w:rFonts w:ascii="Arial" w:hAnsi="Arial" w:cs="Arial"/>
        </w:rPr>
        <w:t xml:space="preserve">reform </w:t>
      </w:r>
      <w:r w:rsidR="000B27B3" w:rsidRPr="00676824">
        <w:rPr>
          <w:rFonts w:ascii="Arial" w:hAnsi="Arial" w:cs="Arial"/>
        </w:rPr>
        <w:t xml:space="preserve">holds significant importance due to the gravity of homicide offences, which are considered to be among the most severe criminal </w:t>
      </w:r>
      <w:r w:rsidR="00D220B2" w:rsidRPr="00676824">
        <w:rPr>
          <w:rFonts w:ascii="Arial" w:hAnsi="Arial" w:cs="Arial"/>
        </w:rPr>
        <w:t>offences. Despite</w:t>
      </w:r>
      <w:r w:rsidR="00F845E9" w:rsidRPr="00676824">
        <w:rPr>
          <w:rFonts w:ascii="Arial" w:hAnsi="Arial" w:cs="Arial"/>
        </w:rPr>
        <w:t xml:space="preserve"> this</w:t>
      </w:r>
      <w:r w:rsidR="00295004" w:rsidRPr="00676824">
        <w:rPr>
          <w:rFonts w:ascii="Arial" w:hAnsi="Arial" w:cs="Arial"/>
        </w:rPr>
        <w:t xml:space="preserve">, </w:t>
      </w:r>
      <w:r w:rsidR="00D46150" w:rsidRPr="00676824">
        <w:rPr>
          <w:rFonts w:ascii="Arial" w:hAnsi="Arial" w:cs="Arial"/>
        </w:rPr>
        <w:t xml:space="preserve">over time, manslaughter's extent in the UK has been debated. </w:t>
      </w:r>
      <w:r w:rsidR="00B112A7" w:rsidRPr="00676824">
        <w:rPr>
          <w:rFonts w:ascii="Arial" w:hAnsi="Arial" w:cs="Arial"/>
        </w:rPr>
        <w:t>m</w:t>
      </w:r>
      <w:r w:rsidR="00D46150" w:rsidRPr="00676824">
        <w:rPr>
          <w:rFonts w:ascii="Arial" w:hAnsi="Arial" w:cs="Arial"/>
        </w:rPr>
        <w:t>anslaughter may cover too many situations, according to some. In circumstances where murder and manslaughter are unclear, this broadness may result in inconsistent or unpredictable conclusions.</w:t>
      </w:r>
      <w:r w:rsidR="00B112A7" w:rsidRPr="00676824">
        <w:rPr>
          <w:rFonts w:ascii="Arial" w:hAnsi="Arial" w:cs="Arial"/>
        </w:rPr>
        <w:t xml:space="preserve"> </w:t>
      </w:r>
      <w:r w:rsidR="009B7D88" w:rsidRPr="00676824">
        <w:rPr>
          <w:rFonts w:ascii="Arial" w:hAnsi="Arial" w:cs="Arial"/>
        </w:rPr>
        <w:t>Additionally</w:t>
      </w:r>
      <w:r w:rsidR="00B112A7" w:rsidRPr="00676824">
        <w:rPr>
          <w:rFonts w:ascii="Arial" w:hAnsi="Arial" w:cs="Arial"/>
        </w:rPr>
        <w:t xml:space="preserve">, direct intent means intending to kill or seriously hurt someone. When a person means to injure one person but kills another, they have indirect intent, also known as oblique intent or transferred malice. </w:t>
      </w:r>
      <w:r w:rsidR="00A75283" w:rsidRPr="00676824">
        <w:rPr>
          <w:rFonts w:ascii="Arial" w:hAnsi="Arial" w:cs="Arial"/>
        </w:rPr>
        <w:t>Furthermore,</w:t>
      </w:r>
      <w:r w:rsidR="007D19EA" w:rsidRPr="00676824">
        <w:rPr>
          <w:rFonts w:ascii="Arial" w:hAnsi="Arial" w:cs="Arial"/>
        </w:rPr>
        <w:t xml:space="preserve"> t</w:t>
      </w:r>
      <w:r w:rsidR="00B112A7" w:rsidRPr="00676824">
        <w:rPr>
          <w:rFonts w:ascii="Arial" w:hAnsi="Arial" w:cs="Arial"/>
        </w:rPr>
        <w:t>he appropriate mental condition for a murder conviction is controversial, especially in circumstances where the defendant's mental competence, mental illness, or diminished responsibility may be considered.</w:t>
      </w:r>
      <w:r w:rsidR="00103131" w:rsidRPr="00676824">
        <w:rPr>
          <w:rFonts w:ascii="Arial" w:hAnsi="Arial" w:cs="Arial"/>
        </w:rPr>
        <w:t xml:space="preserve"> </w:t>
      </w:r>
      <w:r w:rsidR="00103131" w:rsidRPr="00676824">
        <w:rPr>
          <w:rFonts w:ascii="Arial" w:hAnsi="Arial" w:cs="Arial"/>
        </w:rPr>
        <w:t>(</w:t>
      </w:r>
      <w:r w:rsidR="00103131" w:rsidRPr="00676824">
        <w:rPr>
          <w:rFonts w:ascii="Arial" w:hAnsi="Arial" w:cs="Arial"/>
          <w:i/>
          <w:iCs/>
        </w:rPr>
        <w:t>Homicide: Murder and Manslaughter | The Crown Prosecution Service</w:t>
      </w:r>
      <w:r w:rsidR="00103131" w:rsidRPr="00676824">
        <w:rPr>
          <w:rFonts w:ascii="Arial" w:hAnsi="Arial" w:cs="Arial"/>
        </w:rPr>
        <w:t>, 2023)</w:t>
      </w:r>
      <w:r w:rsidR="00103131" w:rsidRPr="00676824">
        <w:rPr>
          <w:rFonts w:ascii="Arial" w:hAnsi="Arial" w:cs="Arial"/>
        </w:rPr>
        <w:t>.</w:t>
      </w:r>
      <w:r w:rsidR="00B112A7" w:rsidRPr="00676824">
        <w:rPr>
          <w:rFonts w:ascii="Arial" w:hAnsi="Arial" w:cs="Arial"/>
        </w:rPr>
        <w:t xml:space="preserve"> </w:t>
      </w:r>
      <w:r w:rsidR="00922CEF" w:rsidRPr="00676824">
        <w:rPr>
          <w:rFonts w:ascii="Arial" w:hAnsi="Arial" w:cs="Arial"/>
        </w:rPr>
        <w:t>Nonetheless, critics</w:t>
      </w:r>
      <w:r w:rsidR="00B112A7" w:rsidRPr="00676824">
        <w:rPr>
          <w:rFonts w:ascii="Arial" w:hAnsi="Arial" w:cs="Arial"/>
        </w:rPr>
        <w:t xml:space="preserve"> claim that the present definition of manslaughter may result in decreased punishments or convictions for murder. As with any legal issue, perspectives on these subjects vary, and society continues to debate how to combine legal principles, societal expectations, and the need for justice in homicide cases</w:t>
      </w:r>
      <w:r w:rsidR="009A06DF" w:rsidRPr="00676824">
        <w:rPr>
          <w:rFonts w:ascii="Arial" w:hAnsi="Arial" w:cs="Arial"/>
        </w:rPr>
        <w:t xml:space="preserve"> </w:t>
      </w:r>
      <w:r w:rsidR="00D11A89" w:rsidRPr="00676824">
        <w:rPr>
          <w:rFonts w:ascii="Arial" w:hAnsi="Arial" w:cs="Arial"/>
        </w:rPr>
        <w:t>(Cambridge University Press, 1994)</w:t>
      </w:r>
      <w:r w:rsidR="009A06DF" w:rsidRPr="00676824">
        <w:rPr>
          <w:rFonts w:ascii="Arial" w:hAnsi="Arial" w:cs="Arial"/>
        </w:rPr>
        <w:t xml:space="preserve">. </w:t>
      </w:r>
      <w:r w:rsidR="00817C3F" w:rsidRPr="00676824">
        <w:rPr>
          <w:rFonts w:ascii="Arial" w:hAnsi="Arial" w:cs="Arial"/>
        </w:rPr>
        <w:t xml:space="preserve">For example, in a case in which the individual was found guilty, but </w:t>
      </w:r>
      <w:r w:rsidR="00E80B65" w:rsidRPr="00676824">
        <w:rPr>
          <w:rFonts w:ascii="Arial" w:hAnsi="Arial" w:cs="Arial"/>
        </w:rPr>
        <w:t>the conviction</w:t>
      </w:r>
      <w:r w:rsidR="00817C3F" w:rsidRPr="00676824">
        <w:rPr>
          <w:rFonts w:ascii="Arial" w:hAnsi="Arial" w:cs="Arial"/>
        </w:rPr>
        <w:t xml:space="preserve"> was too broad, </w:t>
      </w:r>
      <w:r w:rsidR="006E448A" w:rsidRPr="00676824">
        <w:rPr>
          <w:rFonts w:ascii="Arial" w:hAnsi="Arial" w:cs="Arial"/>
        </w:rPr>
        <w:t xml:space="preserve">in </w:t>
      </w:r>
      <w:r w:rsidR="00817C3F" w:rsidRPr="00676824">
        <w:rPr>
          <w:rFonts w:ascii="Arial" w:hAnsi="Arial" w:cs="Arial"/>
        </w:rPr>
        <w:t>the case of R v Lamb (1967), an unfortunate incident occurred wherein an individual pointed a loaded firearm at their friend, resulting in an accidental discharge and subsequent fatality. It was established that the individual did not possess the intention to harm their friend, but due to their youthful naivety regarding the operation of the firearm, the tragic event unfolded. Consequently, the jury rendered a guilty verdict against Lamb on charges of engaging in an unlawful and dangerous act, as well as exhibiting criminal negligence. Likewise, in the event of the duty of care, which can manifest itself in various ways. For instance, the creation of it can be facilitated through legal means. The presence of a contract may be attributed to the existence of a unique relationship between the individual and the victim, or in the case of professionals like doctors</w:t>
      </w:r>
      <w:r w:rsidR="00FE585D" w:rsidRPr="00676824">
        <w:rPr>
          <w:rFonts w:ascii="Arial" w:hAnsi="Arial" w:cs="Arial"/>
        </w:rPr>
        <w:t xml:space="preserve"> </w:t>
      </w:r>
      <w:r w:rsidR="00FE585D" w:rsidRPr="00676824">
        <w:rPr>
          <w:rFonts w:ascii="Arial" w:hAnsi="Arial" w:cs="Arial"/>
        </w:rPr>
        <w:t>(</w:t>
      </w:r>
      <w:r w:rsidR="00FE585D" w:rsidRPr="00676824">
        <w:rPr>
          <w:rFonts w:ascii="Arial" w:hAnsi="Arial" w:cs="Arial"/>
          <w:i/>
          <w:iCs/>
        </w:rPr>
        <w:t>UWTSD Moodle 2022/23: Log in to the site</w:t>
      </w:r>
      <w:r w:rsidR="00FE585D" w:rsidRPr="00676824">
        <w:rPr>
          <w:rFonts w:ascii="Arial" w:hAnsi="Arial" w:cs="Arial"/>
        </w:rPr>
        <w:t>, no date)</w:t>
      </w:r>
      <w:r w:rsidR="00FE585D" w:rsidRPr="00676824">
        <w:rPr>
          <w:rFonts w:ascii="Arial" w:hAnsi="Arial" w:cs="Arial"/>
        </w:rPr>
        <w:t>.</w:t>
      </w:r>
    </w:p>
    <w:p w14:paraId="5D8F770D" w14:textId="14F1F04F" w:rsidR="00B52D44" w:rsidRPr="00676824" w:rsidRDefault="000513FE" w:rsidP="002867F3">
      <w:pPr>
        <w:rPr>
          <w:rFonts w:ascii="Arial" w:hAnsi="Arial" w:cs="Arial"/>
        </w:rPr>
      </w:pPr>
      <w:r w:rsidRPr="00676824">
        <w:rPr>
          <w:rFonts w:ascii="Arial" w:hAnsi="Arial" w:cs="Arial"/>
        </w:rPr>
        <w:t>Moving on to,</w:t>
      </w:r>
      <w:r w:rsidR="00FE7092" w:rsidRPr="00676824">
        <w:rPr>
          <w:rFonts w:ascii="Arial" w:hAnsi="Arial" w:cs="Arial"/>
        </w:rPr>
        <w:t xml:space="preserve"> </w:t>
      </w:r>
      <w:r w:rsidR="00E57BB4" w:rsidRPr="00676824">
        <w:rPr>
          <w:rFonts w:ascii="Arial" w:hAnsi="Arial" w:cs="Arial"/>
        </w:rPr>
        <w:t>The report titled "Murder, Manslaughter, and Infanticide" w</w:t>
      </w:r>
      <w:r w:rsidR="00E57BB4" w:rsidRPr="00676824">
        <w:rPr>
          <w:rFonts w:ascii="Arial" w:hAnsi="Arial" w:cs="Arial"/>
        </w:rPr>
        <w:t>hich was</w:t>
      </w:r>
      <w:r w:rsidR="00E57BB4" w:rsidRPr="00676824">
        <w:rPr>
          <w:rFonts w:ascii="Arial" w:hAnsi="Arial" w:cs="Arial"/>
        </w:rPr>
        <w:t xml:space="preserve"> published by the Law Commission on November 29, 2006</w:t>
      </w:r>
      <w:r w:rsidR="00E51E6C" w:rsidRPr="00676824">
        <w:rPr>
          <w:rFonts w:ascii="Arial" w:hAnsi="Arial" w:cs="Arial"/>
        </w:rPr>
        <w:t>,</w:t>
      </w:r>
      <w:r w:rsidR="00E57BB4" w:rsidRPr="00676824">
        <w:rPr>
          <w:rFonts w:ascii="Arial" w:hAnsi="Arial" w:cs="Arial"/>
        </w:rPr>
        <w:t xml:space="preserve"> </w:t>
      </w:r>
      <w:r w:rsidR="00E51E6C" w:rsidRPr="00676824">
        <w:rPr>
          <w:rFonts w:ascii="Arial" w:hAnsi="Arial" w:cs="Arial"/>
        </w:rPr>
        <w:t xml:space="preserve">suggested that </w:t>
      </w:r>
      <w:r w:rsidR="00E51E6C" w:rsidRPr="00676824">
        <w:rPr>
          <w:rFonts w:ascii="Arial" w:hAnsi="Arial" w:cs="Arial"/>
        </w:rPr>
        <w:t xml:space="preserve">modifications for </w:t>
      </w:r>
      <w:r w:rsidR="009D1B09" w:rsidRPr="00676824">
        <w:rPr>
          <w:rFonts w:ascii="Arial" w:hAnsi="Arial" w:cs="Arial"/>
        </w:rPr>
        <w:t>reforms should be made regarding complicity in murder, diminished responsibility, provocation, and infanticide. Additionally</w:t>
      </w:r>
      <w:r w:rsidR="00551CFD" w:rsidRPr="00676824">
        <w:rPr>
          <w:rFonts w:ascii="Arial" w:hAnsi="Arial" w:cs="Arial"/>
        </w:rPr>
        <w:t xml:space="preserve">, </w:t>
      </w:r>
      <w:r w:rsidR="00551CFD" w:rsidRPr="00676824">
        <w:rPr>
          <w:rFonts w:ascii="Arial" w:hAnsi="Arial" w:cs="Arial"/>
        </w:rPr>
        <w:t xml:space="preserve">the existing two-tier structure of general homicide offences, specifically murder and manslaughter, should be implemented to incorporate a three-tier structure. This proposed structure would consist of First-degree murder </w:t>
      </w:r>
      <w:r w:rsidR="0016147F" w:rsidRPr="00676824">
        <w:rPr>
          <w:rFonts w:ascii="Arial" w:hAnsi="Arial" w:cs="Arial"/>
        </w:rPr>
        <w:t>carrying</w:t>
      </w:r>
      <w:r w:rsidR="00551CFD" w:rsidRPr="00676824">
        <w:rPr>
          <w:rFonts w:ascii="Arial" w:hAnsi="Arial" w:cs="Arial"/>
        </w:rPr>
        <w:t xml:space="preserve"> a </w:t>
      </w:r>
      <w:r w:rsidR="00551CFD" w:rsidRPr="00676824">
        <w:rPr>
          <w:rFonts w:ascii="Arial" w:hAnsi="Arial" w:cs="Arial"/>
        </w:rPr>
        <w:lastRenderedPageBreak/>
        <w:t>mandatory life sentence.</w:t>
      </w:r>
      <w:r w:rsidR="00C6392E" w:rsidRPr="00676824">
        <w:rPr>
          <w:rFonts w:ascii="Arial" w:hAnsi="Arial" w:cs="Arial"/>
        </w:rPr>
        <w:t xml:space="preserve"> </w:t>
      </w:r>
      <w:r w:rsidR="00551CFD" w:rsidRPr="00676824">
        <w:rPr>
          <w:rFonts w:ascii="Arial" w:hAnsi="Arial" w:cs="Arial"/>
        </w:rPr>
        <w:t xml:space="preserve">Second-degree murder, carrying a discretionary life </w:t>
      </w:r>
      <w:r w:rsidR="00C6392E" w:rsidRPr="00676824">
        <w:rPr>
          <w:rFonts w:ascii="Arial" w:hAnsi="Arial" w:cs="Arial"/>
        </w:rPr>
        <w:t xml:space="preserve">sentence. Finally, </w:t>
      </w:r>
      <w:r w:rsidR="00551CFD" w:rsidRPr="00676824">
        <w:rPr>
          <w:rFonts w:ascii="Arial" w:hAnsi="Arial" w:cs="Arial"/>
        </w:rPr>
        <w:t xml:space="preserve"> </w:t>
      </w:r>
      <w:r w:rsidR="00B34150" w:rsidRPr="00676824">
        <w:rPr>
          <w:rFonts w:ascii="Arial" w:hAnsi="Arial" w:cs="Arial"/>
        </w:rPr>
        <w:t>m</w:t>
      </w:r>
      <w:r w:rsidR="00551CFD" w:rsidRPr="00676824">
        <w:rPr>
          <w:rFonts w:ascii="Arial" w:hAnsi="Arial" w:cs="Arial"/>
        </w:rPr>
        <w:t xml:space="preserve">anslaughter also </w:t>
      </w:r>
      <w:r w:rsidR="00C6392E" w:rsidRPr="00676824">
        <w:rPr>
          <w:rFonts w:ascii="Arial" w:hAnsi="Arial" w:cs="Arial"/>
        </w:rPr>
        <w:t>carries</w:t>
      </w:r>
      <w:r w:rsidR="00551CFD" w:rsidRPr="00676824">
        <w:rPr>
          <w:rFonts w:ascii="Arial" w:hAnsi="Arial" w:cs="Arial"/>
        </w:rPr>
        <w:t xml:space="preserve"> a discretionary life sentence</w:t>
      </w:r>
      <w:r w:rsidR="005764FB" w:rsidRPr="00676824">
        <w:rPr>
          <w:rFonts w:ascii="Arial" w:hAnsi="Arial" w:cs="Arial"/>
        </w:rPr>
        <w:t xml:space="preserve"> </w:t>
      </w:r>
      <w:r w:rsidR="0055633C" w:rsidRPr="00676824">
        <w:rPr>
          <w:rFonts w:ascii="Arial" w:hAnsi="Arial" w:cs="Arial"/>
        </w:rPr>
        <w:t>(</w:t>
      </w:r>
      <w:r w:rsidR="0055633C" w:rsidRPr="00676824">
        <w:rPr>
          <w:rFonts w:ascii="Arial" w:hAnsi="Arial" w:cs="Arial"/>
          <w:i/>
          <w:iCs/>
        </w:rPr>
        <w:t>MURDER, MANSLAUGHTER AND INFANTICIDE</w:t>
      </w:r>
      <w:r w:rsidR="0055633C" w:rsidRPr="00676824">
        <w:rPr>
          <w:rFonts w:ascii="Arial" w:hAnsi="Arial" w:cs="Arial"/>
        </w:rPr>
        <w:t>, no date)</w:t>
      </w:r>
      <w:r w:rsidR="00C6392E" w:rsidRPr="00676824">
        <w:rPr>
          <w:rFonts w:ascii="Arial" w:hAnsi="Arial" w:cs="Arial"/>
        </w:rPr>
        <w:t>.</w:t>
      </w:r>
      <w:r w:rsidR="00B34150" w:rsidRPr="00676824">
        <w:rPr>
          <w:rFonts w:ascii="Arial" w:hAnsi="Arial" w:cs="Arial"/>
        </w:rPr>
        <w:t xml:space="preserve"> </w:t>
      </w:r>
      <w:r w:rsidR="009C3F43" w:rsidRPr="00676824">
        <w:rPr>
          <w:rFonts w:ascii="Arial" w:hAnsi="Arial" w:cs="Arial"/>
        </w:rPr>
        <w:t>Notably, t</w:t>
      </w:r>
      <w:r w:rsidR="00FB6E78" w:rsidRPr="00676824">
        <w:rPr>
          <w:rFonts w:ascii="Arial" w:hAnsi="Arial" w:cs="Arial"/>
        </w:rPr>
        <w:t xml:space="preserve">he </w:t>
      </w:r>
      <w:r w:rsidR="009C3F43" w:rsidRPr="00676824">
        <w:rPr>
          <w:rFonts w:ascii="Arial" w:hAnsi="Arial" w:cs="Arial"/>
        </w:rPr>
        <w:t>c</w:t>
      </w:r>
      <w:r w:rsidR="00FB6E78" w:rsidRPr="00676824">
        <w:rPr>
          <w:rFonts w:ascii="Arial" w:hAnsi="Arial" w:cs="Arial"/>
        </w:rPr>
        <w:t xml:space="preserve">ommission has recommended that mandatory life sentences be reserved for the most severe forms of homicide, specifically </w:t>
      </w:r>
      <w:r w:rsidR="009C3F43" w:rsidRPr="00676824">
        <w:rPr>
          <w:rFonts w:ascii="Arial" w:hAnsi="Arial" w:cs="Arial"/>
        </w:rPr>
        <w:t>first-degree</w:t>
      </w:r>
      <w:r w:rsidR="00FB6E78" w:rsidRPr="00676824">
        <w:rPr>
          <w:rFonts w:ascii="Arial" w:hAnsi="Arial" w:cs="Arial"/>
        </w:rPr>
        <w:t xml:space="preserve"> murder.</w:t>
      </w:r>
      <w:r w:rsidR="00C44054" w:rsidRPr="00676824">
        <w:rPr>
          <w:rFonts w:ascii="Arial" w:hAnsi="Arial" w:cs="Arial"/>
        </w:rPr>
        <w:t xml:space="preserve"> Also,</w:t>
      </w:r>
      <w:r w:rsidR="00FB6E78" w:rsidRPr="00676824">
        <w:rPr>
          <w:rFonts w:ascii="Arial" w:hAnsi="Arial" w:cs="Arial"/>
        </w:rPr>
        <w:t xml:space="preserve"> </w:t>
      </w:r>
      <w:r w:rsidR="00C44054" w:rsidRPr="00676824">
        <w:rPr>
          <w:rFonts w:ascii="Arial" w:hAnsi="Arial" w:cs="Arial"/>
        </w:rPr>
        <w:t>t</w:t>
      </w:r>
      <w:r w:rsidR="00FB6E78" w:rsidRPr="00676824">
        <w:rPr>
          <w:rFonts w:ascii="Arial" w:hAnsi="Arial" w:cs="Arial"/>
        </w:rPr>
        <w:t>he imposition of a discretionary life sentence should be maintained for the offence of manslaughter, as it currently stands. A</w:t>
      </w:r>
      <w:r w:rsidR="00FA23E5" w:rsidRPr="00676824">
        <w:rPr>
          <w:rFonts w:ascii="Arial" w:hAnsi="Arial" w:cs="Arial"/>
        </w:rPr>
        <w:t>nother</w:t>
      </w:r>
      <w:r w:rsidR="00FB6E78" w:rsidRPr="00676824">
        <w:rPr>
          <w:rFonts w:ascii="Arial" w:hAnsi="Arial" w:cs="Arial"/>
        </w:rPr>
        <w:t xml:space="preserve">, it is recommended that </w:t>
      </w:r>
      <w:r w:rsidR="009C3F43" w:rsidRPr="00676824">
        <w:rPr>
          <w:rFonts w:ascii="Arial" w:hAnsi="Arial" w:cs="Arial"/>
        </w:rPr>
        <w:t>second-degree</w:t>
      </w:r>
      <w:r w:rsidR="00FB6E78" w:rsidRPr="00676824">
        <w:rPr>
          <w:rFonts w:ascii="Arial" w:hAnsi="Arial" w:cs="Arial"/>
        </w:rPr>
        <w:t xml:space="preserve"> murder should also be eligible for a discretionary life sentence</w:t>
      </w:r>
      <w:r w:rsidR="00D63F6A" w:rsidRPr="00676824">
        <w:rPr>
          <w:rFonts w:ascii="Arial" w:hAnsi="Arial" w:cs="Arial"/>
        </w:rPr>
        <w:t xml:space="preserve"> </w:t>
      </w:r>
      <w:r w:rsidR="00D63F6A" w:rsidRPr="00676824">
        <w:rPr>
          <w:rFonts w:ascii="Arial" w:hAnsi="Arial" w:cs="Arial"/>
        </w:rPr>
        <w:t>(</w:t>
      </w:r>
      <w:r w:rsidR="00D63F6A" w:rsidRPr="00676824">
        <w:rPr>
          <w:rFonts w:ascii="Arial" w:hAnsi="Arial" w:cs="Arial"/>
          <w:i/>
          <w:iCs/>
        </w:rPr>
        <w:t>Reforming the Law on  Homicide</w:t>
      </w:r>
      <w:r w:rsidR="00D63F6A" w:rsidRPr="00676824">
        <w:rPr>
          <w:rFonts w:ascii="Arial" w:hAnsi="Arial" w:cs="Arial"/>
        </w:rPr>
        <w:t>, 2016)</w:t>
      </w:r>
      <w:r w:rsidR="00E36F1D" w:rsidRPr="00676824">
        <w:rPr>
          <w:rFonts w:ascii="Arial" w:hAnsi="Arial" w:cs="Arial"/>
        </w:rPr>
        <w:t xml:space="preserve">. </w:t>
      </w:r>
      <w:r w:rsidR="003C14DD" w:rsidRPr="00676824">
        <w:rPr>
          <w:rFonts w:ascii="Arial" w:hAnsi="Arial" w:cs="Arial"/>
        </w:rPr>
        <w:t>Further, t</w:t>
      </w:r>
      <w:r w:rsidR="00A84F8D" w:rsidRPr="00676824">
        <w:rPr>
          <w:rFonts w:ascii="Arial" w:hAnsi="Arial" w:cs="Arial"/>
        </w:rPr>
        <w:t xml:space="preserve">o look at this another way, </w:t>
      </w:r>
      <w:r w:rsidR="00F37BA7" w:rsidRPr="00676824">
        <w:rPr>
          <w:rFonts w:ascii="Arial" w:hAnsi="Arial" w:cs="Arial"/>
        </w:rPr>
        <w:t xml:space="preserve">Professor </w:t>
      </w:r>
      <w:proofErr w:type="spellStart"/>
      <w:r w:rsidR="00F37BA7" w:rsidRPr="00676824">
        <w:rPr>
          <w:rFonts w:ascii="Arial" w:hAnsi="Arial" w:cs="Arial"/>
        </w:rPr>
        <w:t>Horder</w:t>
      </w:r>
      <w:proofErr w:type="spellEnd"/>
      <w:r w:rsidR="00F37BA7" w:rsidRPr="00676824">
        <w:rPr>
          <w:rFonts w:ascii="Arial" w:hAnsi="Arial" w:cs="Arial"/>
        </w:rPr>
        <w:t xml:space="preserve"> explained the morality of seventeenth- and eighteenth-century situations. 21 Honourable men responded to certain </w:t>
      </w:r>
      <w:r w:rsidR="00F37BA7" w:rsidRPr="00676824">
        <w:rPr>
          <w:rFonts w:ascii="Arial" w:hAnsi="Arial" w:cs="Arial"/>
        </w:rPr>
        <w:t>offences</w:t>
      </w:r>
      <w:r w:rsidR="00F37BA7" w:rsidRPr="00676824">
        <w:rPr>
          <w:rFonts w:ascii="Arial" w:hAnsi="Arial" w:cs="Arial"/>
        </w:rPr>
        <w:t xml:space="preserve"> with restrained violence. He overreacted, but it was inherent human imperfection. This overreaction should be manslaughter, not hanging. The idea meant that not every minor insult would lead to a provoked homicide</w:t>
      </w:r>
      <w:r w:rsidR="008348FF" w:rsidRPr="00676824">
        <w:rPr>
          <w:rFonts w:ascii="Arial" w:hAnsi="Arial" w:cs="Arial"/>
        </w:rPr>
        <w:t xml:space="preserve"> </w:t>
      </w:r>
      <w:r w:rsidR="008348FF" w:rsidRPr="00676824">
        <w:rPr>
          <w:rFonts w:ascii="Arial" w:hAnsi="Arial" w:cs="Arial"/>
        </w:rPr>
        <w:t>(</w:t>
      </w:r>
      <w:r w:rsidR="008348FF" w:rsidRPr="00676824">
        <w:rPr>
          <w:rFonts w:ascii="Arial" w:hAnsi="Arial" w:cs="Arial"/>
          <w:i/>
          <w:iCs/>
        </w:rPr>
        <w:t>Partial Defences to Murder</w:t>
      </w:r>
      <w:r w:rsidR="008348FF" w:rsidRPr="00676824">
        <w:rPr>
          <w:rFonts w:ascii="Arial" w:hAnsi="Arial" w:cs="Arial"/>
        </w:rPr>
        <w:t>, 2004)</w:t>
      </w:r>
      <w:r w:rsidR="008348FF" w:rsidRPr="00676824">
        <w:rPr>
          <w:rFonts w:ascii="Arial" w:hAnsi="Arial" w:cs="Arial"/>
        </w:rPr>
        <w:t>.</w:t>
      </w:r>
    </w:p>
    <w:p w14:paraId="46CDDB57" w14:textId="1B55DD02" w:rsidR="004D14A2" w:rsidRPr="00676824" w:rsidRDefault="004D14A2" w:rsidP="002867F3">
      <w:pPr>
        <w:rPr>
          <w:rFonts w:ascii="Arial" w:hAnsi="Arial" w:cs="Arial"/>
        </w:rPr>
      </w:pPr>
      <w:r w:rsidRPr="00676824">
        <w:rPr>
          <w:rFonts w:ascii="Arial" w:hAnsi="Arial" w:cs="Arial"/>
        </w:rPr>
        <w:t>Overall, It</w:t>
      </w:r>
      <w:r w:rsidRPr="00676824">
        <w:rPr>
          <w:rFonts w:ascii="Arial" w:hAnsi="Arial" w:cs="Arial"/>
        </w:rPr>
        <w:t xml:space="preserve"> is dependent on </w:t>
      </w:r>
      <w:r w:rsidR="002C0FD0">
        <w:rPr>
          <w:rFonts w:ascii="Arial" w:hAnsi="Arial" w:cs="Arial"/>
        </w:rPr>
        <w:t>several</w:t>
      </w:r>
      <w:r w:rsidRPr="00676824">
        <w:rPr>
          <w:rFonts w:ascii="Arial" w:hAnsi="Arial" w:cs="Arial"/>
        </w:rPr>
        <w:t xml:space="preserve"> elements, including political considerations, societal attitudes, legal principles, practicalities, and the precise purposes of the proposed reforms whether a government will accept or reject recommendations for reform. It is difficult to make a general conclusion about whether the government acted appropriately or inappropriately in accepting or rejecting particular ideas without first considering each instance on its own.</w:t>
      </w:r>
      <w:r w:rsidR="008D4285" w:rsidRPr="00676824">
        <w:rPr>
          <w:rFonts w:ascii="Arial" w:hAnsi="Arial" w:cs="Arial"/>
        </w:rPr>
        <w:t xml:space="preserve"> What is more</w:t>
      </w:r>
      <w:r w:rsidR="009D7B0B" w:rsidRPr="00676824">
        <w:rPr>
          <w:rFonts w:ascii="Arial" w:hAnsi="Arial" w:cs="Arial"/>
        </w:rPr>
        <w:t xml:space="preserve">, </w:t>
      </w:r>
      <w:r w:rsidR="008D28CA" w:rsidRPr="00676824">
        <w:rPr>
          <w:rFonts w:ascii="Arial" w:hAnsi="Arial" w:cs="Arial"/>
        </w:rPr>
        <w:t xml:space="preserve">must determine if improvements comply with laws, constitutional provisions, and legal principles. An unconstitutional proposition may be </w:t>
      </w:r>
      <w:r w:rsidR="008D4285" w:rsidRPr="00676824">
        <w:rPr>
          <w:rFonts w:ascii="Arial" w:hAnsi="Arial" w:cs="Arial"/>
        </w:rPr>
        <w:t>rejected. In addition,</w:t>
      </w:r>
      <w:r w:rsidR="008D28CA" w:rsidRPr="00676824">
        <w:rPr>
          <w:rFonts w:ascii="Arial" w:hAnsi="Arial" w:cs="Arial"/>
        </w:rPr>
        <w:t xml:space="preserve"> </w:t>
      </w:r>
      <w:r w:rsidR="008D4285" w:rsidRPr="00676824">
        <w:rPr>
          <w:rFonts w:ascii="Arial" w:hAnsi="Arial" w:cs="Arial"/>
        </w:rPr>
        <w:t>t</w:t>
      </w:r>
      <w:r w:rsidR="008D28CA" w:rsidRPr="00676824">
        <w:rPr>
          <w:rFonts w:ascii="Arial" w:hAnsi="Arial" w:cs="Arial"/>
        </w:rPr>
        <w:t>he government may approve the idea if reform is needed to comply with legal duties or constitutional rights.</w:t>
      </w:r>
      <w:r w:rsidR="008606C7" w:rsidRPr="00676824">
        <w:rPr>
          <w:rFonts w:ascii="Arial" w:hAnsi="Arial" w:cs="Arial"/>
        </w:rPr>
        <w:t xml:space="preserve"> </w:t>
      </w:r>
      <w:r w:rsidR="006D4AA9" w:rsidRPr="00676824">
        <w:rPr>
          <w:rFonts w:ascii="Arial" w:hAnsi="Arial" w:cs="Arial"/>
        </w:rPr>
        <w:t>However, g</w:t>
      </w:r>
      <w:r w:rsidR="008D28CA" w:rsidRPr="00676824">
        <w:rPr>
          <w:rFonts w:ascii="Arial" w:hAnsi="Arial" w:cs="Arial"/>
        </w:rPr>
        <w:t xml:space="preserve">overnments may select suggestions that support their political agenda or voter base. </w:t>
      </w:r>
      <w:r w:rsidR="007C1ED8" w:rsidRPr="00676824">
        <w:rPr>
          <w:rFonts w:ascii="Arial" w:hAnsi="Arial" w:cs="Arial"/>
        </w:rPr>
        <w:t>Nevertheless, t</w:t>
      </w:r>
      <w:r w:rsidR="008A242B" w:rsidRPr="00676824">
        <w:rPr>
          <w:rFonts w:ascii="Arial" w:hAnsi="Arial" w:cs="Arial"/>
        </w:rPr>
        <w:t xml:space="preserve">he assessment of the government's decision to accept or reject particular proposals is inherently subjective and contingent upon individual perspectives and values. </w:t>
      </w:r>
      <w:r w:rsidR="002C0FD0">
        <w:rPr>
          <w:rFonts w:ascii="Arial" w:hAnsi="Arial" w:cs="Arial"/>
        </w:rPr>
        <w:t>Some individuals may</w:t>
      </w:r>
      <w:r w:rsidR="008A242B" w:rsidRPr="00676824">
        <w:rPr>
          <w:rFonts w:ascii="Arial" w:hAnsi="Arial" w:cs="Arial"/>
        </w:rPr>
        <w:t xml:space="preserve"> contend that the government's decision was appropriate, taking into account the aforementioned factors, whereas others may hold a differing viewpoint. The assessment of governmental decisions frequently entails a multifaceted examination of legal, ethical, social, and political considerations, which may differ based on the particular circumstances and proposition under scrutiny</w:t>
      </w:r>
      <w:r w:rsidR="00A4673B" w:rsidRPr="00676824">
        <w:rPr>
          <w:rFonts w:ascii="Arial" w:hAnsi="Arial" w:cs="Arial"/>
        </w:rPr>
        <w:t>. (</w:t>
      </w:r>
      <w:r w:rsidR="00A4673B" w:rsidRPr="00676824">
        <w:rPr>
          <w:rFonts w:ascii="Arial" w:hAnsi="Arial" w:cs="Arial"/>
          <w:i/>
          <w:iCs/>
        </w:rPr>
        <w:t>Labour’s constitutional proposals | Institute for Government</w:t>
      </w:r>
      <w:r w:rsidR="00A4673B" w:rsidRPr="00676824">
        <w:rPr>
          <w:rFonts w:ascii="Arial" w:hAnsi="Arial" w:cs="Arial"/>
        </w:rPr>
        <w:t>, 2022)</w:t>
      </w:r>
      <w:r w:rsidR="008A242B" w:rsidRPr="00676824">
        <w:rPr>
          <w:rFonts w:ascii="Arial" w:hAnsi="Arial" w:cs="Arial"/>
        </w:rPr>
        <w:t>.</w:t>
      </w:r>
    </w:p>
    <w:p w14:paraId="2965D838" w14:textId="7DF76FF7" w:rsidR="007249BB" w:rsidRPr="00676824" w:rsidRDefault="005C623C" w:rsidP="001C0C50">
      <w:pPr>
        <w:rPr>
          <w:rFonts w:ascii="Arial" w:hAnsi="Arial" w:cs="Arial"/>
        </w:rPr>
      </w:pPr>
      <w:r w:rsidRPr="00676824">
        <w:rPr>
          <w:rFonts w:ascii="Arial" w:hAnsi="Arial" w:cs="Arial"/>
        </w:rPr>
        <w:t xml:space="preserve">Turning now to, the </w:t>
      </w:r>
      <w:r w:rsidRPr="00676824">
        <w:rPr>
          <w:rFonts w:ascii="Arial" w:hAnsi="Arial" w:cs="Arial"/>
        </w:rPr>
        <w:t>objections against UK reform. The arguments against a reform depend on its setting. However, here are some general objections to reform</w:t>
      </w:r>
      <w:r w:rsidR="000C590C" w:rsidRPr="00676824">
        <w:rPr>
          <w:rFonts w:ascii="Arial" w:hAnsi="Arial" w:cs="Arial"/>
        </w:rPr>
        <w:t>.</w:t>
      </w:r>
      <w:r w:rsidR="008373E1" w:rsidRPr="00676824">
        <w:rPr>
          <w:rFonts w:ascii="Arial" w:hAnsi="Arial" w:cs="Arial"/>
        </w:rPr>
        <w:t xml:space="preserve"> </w:t>
      </w:r>
      <w:r w:rsidR="001A5F85" w:rsidRPr="00676824">
        <w:rPr>
          <w:rFonts w:ascii="Arial" w:hAnsi="Arial" w:cs="Arial"/>
        </w:rPr>
        <w:t>Firstly, s</w:t>
      </w:r>
      <w:r w:rsidRPr="00676824">
        <w:rPr>
          <w:rFonts w:ascii="Arial" w:hAnsi="Arial" w:cs="Arial"/>
        </w:rPr>
        <w:t>ome say that the UK's structures and institutions have evolved and proven their worth via stability and tradition. Reforms may alter norms and cause uncertainty or unforeseen repercussions</w:t>
      </w:r>
      <w:r w:rsidR="008373E1" w:rsidRPr="00676824">
        <w:rPr>
          <w:rFonts w:ascii="Arial" w:hAnsi="Arial" w:cs="Arial"/>
        </w:rPr>
        <w:t xml:space="preserve"> </w:t>
      </w:r>
      <w:r w:rsidR="008373E1" w:rsidRPr="00676824">
        <w:rPr>
          <w:rFonts w:ascii="Arial" w:hAnsi="Arial" w:cs="Arial"/>
        </w:rPr>
        <w:t>(</w:t>
      </w:r>
      <w:r w:rsidR="008373E1" w:rsidRPr="00676824">
        <w:rPr>
          <w:rFonts w:ascii="Arial" w:hAnsi="Arial" w:cs="Arial"/>
          <w:i/>
          <w:iCs/>
        </w:rPr>
        <w:t xml:space="preserve">A new Magna Carta? - Political and Constitutional Reform, </w:t>
      </w:r>
      <w:r w:rsidR="00605855" w:rsidRPr="00676824">
        <w:rPr>
          <w:rFonts w:ascii="Arial" w:hAnsi="Arial" w:cs="Arial"/>
          <w:i/>
          <w:iCs/>
        </w:rPr>
        <w:t>July 2014</w:t>
      </w:r>
      <w:r w:rsidR="008373E1" w:rsidRPr="00676824">
        <w:rPr>
          <w:rFonts w:ascii="Arial" w:hAnsi="Arial" w:cs="Arial"/>
          <w:i/>
          <w:iCs/>
        </w:rPr>
        <w:t>)</w:t>
      </w:r>
      <w:r w:rsidR="008373E1" w:rsidRPr="00676824">
        <w:rPr>
          <w:rFonts w:ascii="Arial" w:hAnsi="Arial" w:cs="Arial"/>
          <w:i/>
          <w:iCs/>
        </w:rPr>
        <w:t>.</w:t>
      </w:r>
      <w:r w:rsidR="001324DE" w:rsidRPr="00676824">
        <w:rPr>
          <w:rFonts w:ascii="Arial" w:hAnsi="Arial" w:cs="Arial"/>
          <w:i/>
          <w:iCs/>
        </w:rPr>
        <w:t xml:space="preserve"> </w:t>
      </w:r>
      <w:r w:rsidR="001324DE" w:rsidRPr="00676824">
        <w:rPr>
          <w:rFonts w:ascii="Arial" w:hAnsi="Arial" w:cs="Arial"/>
        </w:rPr>
        <w:t>As indicated earlier,</w:t>
      </w:r>
      <w:r w:rsidR="001324DE" w:rsidRPr="00676824">
        <w:rPr>
          <w:rFonts w:ascii="Arial" w:hAnsi="Arial" w:cs="Arial"/>
          <w:i/>
          <w:iCs/>
        </w:rPr>
        <w:t xml:space="preserve"> </w:t>
      </w:r>
      <w:r w:rsidR="001324DE" w:rsidRPr="00676824">
        <w:rPr>
          <w:rFonts w:ascii="Arial" w:hAnsi="Arial" w:cs="Arial"/>
        </w:rPr>
        <w:t>p</w:t>
      </w:r>
      <w:r w:rsidR="002F611C" w:rsidRPr="00676824">
        <w:rPr>
          <w:rFonts w:ascii="Arial" w:hAnsi="Arial" w:cs="Arial"/>
        </w:rPr>
        <w:t xml:space="preserve">eople who do not believe in reform may worry about the unexpected effects that could come from making </w:t>
      </w:r>
      <w:r w:rsidR="00D233AE" w:rsidRPr="00676824">
        <w:rPr>
          <w:rFonts w:ascii="Arial" w:hAnsi="Arial" w:cs="Arial"/>
        </w:rPr>
        <w:t>changes. Also,</w:t>
      </w:r>
      <w:r w:rsidR="002F611C" w:rsidRPr="00676824">
        <w:rPr>
          <w:rFonts w:ascii="Arial" w:hAnsi="Arial" w:cs="Arial"/>
        </w:rPr>
        <w:t xml:space="preserve"> </w:t>
      </w:r>
      <w:r w:rsidR="00D233AE" w:rsidRPr="00676824">
        <w:rPr>
          <w:rFonts w:ascii="Arial" w:hAnsi="Arial" w:cs="Arial"/>
        </w:rPr>
        <w:t>t</w:t>
      </w:r>
      <w:r w:rsidR="002F611C" w:rsidRPr="00676824">
        <w:rPr>
          <w:rFonts w:ascii="Arial" w:hAnsi="Arial" w:cs="Arial"/>
        </w:rPr>
        <w:t xml:space="preserve">hey say that even well-intended changes can have unintended negative effects on different people or the way the system works as a </w:t>
      </w:r>
      <w:r w:rsidR="00E95B10" w:rsidRPr="00676824">
        <w:rPr>
          <w:rFonts w:ascii="Arial" w:hAnsi="Arial" w:cs="Arial"/>
        </w:rPr>
        <w:t>whole. As</w:t>
      </w:r>
      <w:r w:rsidR="000E0D3B" w:rsidRPr="00676824">
        <w:rPr>
          <w:rFonts w:ascii="Arial" w:hAnsi="Arial" w:cs="Arial"/>
        </w:rPr>
        <w:t xml:space="preserve"> well as</w:t>
      </w:r>
      <w:r w:rsidR="00E95B10" w:rsidRPr="00676824">
        <w:rPr>
          <w:rFonts w:ascii="Arial" w:hAnsi="Arial" w:cs="Arial"/>
        </w:rPr>
        <w:t xml:space="preserve"> </w:t>
      </w:r>
      <w:r w:rsidR="000E0D3B" w:rsidRPr="00676824">
        <w:rPr>
          <w:rFonts w:ascii="Arial" w:hAnsi="Arial" w:cs="Arial"/>
          <w:i/>
          <w:iCs/>
        </w:rPr>
        <w:t>s</w:t>
      </w:r>
      <w:r w:rsidR="002F611C" w:rsidRPr="00676824">
        <w:rPr>
          <w:rFonts w:ascii="Arial" w:hAnsi="Arial" w:cs="Arial"/>
        </w:rPr>
        <w:t xml:space="preserve">ome people who are against reform might say that certain organizations or ways of doing things are important to keeping the UK's cultural heritage or national identity. </w:t>
      </w:r>
      <w:r w:rsidR="003C1F26" w:rsidRPr="00676824">
        <w:rPr>
          <w:rFonts w:ascii="Arial" w:hAnsi="Arial" w:cs="Arial"/>
        </w:rPr>
        <w:t>Others</w:t>
      </w:r>
      <w:r w:rsidR="002F611C" w:rsidRPr="00676824">
        <w:rPr>
          <w:rFonts w:ascii="Arial" w:hAnsi="Arial" w:cs="Arial"/>
        </w:rPr>
        <w:t xml:space="preserve"> may argue for keeping these traditions because they think that reforms could weaken or destroy important parts of the country's past and values</w:t>
      </w:r>
      <w:r w:rsidR="00E95B10" w:rsidRPr="00676824">
        <w:rPr>
          <w:rFonts w:ascii="Arial" w:hAnsi="Arial" w:cs="Arial"/>
        </w:rPr>
        <w:t xml:space="preserve"> </w:t>
      </w:r>
      <w:r w:rsidR="00E95B10" w:rsidRPr="002C0FD0">
        <w:rPr>
          <w:rFonts w:ascii="Arial" w:hAnsi="Arial" w:cs="Arial"/>
          <w:i/>
          <w:iCs/>
        </w:rPr>
        <w:t>(Ltd, 2023)</w:t>
      </w:r>
      <w:r w:rsidR="00393774" w:rsidRPr="002C0FD0">
        <w:rPr>
          <w:rFonts w:ascii="Arial" w:hAnsi="Arial" w:cs="Arial"/>
          <w:i/>
          <w:iCs/>
        </w:rPr>
        <w:t xml:space="preserve">. </w:t>
      </w:r>
      <w:r w:rsidR="002F611C" w:rsidRPr="00676824">
        <w:rPr>
          <w:rFonts w:ascii="Arial" w:hAnsi="Arial" w:cs="Arial"/>
        </w:rPr>
        <w:t>People do not like change in general, especially when it comes to methods or institutions that have been around for a long time. Some people or groups may not want to change because they like things the way they are and are afraid that change will cause chaos or confusion.</w:t>
      </w:r>
      <w:r w:rsidR="00855788" w:rsidRPr="00676824">
        <w:rPr>
          <w:rFonts w:ascii="Arial" w:hAnsi="Arial" w:cs="Arial"/>
        </w:rPr>
        <w:t xml:space="preserve"> Although</w:t>
      </w:r>
      <w:r w:rsidR="00681959" w:rsidRPr="00676824">
        <w:rPr>
          <w:rFonts w:ascii="Arial" w:hAnsi="Arial" w:cs="Arial"/>
        </w:rPr>
        <w:t xml:space="preserve">, </w:t>
      </w:r>
      <w:r w:rsidR="00681959" w:rsidRPr="00676824">
        <w:rPr>
          <w:rFonts w:ascii="Arial" w:hAnsi="Arial" w:cs="Arial"/>
        </w:rPr>
        <w:t>It is essential to keep in mind that these arguments are not exhaustive and that the specific circumstances and nature of each reform proposal will result in different considerations and opposing viewpoints. Public opinion, expert analysis, and political dynamics all contribute to the formation of arguments against reform in the United Kingdom</w:t>
      </w:r>
      <w:r w:rsidR="00A17F05" w:rsidRPr="00676824">
        <w:rPr>
          <w:rFonts w:ascii="Arial" w:hAnsi="Arial" w:cs="Arial"/>
        </w:rPr>
        <w:t xml:space="preserve"> </w:t>
      </w:r>
      <w:r w:rsidR="00A17F05" w:rsidRPr="00676824">
        <w:rPr>
          <w:rFonts w:ascii="Arial" w:hAnsi="Arial" w:cs="Arial"/>
        </w:rPr>
        <w:t>(</w:t>
      </w:r>
      <w:r w:rsidR="00A17F05" w:rsidRPr="00676824">
        <w:rPr>
          <w:rFonts w:ascii="Arial" w:hAnsi="Arial" w:cs="Arial"/>
          <w:i/>
          <w:iCs/>
        </w:rPr>
        <w:t>Public Opinion and the Dynamics of Reform</w:t>
      </w:r>
      <w:r w:rsidR="00A17F05" w:rsidRPr="00676824">
        <w:rPr>
          <w:rFonts w:ascii="Arial" w:hAnsi="Arial" w:cs="Arial"/>
        </w:rPr>
        <w:t>, 2023)</w:t>
      </w:r>
      <w:r w:rsidR="00681959" w:rsidRPr="00676824">
        <w:rPr>
          <w:rFonts w:ascii="Arial" w:hAnsi="Arial" w:cs="Arial"/>
        </w:rPr>
        <w:t>.</w:t>
      </w:r>
      <w:r w:rsidR="001C0C50" w:rsidRPr="00676824">
        <w:rPr>
          <w:rFonts w:ascii="Arial" w:hAnsi="Arial" w:cs="Arial"/>
        </w:rPr>
        <w:t xml:space="preserve"> </w:t>
      </w:r>
      <w:r w:rsidR="001C0C50" w:rsidRPr="00676824">
        <w:rPr>
          <w:rFonts w:ascii="Arial" w:hAnsi="Arial" w:cs="Arial"/>
        </w:rPr>
        <w:t>In conclusion</w:t>
      </w:r>
      <w:r w:rsidR="003830E3" w:rsidRPr="00676824">
        <w:rPr>
          <w:rFonts w:ascii="Arial" w:hAnsi="Arial" w:cs="Arial"/>
        </w:rPr>
        <w:t xml:space="preserve">, the question of whether or not the law that </w:t>
      </w:r>
      <w:r w:rsidR="003830E3" w:rsidRPr="00676824">
        <w:rPr>
          <w:rFonts w:ascii="Arial" w:hAnsi="Arial" w:cs="Arial"/>
        </w:rPr>
        <w:lastRenderedPageBreak/>
        <w:t xml:space="preserve">governs homicide in England and Wales requires modification </w:t>
      </w:r>
      <w:r w:rsidR="002C0FD0">
        <w:rPr>
          <w:rFonts w:ascii="Arial" w:hAnsi="Arial" w:cs="Arial"/>
        </w:rPr>
        <w:t>should</w:t>
      </w:r>
      <w:r w:rsidR="003830E3" w:rsidRPr="00676824">
        <w:rPr>
          <w:rFonts w:ascii="Arial" w:hAnsi="Arial" w:cs="Arial"/>
        </w:rPr>
        <w:t xml:space="preserve"> be discussed and divided by legal professionals, policymakers, and society as a whole based on a variety of criteria including social values, legal principles, and the requirement for justice and public safety.</w:t>
      </w:r>
    </w:p>
    <w:p w14:paraId="716E2641" w14:textId="77777777" w:rsidR="007249BB" w:rsidRPr="00676824" w:rsidRDefault="007249BB" w:rsidP="001C0C50">
      <w:pPr>
        <w:rPr>
          <w:rFonts w:ascii="Arial" w:hAnsi="Arial" w:cs="Arial"/>
        </w:rPr>
      </w:pPr>
    </w:p>
    <w:p w14:paraId="33000A44" w14:textId="77777777" w:rsidR="00F457E9" w:rsidRPr="00676824" w:rsidRDefault="00F457E9" w:rsidP="00F457E9">
      <w:pPr>
        <w:rPr>
          <w:rFonts w:ascii="Arial" w:hAnsi="Arial" w:cs="Arial"/>
        </w:rPr>
      </w:pPr>
    </w:p>
    <w:p w14:paraId="2396A67A" w14:textId="77777777" w:rsidR="00F457E9" w:rsidRPr="00676824" w:rsidRDefault="00F457E9" w:rsidP="00F457E9">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A new Magna Carta? - Political and Constitutional Reform</w:t>
      </w:r>
      <w:r w:rsidRPr="00676824">
        <w:rPr>
          <w:rFonts w:ascii="Arial" w:hAnsi="Arial" w:cs="Arial"/>
          <w:sz w:val="22"/>
          <w:szCs w:val="22"/>
        </w:rPr>
        <w:t xml:space="preserve"> (20144). Available at: https://publications.parliament.uk/pa/cm201415/cmselect/cmpolcon/463/46308.htm (Accessed: June 30, 2023).</w:t>
      </w:r>
    </w:p>
    <w:p w14:paraId="33E82285" w14:textId="77777777" w:rsidR="00FB1954" w:rsidRPr="00676824" w:rsidRDefault="00FB1954" w:rsidP="00F457E9">
      <w:pPr>
        <w:pStyle w:val="NormalWeb"/>
        <w:spacing w:before="0" w:beforeAutospacing="0" w:after="0" w:afterAutospacing="0" w:line="480" w:lineRule="auto"/>
        <w:ind w:left="720" w:hanging="720"/>
        <w:rPr>
          <w:rFonts w:ascii="Arial" w:hAnsi="Arial" w:cs="Arial"/>
          <w:sz w:val="22"/>
          <w:szCs w:val="22"/>
        </w:rPr>
      </w:pPr>
    </w:p>
    <w:p w14:paraId="081D53BE" w14:textId="237A9133" w:rsidR="00FB1954" w:rsidRPr="00676824" w:rsidRDefault="00FB1954" w:rsidP="00FB1954">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Homicide: Murder and Manslaughter | The Crown Prosecution Service</w:t>
      </w:r>
      <w:r w:rsidRPr="00676824">
        <w:rPr>
          <w:rFonts w:ascii="Arial" w:hAnsi="Arial" w:cs="Arial"/>
          <w:sz w:val="22"/>
          <w:szCs w:val="22"/>
        </w:rPr>
        <w:t xml:space="preserve"> (2023). Available at: </w:t>
      </w:r>
      <w:hyperlink r:id="rId4" w:history="1">
        <w:r w:rsidR="00653B83" w:rsidRPr="00676824">
          <w:rPr>
            <w:rStyle w:val="Hyperlink"/>
            <w:rFonts w:ascii="Arial" w:hAnsi="Arial" w:cs="Arial"/>
            <w:sz w:val="22"/>
            <w:szCs w:val="22"/>
          </w:rPr>
          <w:t>https://www.cps.gov.uk/legal-guidance/homicide-murder-and-manslaughter</w:t>
        </w:r>
      </w:hyperlink>
      <w:r w:rsidR="00653B83" w:rsidRPr="00676824">
        <w:rPr>
          <w:rFonts w:ascii="Arial" w:hAnsi="Arial" w:cs="Arial"/>
          <w:sz w:val="22"/>
          <w:szCs w:val="22"/>
        </w:rPr>
        <w:t xml:space="preserve"> </w:t>
      </w:r>
      <w:r w:rsidR="00653B83" w:rsidRPr="00676824">
        <w:rPr>
          <w:rFonts w:ascii="Arial" w:hAnsi="Arial" w:cs="Arial"/>
          <w:sz w:val="22"/>
          <w:szCs w:val="22"/>
        </w:rPr>
        <w:t>(Accessed: June 30, 2023).</w:t>
      </w:r>
    </w:p>
    <w:p w14:paraId="68224855" w14:textId="77777777" w:rsidR="00FB1954" w:rsidRPr="00676824" w:rsidRDefault="00FB1954" w:rsidP="00FB1954">
      <w:pPr>
        <w:rPr>
          <w:rFonts w:ascii="Arial" w:hAnsi="Arial" w:cs="Arial"/>
        </w:rPr>
      </w:pPr>
    </w:p>
    <w:p w14:paraId="063DDA72" w14:textId="4F06FF47" w:rsidR="00FB1954" w:rsidRPr="00676824" w:rsidRDefault="00FB1954" w:rsidP="00FB1954">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Homicide: Murder and Manslaughter | The Crown Prosecution Service</w:t>
      </w:r>
      <w:r w:rsidRPr="00676824">
        <w:rPr>
          <w:rFonts w:ascii="Arial" w:hAnsi="Arial" w:cs="Arial"/>
          <w:sz w:val="22"/>
          <w:szCs w:val="22"/>
        </w:rPr>
        <w:t xml:space="preserve"> (2023b). Available at: </w:t>
      </w:r>
      <w:hyperlink r:id="rId5" w:history="1">
        <w:r w:rsidR="00653B83" w:rsidRPr="00676824">
          <w:rPr>
            <w:rStyle w:val="Hyperlink"/>
            <w:rFonts w:ascii="Arial" w:hAnsi="Arial" w:cs="Arial"/>
            <w:sz w:val="22"/>
            <w:szCs w:val="22"/>
          </w:rPr>
          <w:t>https://www.cps.gov.uk/legal-guidance/homicide-murder-and-manslaughter</w:t>
        </w:r>
      </w:hyperlink>
      <w:r w:rsidR="00653B83" w:rsidRPr="00676824">
        <w:rPr>
          <w:rFonts w:ascii="Arial" w:hAnsi="Arial" w:cs="Arial"/>
          <w:sz w:val="22"/>
          <w:szCs w:val="22"/>
        </w:rPr>
        <w:t xml:space="preserve"> </w:t>
      </w:r>
      <w:r w:rsidR="00653B83" w:rsidRPr="00676824">
        <w:rPr>
          <w:rFonts w:ascii="Arial" w:hAnsi="Arial" w:cs="Arial"/>
          <w:sz w:val="22"/>
          <w:szCs w:val="22"/>
        </w:rPr>
        <w:t>(Accessed: June 30, 2023).</w:t>
      </w:r>
    </w:p>
    <w:p w14:paraId="4EAED6FE" w14:textId="77777777" w:rsidR="00D9625B" w:rsidRPr="00C82FD0" w:rsidRDefault="00D9625B" w:rsidP="00D9625B">
      <w:pPr>
        <w:spacing w:after="0" w:line="240" w:lineRule="auto"/>
        <w:rPr>
          <w:rFonts w:ascii="Arial" w:eastAsia="Times New Roman" w:hAnsi="Arial" w:cs="Arial"/>
          <w:i/>
          <w:iCs/>
          <w:lang w:eastAsia="en-GB"/>
        </w:rPr>
      </w:pPr>
      <w:r w:rsidRPr="00C82FD0">
        <w:rPr>
          <w:rFonts w:ascii="Arial" w:eastAsia="Times New Roman" w:hAnsi="Arial" w:cs="Arial"/>
          <w:i/>
          <w:iCs/>
          <w:lang w:eastAsia="en-GB"/>
        </w:rPr>
        <w:t>Graham Virgo. (1994). Back to Basics. Reconstructing Manslaughter. The Cambridge Law Journal, 53(1), 44–53. http://www.jstor.org/stable/4507900</w:t>
      </w:r>
    </w:p>
    <w:p w14:paraId="0DC584E3" w14:textId="77777777" w:rsidR="00653B83" w:rsidRPr="00676824" w:rsidRDefault="00653B83" w:rsidP="00653B83">
      <w:pPr>
        <w:rPr>
          <w:rFonts w:ascii="Arial" w:hAnsi="Arial" w:cs="Arial"/>
        </w:rPr>
      </w:pPr>
    </w:p>
    <w:p w14:paraId="6D87B335" w14:textId="63952A76" w:rsidR="00653B83" w:rsidRPr="00676824" w:rsidRDefault="00653B83" w:rsidP="00653B83">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sz w:val="22"/>
          <w:szCs w:val="22"/>
        </w:rPr>
        <w:t xml:space="preserve">Ltd, A.A. (2023) “Arguments For and Against the UK Having a Written Constitution,” </w:t>
      </w:r>
      <w:r w:rsidRPr="00676824">
        <w:rPr>
          <w:rFonts w:ascii="Arial" w:hAnsi="Arial" w:cs="Arial"/>
          <w:i/>
          <w:iCs/>
          <w:sz w:val="22"/>
          <w:szCs w:val="22"/>
        </w:rPr>
        <w:t>www.lawteacher.net</w:t>
      </w:r>
      <w:r w:rsidRPr="00676824">
        <w:rPr>
          <w:rFonts w:ascii="Arial" w:hAnsi="Arial" w:cs="Arial"/>
          <w:sz w:val="22"/>
          <w:szCs w:val="22"/>
        </w:rPr>
        <w:t xml:space="preserve"> [Preprint]. Available at: </w:t>
      </w:r>
      <w:hyperlink r:id="rId6" w:history="1">
        <w:r w:rsidRPr="00676824">
          <w:rPr>
            <w:rStyle w:val="Hyperlink"/>
            <w:rFonts w:ascii="Arial" w:hAnsi="Arial" w:cs="Arial"/>
            <w:sz w:val="22"/>
            <w:szCs w:val="22"/>
          </w:rPr>
          <w:t>https://www.lawteacher.net/free-law-essays/constitutional-law/uk-written-constitution-debate-9383.php</w:t>
        </w:r>
      </w:hyperlink>
      <w:r w:rsidRPr="00676824">
        <w:rPr>
          <w:rFonts w:ascii="Arial" w:hAnsi="Arial" w:cs="Arial"/>
          <w:sz w:val="22"/>
          <w:szCs w:val="22"/>
        </w:rPr>
        <w:t xml:space="preserve"> </w:t>
      </w:r>
      <w:r w:rsidRPr="00676824">
        <w:rPr>
          <w:rFonts w:ascii="Arial" w:hAnsi="Arial" w:cs="Arial"/>
          <w:sz w:val="22"/>
          <w:szCs w:val="22"/>
        </w:rPr>
        <w:t>(Accessed: June 30, 2023).</w:t>
      </w:r>
    </w:p>
    <w:p w14:paraId="509891C7" w14:textId="23DA549D" w:rsidR="00FB1954" w:rsidRPr="00676824" w:rsidRDefault="00653B83" w:rsidP="00F457E9">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Labour’s constitutional proposals | Institute for Government</w:t>
      </w:r>
      <w:r w:rsidRPr="00676824">
        <w:rPr>
          <w:rFonts w:ascii="Arial" w:hAnsi="Arial" w:cs="Arial"/>
          <w:sz w:val="22"/>
          <w:szCs w:val="22"/>
        </w:rPr>
        <w:t xml:space="preserve"> (2022). Available at: </w:t>
      </w:r>
      <w:hyperlink r:id="rId7" w:history="1">
        <w:r w:rsidRPr="00676824">
          <w:rPr>
            <w:rStyle w:val="Hyperlink"/>
            <w:rFonts w:ascii="Arial" w:hAnsi="Arial" w:cs="Arial"/>
            <w:sz w:val="22"/>
            <w:szCs w:val="22"/>
          </w:rPr>
          <w:t>https://www.instituteforgovernment.org.uk/explainer/labours-constitutional-proposals</w:t>
        </w:r>
      </w:hyperlink>
      <w:r w:rsidRPr="00676824">
        <w:rPr>
          <w:rFonts w:ascii="Arial" w:hAnsi="Arial" w:cs="Arial"/>
          <w:sz w:val="22"/>
          <w:szCs w:val="22"/>
        </w:rPr>
        <w:t xml:space="preserve"> </w:t>
      </w:r>
      <w:r w:rsidRPr="00676824">
        <w:rPr>
          <w:rFonts w:ascii="Arial" w:hAnsi="Arial" w:cs="Arial"/>
          <w:sz w:val="22"/>
          <w:szCs w:val="22"/>
        </w:rPr>
        <w:t>(Accessed: June 30, 2023).</w:t>
      </w:r>
    </w:p>
    <w:p w14:paraId="22696AF4" w14:textId="77777777" w:rsidR="00C73A1A" w:rsidRPr="00676824" w:rsidRDefault="00C73A1A" w:rsidP="00C73A1A">
      <w:pPr>
        <w:rPr>
          <w:rFonts w:ascii="Arial" w:hAnsi="Arial" w:cs="Arial"/>
        </w:rPr>
      </w:pPr>
    </w:p>
    <w:p w14:paraId="4138D6AD" w14:textId="3FEF3A2D" w:rsidR="00C73A1A" w:rsidRPr="00676824" w:rsidRDefault="00C73A1A" w:rsidP="00C73A1A">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sz w:val="22"/>
          <w:szCs w:val="22"/>
        </w:rPr>
        <w:t xml:space="preserve">Office, C. (2018) “Consultation principles: guidance,” </w:t>
      </w:r>
      <w:r w:rsidRPr="00676824">
        <w:rPr>
          <w:rFonts w:ascii="Arial" w:hAnsi="Arial" w:cs="Arial"/>
          <w:i/>
          <w:iCs/>
          <w:sz w:val="22"/>
          <w:szCs w:val="22"/>
        </w:rPr>
        <w:t>GOV.UK</w:t>
      </w:r>
      <w:r w:rsidRPr="00676824">
        <w:rPr>
          <w:rFonts w:ascii="Arial" w:hAnsi="Arial" w:cs="Arial"/>
          <w:sz w:val="22"/>
          <w:szCs w:val="22"/>
        </w:rPr>
        <w:t xml:space="preserve"> [Preprint]. Available at: </w:t>
      </w:r>
      <w:hyperlink r:id="rId8" w:history="1">
        <w:r w:rsidRPr="00676824">
          <w:rPr>
            <w:rStyle w:val="Hyperlink"/>
            <w:rFonts w:ascii="Arial" w:hAnsi="Arial" w:cs="Arial"/>
            <w:sz w:val="22"/>
            <w:szCs w:val="22"/>
          </w:rPr>
          <w:t>https://www.gov.uk/government/publications/consultation-principles-guidance</w:t>
        </w:r>
      </w:hyperlink>
      <w:r w:rsidRPr="00676824">
        <w:rPr>
          <w:rFonts w:ascii="Arial" w:hAnsi="Arial" w:cs="Arial"/>
          <w:sz w:val="22"/>
          <w:szCs w:val="22"/>
        </w:rPr>
        <w:t xml:space="preserve"> </w:t>
      </w:r>
      <w:r w:rsidRPr="00676824">
        <w:rPr>
          <w:rFonts w:ascii="Arial" w:hAnsi="Arial" w:cs="Arial"/>
          <w:sz w:val="22"/>
          <w:szCs w:val="22"/>
        </w:rPr>
        <w:t>(Accessed: June 30, 2023).</w:t>
      </w:r>
    </w:p>
    <w:p w14:paraId="6277A107" w14:textId="77777777" w:rsidR="00C73A1A" w:rsidRPr="00676824" w:rsidRDefault="00C73A1A" w:rsidP="00F457E9">
      <w:pPr>
        <w:pStyle w:val="NormalWeb"/>
        <w:spacing w:before="0" w:beforeAutospacing="0" w:after="0" w:afterAutospacing="0" w:line="480" w:lineRule="auto"/>
        <w:ind w:left="720" w:hanging="720"/>
        <w:rPr>
          <w:rFonts w:ascii="Arial" w:hAnsi="Arial" w:cs="Arial"/>
          <w:sz w:val="22"/>
          <w:szCs w:val="22"/>
        </w:rPr>
      </w:pPr>
    </w:p>
    <w:p w14:paraId="433887C9" w14:textId="77777777" w:rsidR="003233CD" w:rsidRPr="00B9388E" w:rsidRDefault="003233CD" w:rsidP="003233CD">
      <w:pPr>
        <w:pStyle w:val="NormalWeb"/>
        <w:spacing w:before="0" w:beforeAutospacing="0" w:after="0" w:afterAutospacing="0" w:line="480" w:lineRule="auto"/>
        <w:ind w:left="720" w:hanging="720"/>
        <w:rPr>
          <w:rFonts w:ascii="Arial" w:hAnsi="Arial" w:cs="Arial"/>
          <w:i/>
          <w:iCs/>
          <w:sz w:val="22"/>
          <w:szCs w:val="22"/>
        </w:rPr>
      </w:pPr>
      <w:r w:rsidRPr="00676824">
        <w:rPr>
          <w:rFonts w:ascii="Arial" w:hAnsi="Arial" w:cs="Arial"/>
          <w:i/>
          <w:iCs/>
          <w:sz w:val="22"/>
          <w:szCs w:val="22"/>
        </w:rPr>
        <w:t>MURDER, MANSLAUGHTER AND INFANTICIDE</w:t>
      </w:r>
      <w:r w:rsidRPr="00676824">
        <w:rPr>
          <w:rFonts w:ascii="Arial" w:hAnsi="Arial" w:cs="Arial"/>
          <w:sz w:val="22"/>
          <w:szCs w:val="22"/>
        </w:rPr>
        <w:t xml:space="preserve"> (no date). Available at: </w:t>
      </w:r>
      <w:r w:rsidRPr="00B9388E">
        <w:rPr>
          <w:rFonts w:ascii="Arial" w:hAnsi="Arial" w:cs="Arial"/>
          <w:i/>
          <w:iCs/>
          <w:sz w:val="22"/>
          <w:szCs w:val="22"/>
        </w:rPr>
        <w:t>https://www.lawcom.gov.uk/app/uploads/2015/03/lc304_Murder_Manslaughter_and_Infanticide_Report.pdf (Accessed: June 30, 2023).</w:t>
      </w:r>
    </w:p>
    <w:p w14:paraId="0F87F6E9" w14:textId="240EA144" w:rsidR="003233CD" w:rsidRPr="00B9388E" w:rsidRDefault="003233CD" w:rsidP="003233CD">
      <w:pPr>
        <w:pStyle w:val="NormalWeb"/>
        <w:spacing w:before="0" w:beforeAutospacing="0" w:after="0" w:afterAutospacing="0" w:line="480" w:lineRule="auto"/>
        <w:ind w:left="720" w:hanging="720"/>
        <w:rPr>
          <w:rFonts w:ascii="Arial" w:hAnsi="Arial" w:cs="Arial"/>
          <w:i/>
          <w:iCs/>
          <w:sz w:val="22"/>
          <w:szCs w:val="22"/>
        </w:rPr>
      </w:pPr>
      <w:r w:rsidRPr="00B9388E">
        <w:rPr>
          <w:rFonts w:ascii="Arial" w:hAnsi="Arial" w:cs="Arial"/>
          <w:i/>
          <w:iCs/>
          <w:sz w:val="22"/>
          <w:szCs w:val="22"/>
        </w:rPr>
        <w:t xml:space="preserve">Post, M. (2015) “Homicide law reform,” JUSTICE [Preprint]. Available at: </w:t>
      </w:r>
      <w:hyperlink r:id="rId9" w:history="1">
        <w:r w:rsidR="005F3680" w:rsidRPr="00B9388E">
          <w:rPr>
            <w:rStyle w:val="Hyperlink"/>
            <w:rFonts w:ascii="Arial" w:hAnsi="Arial" w:cs="Arial"/>
            <w:i/>
            <w:iCs/>
            <w:sz w:val="22"/>
            <w:szCs w:val="22"/>
          </w:rPr>
          <w:t>https://justice.org.uk/homicide-law-reform/#:~:text=Any%20amendment%20of%20the%20law%20of%20homicide%20is%2C,Article%202%20European%20Convention%20on%20Human%20Rights%20%28ECHR%29</w:t>
        </w:r>
      </w:hyperlink>
      <w:r w:rsidR="005F3680" w:rsidRPr="00B9388E">
        <w:rPr>
          <w:rFonts w:ascii="Arial" w:hAnsi="Arial" w:cs="Arial"/>
          <w:i/>
          <w:iCs/>
          <w:sz w:val="22"/>
          <w:szCs w:val="22"/>
        </w:rPr>
        <w:t xml:space="preserve"> </w:t>
      </w:r>
      <w:r w:rsidR="005F3680" w:rsidRPr="00B9388E">
        <w:rPr>
          <w:rFonts w:ascii="Arial" w:hAnsi="Arial" w:cs="Arial"/>
          <w:i/>
          <w:iCs/>
          <w:sz w:val="22"/>
          <w:szCs w:val="22"/>
        </w:rPr>
        <w:t>(Accessed: July 1, 2023).</w:t>
      </w:r>
    </w:p>
    <w:p w14:paraId="6E17EFC1" w14:textId="77777777" w:rsidR="003233CD" w:rsidRPr="00676824" w:rsidRDefault="003233CD" w:rsidP="003233CD">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Partial Defences to Murder</w:t>
      </w:r>
      <w:r w:rsidRPr="00676824">
        <w:rPr>
          <w:rFonts w:ascii="Arial" w:hAnsi="Arial" w:cs="Arial"/>
          <w:sz w:val="22"/>
          <w:szCs w:val="22"/>
        </w:rPr>
        <w:t xml:space="preserve"> (2004). Available at: https://www.lawcom.gov.uk/app/uploads/2015/03/lc290_Partial_Defences_to_Murder.pdf (Accessed: July 1, 2023).</w:t>
      </w:r>
    </w:p>
    <w:p w14:paraId="67EC9D0E" w14:textId="7D9F14E4" w:rsidR="001C3140" w:rsidRPr="00676824" w:rsidRDefault="004F73E9" w:rsidP="00031A99">
      <w:pPr>
        <w:rPr>
          <w:rFonts w:ascii="Arial" w:hAnsi="Arial" w:cs="Arial"/>
        </w:rPr>
      </w:pPr>
      <w:r w:rsidRPr="00676824">
        <w:rPr>
          <w:rFonts w:ascii="Arial" w:hAnsi="Arial" w:cs="Arial"/>
          <w:i/>
          <w:iCs/>
        </w:rPr>
        <w:t>Public Opinion and the Dynamics of Reform</w:t>
      </w:r>
      <w:r w:rsidRPr="00676824">
        <w:rPr>
          <w:rFonts w:ascii="Arial" w:hAnsi="Arial" w:cs="Arial"/>
        </w:rPr>
        <w:t xml:space="preserve"> (2023). Available at: https://www.imf.org/en/Home (Accessed: June 25, 2023).</w:t>
      </w:r>
    </w:p>
    <w:p w14:paraId="42029052" w14:textId="15CE7AF5" w:rsidR="00D10902" w:rsidRPr="00676824" w:rsidRDefault="00D10902" w:rsidP="00D10902">
      <w:pPr>
        <w:pStyle w:val="NormalWeb"/>
        <w:spacing w:before="0" w:beforeAutospacing="0" w:after="0" w:afterAutospacing="0" w:line="480" w:lineRule="auto"/>
        <w:ind w:left="720" w:hanging="720"/>
        <w:rPr>
          <w:rFonts w:ascii="Arial" w:hAnsi="Arial" w:cs="Arial"/>
          <w:sz w:val="22"/>
          <w:szCs w:val="22"/>
        </w:rPr>
      </w:pPr>
      <w:r w:rsidRPr="00676824">
        <w:rPr>
          <w:rFonts w:ascii="Arial" w:hAnsi="Arial" w:cs="Arial"/>
          <w:i/>
          <w:iCs/>
          <w:sz w:val="22"/>
          <w:szCs w:val="22"/>
        </w:rPr>
        <w:t>UWTSD Moodle 2022/23: Log in to the site</w:t>
      </w:r>
      <w:r w:rsidRPr="00676824">
        <w:rPr>
          <w:rFonts w:ascii="Arial" w:hAnsi="Arial" w:cs="Arial"/>
          <w:sz w:val="22"/>
          <w:szCs w:val="22"/>
        </w:rPr>
        <w:t xml:space="preserve"> (no date). Available at: </w:t>
      </w:r>
      <w:hyperlink r:id="rId10" w:history="1">
        <w:r w:rsidR="00031A99" w:rsidRPr="00676824">
          <w:rPr>
            <w:rStyle w:val="Hyperlink"/>
            <w:rFonts w:ascii="Arial" w:hAnsi="Arial" w:cs="Arial"/>
            <w:sz w:val="22"/>
            <w:szCs w:val="22"/>
          </w:rPr>
          <w:t>https://moodle.uwtsd.ac.uk/mod/folder/view.php?id=504218</w:t>
        </w:r>
      </w:hyperlink>
      <w:r w:rsidR="00031A99" w:rsidRPr="00676824">
        <w:rPr>
          <w:rFonts w:ascii="Arial" w:hAnsi="Arial" w:cs="Arial"/>
          <w:sz w:val="22"/>
          <w:szCs w:val="22"/>
        </w:rPr>
        <w:t xml:space="preserve"> </w:t>
      </w:r>
      <w:r w:rsidR="00031A99" w:rsidRPr="00676824">
        <w:rPr>
          <w:rFonts w:ascii="Arial" w:hAnsi="Arial" w:cs="Arial"/>
          <w:sz w:val="22"/>
          <w:szCs w:val="22"/>
        </w:rPr>
        <w:t>(Accessed: J</w:t>
      </w:r>
      <w:r w:rsidR="00031A99" w:rsidRPr="00676824">
        <w:rPr>
          <w:rFonts w:ascii="Arial" w:hAnsi="Arial" w:cs="Arial"/>
          <w:sz w:val="22"/>
          <w:szCs w:val="22"/>
        </w:rPr>
        <w:t>une</w:t>
      </w:r>
      <w:r w:rsidR="00031A99" w:rsidRPr="00676824">
        <w:rPr>
          <w:rFonts w:ascii="Arial" w:hAnsi="Arial" w:cs="Arial"/>
          <w:sz w:val="22"/>
          <w:szCs w:val="22"/>
        </w:rPr>
        <w:t xml:space="preserve"> </w:t>
      </w:r>
      <w:r w:rsidR="00031A99" w:rsidRPr="00676824">
        <w:rPr>
          <w:rFonts w:ascii="Arial" w:hAnsi="Arial" w:cs="Arial"/>
          <w:sz w:val="22"/>
          <w:szCs w:val="22"/>
        </w:rPr>
        <w:t>25</w:t>
      </w:r>
      <w:r w:rsidR="00031A99" w:rsidRPr="00676824">
        <w:rPr>
          <w:rFonts w:ascii="Arial" w:hAnsi="Arial" w:cs="Arial"/>
          <w:sz w:val="22"/>
          <w:szCs w:val="22"/>
        </w:rPr>
        <w:t>, 2023).</w:t>
      </w:r>
    </w:p>
    <w:p w14:paraId="1D2D7BB5" w14:textId="77777777" w:rsidR="00AC4743" w:rsidRPr="00676824" w:rsidRDefault="00AC4743">
      <w:pPr>
        <w:rPr>
          <w:rFonts w:ascii="Arial" w:hAnsi="Arial" w:cs="Arial"/>
        </w:rPr>
      </w:pPr>
    </w:p>
    <w:p w14:paraId="19AACDDE" w14:textId="77777777" w:rsidR="006547B4" w:rsidRPr="00676824" w:rsidRDefault="006547B4">
      <w:pPr>
        <w:rPr>
          <w:rFonts w:ascii="Arial" w:hAnsi="Arial" w:cs="Arial"/>
        </w:rPr>
      </w:pPr>
    </w:p>
    <w:p w14:paraId="05331295" w14:textId="77777777" w:rsidR="006547B4" w:rsidRPr="00676824" w:rsidRDefault="006547B4">
      <w:pPr>
        <w:rPr>
          <w:rFonts w:ascii="Arial" w:hAnsi="Arial" w:cs="Arial"/>
        </w:rPr>
      </w:pPr>
    </w:p>
    <w:sectPr w:rsidR="006547B4" w:rsidRPr="006768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26E"/>
    <w:rsid w:val="00004551"/>
    <w:rsid w:val="00007C8F"/>
    <w:rsid w:val="00031A99"/>
    <w:rsid w:val="00033CD7"/>
    <w:rsid w:val="000513FE"/>
    <w:rsid w:val="00085896"/>
    <w:rsid w:val="00085B32"/>
    <w:rsid w:val="000B27B3"/>
    <w:rsid w:val="000C0841"/>
    <w:rsid w:val="000C590C"/>
    <w:rsid w:val="000E0D3B"/>
    <w:rsid w:val="00103131"/>
    <w:rsid w:val="00112D39"/>
    <w:rsid w:val="00122B50"/>
    <w:rsid w:val="001271F2"/>
    <w:rsid w:val="001324DE"/>
    <w:rsid w:val="0016147F"/>
    <w:rsid w:val="001740B1"/>
    <w:rsid w:val="00186446"/>
    <w:rsid w:val="0019634F"/>
    <w:rsid w:val="001A5F85"/>
    <w:rsid w:val="001C0C50"/>
    <w:rsid w:val="001C3140"/>
    <w:rsid w:val="0021449B"/>
    <w:rsid w:val="00233D26"/>
    <w:rsid w:val="00250060"/>
    <w:rsid w:val="00255C33"/>
    <w:rsid w:val="002610E9"/>
    <w:rsid w:val="002867F3"/>
    <w:rsid w:val="00295004"/>
    <w:rsid w:val="002B3D9D"/>
    <w:rsid w:val="002C0FD0"/>
    <w:rsid w:val="002E6F5E"/>
    <w:rsid w:val="002E7795"/>
    <w:rsid w:val="002F611C"/>
    <w:rsid w:val="003233CD"/>
    <w:rsid w:val="003244CC"/>
    <w:rsid w:val="003405FB"/>
    <w:rsid w:val="00340958"/>
    <w:rsid w:val="00375E97"/>
    <w:rsid w:val="003830E3"/>
    <w:rsid w:val="00393774"/>
    <w:rsid w:val="003C14DD"/>
    <w:rsid w:val="003C1F26"/>
    <w:rsid w:val="003D7841"/>
    <w:rsid w:val="004107A0"/>
    <w:rsid w:val="00432957"/>
    <w:rsid w:val="00433D73"/>
    <w:rsid w:val="00435BA5"/>
    <w:rsid w:val="00443100"/>
    <w:rsid w:val="00443CB0"/>
    <w:rsid w:val="00464ADA"/>
    <w:rsid w:val="004B3B65"/>
    <w:rsid w:val="004D14A2"/>
    <w:rsid w:val="004D6848"/>
    <w:rsid w:val="004F73E9"/>
    <w:rsid w:val="004F76F6"/>
    <w:rsid w:val="00500438"/>
    <w:rsid w:val="00507CDF"/>
    <w:rsid w:val="0053076D"/>
    <w:rsid w:val="005324AF"/>
    <w:rsid w:val="005334F4"/>
    <w:rsid w:val="00534BB5"/>
    <w:rsid w:val="00542AF4"/>
    <w:rsid w:val="00551CFD"/>
    <w:rsid w:val="0055633C"/>
    <w:rsid w:val="00571985"/>
    <w:rsid w:val="005764FB"/>
    <w:rsid w:val="005802BB"/>
    <w:rsid w:val="00587BD7"/>
    <w:rsid w:val="005A10CB"/>
    <w:rsid w:val="005A4229"/>
    <w:rsid w:val="005A52EC"/>
    <w:rsid w:val="005B4B0C"/>
    <w:rsid w:val="005C169C"/>
    <w:rsid w:val="005C623C"/>
    <w:rsid w:val="005F3680"/>
    <w:rsid w:val="006042AB"/>
    <w:rsid w:val="00605855"/>
    <w:rsid w:val="00612051"/>
    <w:rsid w:val="006239F3"/>
    <w:rsid w:val="0063111C"/>
    <w:rsid w:val="006317E6"/>
    <w:rsid w:val="0064682B"/>
    <w:rsid w:val="00653B83"/>
    <w:rsid w:val="006547B4"/>
    <w:rsid w:val="00660A5E"/>
    <w:rsid w:val="00676824"/>
    <w:rsid w:val="00681959"/>
    <w:rsid w:val="006A5E81"/>
    <w:rsid w:val="006B6AD8"/>
    <w:rsid w:val="006C169E"/>
    <w:rsid w:val="006C2091"/>
    <w:rsid w:val="006D3E9C"/>
    <w:rsid w:val="006D4AA9"/>
    <w:rsid w:val="006E0E1A"/>
    <w:rsid w:val="006E448A"/>
    <w:rsid w:val="006F0BE1"/>
    <w:rsid w:val="00705880"/>
    <w:rsid w:val="007073B3"/>
    <w:rsid w:val="007249BB"/>
    <w:rsid w:val="007378BF"/>
    <w:rsid w:val="0076723E"/>
    <w:rsid w:val="00777846"/>
    <w:rsid w:val="00797921"/>
    <w:rsid w:val="007B7F72"/>
    <w:rsid w:val="007C11DA"/>
    <w:rsid w:val="007C1ED8"/>
    <w:rsid w:val="007C7CB4"/>
    <w:rsid w:val="007D19EA"/>
    <w:rsid w:val="00817C3F"/>
    <w:rsid w:val="008348FF"/>
    <w:rsid w:val="008373E1"/>
    <w:rsid w:val="00842667"/>
    <w:rsid w:val="00855788"/>
    <w:rsid w:val="008606C7"/>
    <w:rsid w:val="00865EBB"/>
    <w:rsid w:val="00866359"/>
    <w:rsid w:val="00885BA3"/>
    <w:rsid w:val="00895290"/>
    <w:rsid w:val="008A242B"/>
    <w:rsid w:val="008A5351"/>
    <w:rsid w:val="008D28CA"/>
    <w:rsid w:val="008D4285"/>
    <w:rsid w:val="008E1464"/>
    <w:rsid w:val="008E7B78"/>
    <w:rsid w:val="00922CEF"/>
    <w:rsid w:val="0093333B"/>
    <w:rsid w:val="00945F18"/>
    <w:rsid w:val="00963903"/>
    <w:rsid w:val="009710CF"/>
    <w:rsid w:val="00992674"/>
    <w:rsid w:val="009A06DF"/>
    <w:rsid w:val="009B4439"/>
    <w:rsid w:val="009B4CE3"/>
    <w:rsid w:val="009B7D88"/>
    <w:rsid w:val="009C30B0"/>
    <w:rsid w:val="009C3F43"/>
    <w:rsid w:val="009D1B09"/>
    <w:rsid w:val="009D39D7"/>
    <w:rsid w:val="009D7B0B"/>
    <w:rsid w:val="00A15F1A"/>
    <w:rsid w:val="00A17F05"/>
    <w:rsid w:val="00A27679"/>
    <w:rsid w:val="00A4477D"/>
    <w:rsid w:val="00A4673B"/>
    <w:rsid w:val="00A61621"/>
    <w:rsid w:val="00A75283"/>
    <w:rsid w:val="00A8308D"/>
    <w:rsid w:val="00A84F8D"/>
    <w:rsid w:val="00AC4743"/>
    <w:rsid w:val="00AD6920"/>
    <w:rsid w:val="00AE0866"/>
    <w:rsid w:val="00B112A7"/>
    <w:rsid w:val="00B34150"/>
    <w:rsid w:val="00B52D44"/>
    <w:rsid w:val="00B715F8"/>
    <w:rsid w:val="00B9388E"/>
    <w:rsid w:val="00C2457C"/>
    <w:rsid w:val="00C44054"/>
    <w:rsid w:val="00C6392E"/>
    <w:rsid w:val="00C73A1A"/>
    <w:rsid w:val="00C82FD0"/>
    <w:rsid w:val="00CB7ADA"/>
    <w:rsid w:val="00CC27EC"/>
    <w:rsid w:val="00CE732E"/>
    <w:rsid w:val="00CF7C62"/>
    <w:rsid w:val="00D102B8"/>
    <w:rsid w:val="00D10902"/>
    <w:rsid w:val="00D11A89"/>
    <w:rsid w:val="00D15F8B"/>
    <w:rsid w:val="00D220B2"/>
    <w:rsid w:val="00D233AE"/>
    <w:rsid w:val="00D40A75"/>
    <w:rsid w:val="00D46150"/>
    <w:rsid w:val="00D63F6A"/>
    <w:rsid w:val="00D932FF"/>
    <w:rsid w:val="00D9625B"/>
    <w:rsid w:val="00DB7B5B"/>
    <w:rsid w:val="00DC39EA"/>
    <w:rsid w:val="00DC7C26"/>
    <w:rsid w:val="00DD6E58"/>
    <w:rsid w:val="00E04E40"/>
    <w:rsid w:val="00E1218F"/>
    <w:rsid w:val="00E310D0"/>
    <w:rsid w:val="00E36F1D"/>
    <w:rsid w:val="00E51E6C"/>
    <w:rsid w:val="00E57BB4"/>
    <w:rsid w:val="00E80B65"/>
    <w:rsid w:val="00E920A7"/>
    <w:rsid w:val="00E95B10"/>
    <w:rsid w:val="00E97ECA"/>
    <w:rsid w:val="00EC3E36"/>
    <w:rsid w:val="00ED4B3D"/>
    <w:rsid w:val="00ED627D"/>
    <w:rsid w:val="00ED67A4"/>
    <w:rsid w:val="00EE6780"/>
    <w:rsid w:val="00EF1B3C"/>
    <w:rsid w:val="00EF71F0"/>
    <w:rsid w:val="00F234DE"/>
    <w:rsid w:val="00F359BF"/>
    <w:rsid w:val="00F37BA7"/>
    <w:rsid w:val="00F457E9"/>
    <w:rsid w:val="00F62033"/>
    <w:rsid w:val="00F845E9"/>
    <w:rsid w:val="00FA23E5"/>
    <w:rsid w:val="00FB1954"/>
    <w:rsid w:val="00FB4BD3"/>
    <w:rsid w:val="00FB526E"/>
    <w:rsid w:val="00FB6E78"/>
    <w:rsid w:val="00FE585D"/>
    <w:rsid w:val="00FE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83C48"/>
  <w15:chartTrackingRefBased/>
  <w15:docId w15:val="{2DB5623D-50B7-41B3-AF2E-90BD19F41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15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53B83"/>
    <w:rPr>
      <w:color w:val="0563C1" w:themeColor="hyperlink"/>
      <w:u w:val="single"/>
    </w:rPr>
  </w:style>
  <w:style w:type="character" w:styleId="UnresolvedMention">
    <w:name w:val="Unresolved Mention"/>
    <w:basedOn w:val="DefaultParagraphFont"/>
    <w:uiPriority w:val="99"/>
    <w:semiHidden/>
    <w:unhideWhenUsed/>
    <w:rsid w:val="00653B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4349">
      <w:bodyDiv w:val="1"/>
      <w:marLeft w:val="0"/>
      <w:marRight w:val="0"/>
      <w:marTop w:val="0"/>
      <w:marBottom w:val="0"/>
      <w:divBdr>
        <w:top w:val="none" w:sz="0" w:space="0" w:color="auto"/>
        <w:left w:val="none" w:sz="0" w:space="0" w:color="auto"/>
        <w:bottom w:val="none" w:sz="0" w:space="0" w:color="auto"/>
        <w:right w:val="none" w:sz="0" w:space="0" w:color="auto"/>
      </w:divBdr>
    </w:div>
    <w:div w:id="106627123">
      <w:bodyDiv w:val="1"/>
      <w:marLeft w:val="0"/>
      <w:marRight w:val="0"/>
      <w:marTop w:val="0"/>
      <w:marBottom w:val="0"/>
      <w:divBdr>
        <w:top w:val="none" w:sz="0" w:space="0" w:color="auto"/>
        <w:left w:val="none" w:sz="0" w:space="0" w:color="auto"/>
        <w:bottom w:val="none" w:sz="0" w:space="0" w:color="auto"/>
        <w:right w:val="none" w:sz="0" w:space="0" w:color="auto"/>
      </w:divBdr>
      <w:divsChild>
        <w:div w:id="1215434710">
          <w:marLeft w:val="0"/>
          <w:marRight w:val="0"/>
          <w:marTop w:val="0"/>
          <w:marBottom w:val="0"/>
          <w:divBdr>
            <w:top w:val="none" w:sz="0" w:space="0" w:color="auto"/>
            <w:left w:val="none" w:sz="0" w:space="0" w:color="auto"/>
            <w:bottom w:val="none" w:sz="0" w:space="0" w:color="auto"/>
            <w:right w:val="none" w:sz="0" w:space="0" w:color="auto"/>
          </w:divBdr>
          <w:divsChild>
            <w:div w:id="34814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54477">
      <w:bodyDiv w:val="1"/>
      <w:marLeft w:val="0"/>
      <w:marRight w:val="0"/>
      <w:marTop w:val="0"/>
      <w:marBottom w:val="0"/>
      <w:divBdr>
        <w:top w:val="none" w:sz="0" w:space="0" w:color="auto"/>
        <w:left w:val="none" w:sz="0" w:space="0" w:color="auto"/>
        <w:bottom w:val="none" w:sz="0" w:space="0" w:color="auto"/>
        <w:right w:val="none" w:sz="0" w:space="0" w:color="auto"/>
      </w:divBdr>
    </w:div>
    <w:div w:id="298610289">
      <w:bodyDiv w:val="1"/>
      <w:marLeft w:val="0"/>
      <w:marRight w:val="0"/>
      <w:marTop w:val="0"/>
      <w:marBottom w:val="0"/>
      <w:divBdr>
        <w:top w:val="none" w:sz="0" w:space="0" w:color="auto"/>
        <w:left w:val="none" w:sz="0" w:space="0" w:color="auto"/>
        <w:bottom w:val="none" w:sz="0" w:space="0" w:color="auto"/>
        <w:right w:val="none" w:sz="0" w:space="0" w:color="auto"/>
      </w:divBdr>
    </w:div>
    <w:div w:id="810824586">
      <w:bodyDiv w:val="1"/>
      <w:marLeft w:val="0"/>
      <w:marRight w:val="0"/>
      <w:marTop w:val="0"/>
      <w:marBottom w:val="0"/>
      <w:divBdr>
        <w:top w:val="none" w:sz="0" w:space="0" w:color="auto"/>
        <w:left w:val="none" w:sz="0" w:space="0" w:color="auto"/>
        <w:bottom w:val="none" w:sz="0" w:space="0" w:color="auto"/>
        <w:right w:val="none" w:sz="0" w:space="0" w:color="auto"/>
      </w:divBdr>
    </w:div>
    <w:div w:id="817961373">
      <w:bodyDiv w:val="1"/>
      <w:marLeft w:val="0"/>
      <w:marRight w:val="0"/>
      <w:marTop w:val="0"/>
      <w:marBottom w:val="0"/>
      <w:divBdr>
        <w:top w:val="none" w:sz="0" w:space="0" w:color="auto"/>
        <w:left w:val="none" w:sz="0" w:space="0" w:color="auto"/>
        <w:bottom w:val="none" w:sz="0" w:space="0" w:color="auto"/>
        <w:right w:val="none" w:sz="0" w:space="0" w:color="auto"/>
      </w:divBdr>
    </w:div>
    <w:div w:id="823082691">
      <w:bodyDiv w:val="1"/>
      <w:marLeft w:val="0"/>
      <w:marRight w:val="0"/>
      <w:marTop w:val="0"/>
      <w:marBottom w:val="0"/>
      <w:divBdr>
        <w:top w:val="none" w:sz="0" w:space="0" w:color="auto"/>
        <w:left w:val="none" w:sz="0" w:space="0" w:color="auto"/>
        <w:bottom w:val="none" w:sz="0" w:space="0" w:color="auto"/>
        <w:right w:val="none" w:sz="0" w:space="0" w:color="auto"/>
      </w:divBdr>
    </w:div>
    <w:div w:id="879703325">
      <w:bodyDiv w:val="1"/>
      <w:marLeft w:val="0"/>
      <w:marRight w:val="0"/>
      <w:marTop w:val="0"/>
      <w:marBottom w:val="0"/>
      <w:divBdr>
        <w:top w:val="none" w:sz="0" w:space="0" w:color="auto"/>
        <w:left w:val="none" w:sz="0" w:space="0" w:color="auto"/>
        <w:bottom w:val="none" w:sz="0" w:space="0" w:color="auto"/>
        <w:right w:val="none" w:sz="0" w:space="0" w:color="auto"/>
      </w:divBdr>
    </w:div>
    <w:div w:id="1045956676">
      <w:bodyDiv w:val="1"/>
      <w:marLeft w:val="0"/>
      <w:marRight w:val="0"/>
      <w:marTop w:val="0"/>
      <w:marBottom w:val="0"/>
      <w:divBdr>
        <w:top w:val="none" w:sz="0" w:space="0" w:color="auto"/>
        <w:left w:val="none" w:sz="0" w:space="0" w:color="auto"/>
        <w:bottom w:val="none" w:sz="0" w:space="0" w:color="auto"/>
        <w:right w:val="none" w:sz="0" w:space="0" w:color="auto"/>
      </w:divBdr>
    </w:div>
    <w:div w:id="1647321837">
      <w:bodyDiv w:val="1"/>
      <w:marLeft w:val="0"/>
      <w:marRight w:val="0"/>
      <w:marTop w:val="0"/>
      <w:marBottom w:val="0"/>
      <w:divBdr>
        <w:top w:val="none" w:sz="0" w:space="0" w:color="auto"/>
        <w:left w:val="none" w:sz="0" w:space="0" w:color="auto"/>
        <w:bottom w:val="none" w:sz="0" w:space="0" w:color="auto"/>
        <w:right w:val="none" w:sz="0" w:space="0" w:color="auto"/>
      </w:divBdr>
    </w:div>
    <w:div w:id="1780416560">
      <w:bodyDiv w:val="1"/>
      <w:marLeft w:val="0"/>
      <w:marRight w:val="0"/>
      <w:marTop w:val="0"/>
      <w:marBottom w:val="0"/>
      <w:divBdr>
        <w:top w:val="none" w:sz="0" w:space="0" w:color="auto"/>
        <w:left w:val="none" w:sz="0" w:space="0" w:color="auto"/>
        <w:bottom w:val="none" w:sz="0" w:space="0" w:color="auto"/>
        <w:right w:val="none" w:sz="0" w:space="0" w:color="auto"/>
      </w:divBdr>
    </w:div>
    <w:div w:id="1840467072">
      <w:bodyDiv w:val="1"/>
      <w:marLeft w:val="0"/>
      <w:marRight w:val="0"/>
      <w:marTop w:val="0"/>
      <w:marBottom w:val="0"/>
      <w:divBdr>
        <w:top w:val="none" w:sz="0" w:space="0" w:color="auto"/>
        <w:left w:val="none" w:sz="0" w:space="0" w:color="auto"/>
        <w:bottom w:val="none" w:sz="0" w:space="0" w:color="auto"/>
        <w:right w:val="none" w:sz="0" w:space="0" w:color="auto"/>
      </w:divBdr>
    </w:div>
    <w:div w:id="2116748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nsultation-principles-guidance" TargetMode="External"/><Relationship Id="rId3" Type="http://schemas.openxmlformats.org/officeDocument/2006/relationships/webSettings" Target="webSettings.xml"/><Relationship Id="rId7" Type="http://schemas.openxmlformats.org/officeDocument/2006/relationships/hyperlink" Target="https://www.instituteforgovernment.org.uk/explainer/labours-constitutional-proposal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teacher.net/free-law-essays/constitutional-law/uk-written-constitution-debate-9383.php" TargetMode="External"/><Relationship Id="rId11" Type="http://schemas.openxmlformats.org/officeDocument/2006/relationships/fontTable" Target="fontTable.xml"/><Relationship Id="rId5" Type="http://schemas.openxmlformats.org/officeDocument/2006/relationships/hyperlink" Target="https://www.cps.gov.uk/legal-guidance/homicide-murder-and-manslaughter" TargetMode="External"/><Relationship Id="rId10" Type="http://schemas.openxmlformats.org/officeDocument/2006/relationships/hyperlink" Target="https://moodle.uwtsd.ac.uk/mod/folder/view.php?id=504218" TargetMode="External"/><Relationship Id="rId4" Type="http://schemas.openxmlformats.org/officeDocument/2006/relationships/hyperlink" Target="https://www.cps.gov.uk/legal-guidance/homicide-murder-and-manslaughter" TargetMode="External"/><Relationship Id="rId9" Type="http://schemas.openxmlformats.org/officeDocument/2006/relationships/hyperlink" Target="https://justice.org.uk/homicide-law-reform/#:~:text=Any%20amendment%20of%20the%20law%20of%20homicide%20is%2C,Article%202%20European%20Convention%20on%20Human%20Rights%20%28ECHR%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1844</Words>
  <Characters>10202</Characters>
  <Application>Microsoft Office Word</Application>
  <DocSecurity>0</DocSecurity>
  <Lines>141</Lines>
  <Paragraphs>55</Paragraphs>
  <ScaleCrop>false</ScaleCrop>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211</cp:revision>
  <dcterms:created xsi:type="dcterms:W3CDTF">2023-07-01T13:30:00Z</dcterms:created>
  <dcterms:modified xsi:type="dcterms:W3CDTF">2023-07-02T18:25:00Z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9138f290ec59f7545b834c5c38a0f1b2b6e77b94377b6b10c8e70b14cdfa3cf2</vt:lpwstr>
  </property>
</Properties>
</file>