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7E7C2F1" w14:textId="77777777" w:rsidR="002D1FDA" w:rsidRDefault="002D1FDA">
      <w:pPr>
        <w:spacing w:line="480" w:lineRule="auto"/>
        <w:jc w:val="center"/>
        <w:rPr>
          <w:rFonts w:ascii="Times New Roman" w:eastAsia="Times New Roman" w:hAnsi="Times New Roman" w:cs="Times New Roman"/>
          <w:b/>
          <w:sz w:val="24"/>
          <w:szCs w:val="24"/>
        </w:rPr>
      </w:pPr>
    </w:p>
    <w:p w14:paraId="57E7C2F2" w14:textId="77777777" w:rsidR="002D1FDA" w:rsidRDefault="002D1FDA">
      <w:pPr>
        <w:spacing w:line="480" w:lineRule="auto"/>
        <w:jc w:val="center"/>
        <w:rPr>
          <w:rFonts w:ascii="Times New Roman" w:eastAsia="Times New Roman" w:hAnsi="Times New Roman" w:cs="Times New Roman"/>
          <w:b/>
          <w:sz w:val="24"/>
          <w:szCs w:val="24"/>
        </w:rPr>
      </w:pPr>
    </w:p>
    <w:p w14:paraId="57E7C2F3" w14:textId="77777777" w:rsidR="002D1FDA" w:rsidRDefault="002D1FDA">
      <w:pPr>
        <w:spacing w:line="480" w:lineRule="auto"/>
        <w:jc w:val="center"/>
        <w:rPr>
          <w:rFonts w:ascii="Times New Roman" w:eastAsia="Times New Roman" w:hAnsi="Times New Roman" w:cs="Times New Roman"/>
          <w:b/>
          <w:sz w:val="24"/>
          <w:szCs w:val="24"/>
        </w:rPr>
      </w:pPr>
    </w:p>
    <w:p w14:paraId="57E7C2F4" w14:textId="77777777" w:rsidR="002D1FDA" w:rsidRDefault="002D1FDA">
      <w:pPr>
        <w:spacing w:line="480" w:lineRule="auto"/>
        <w:jc w:val="center"/>
        <w:rPr>
          <w:rFonts w:ascii="Times New Roman" w:eastAsia="Times New Roman" w:hAnsi="Times New Roman" w:cs="Times New Roman"/>
          <w:b/>
          <w:sz w:val="24"/>
          <w:szCs w:val="24"/>
        </w:rPr>
      </w:pPr>
    </w:p>
    <w:p w14:paraId="57E7C2F5" w14:textId="77777777" w:rsidR="002D1FDA" w:rsidRDefault="002D1FDA">
      <w:pPr>
        <w:spacing w:line="480" w:lineRule="auto"/>
        <w:jc w:val="center"/>
        <w:rPr>
          <w:rFonts w:ascii="Times New Roman" w:eastAsia="Times New Roman" w:hAnsi="Times New Roman" w:cs="Times New Roman"/>
          <w:b/>
          <w:sz w:val="24"/>
          <w:szCs w:val="24"/>
        </w:rPr>
      </w:pPr>
    </w:p>
    <w:p w14:paraId="57E7C2F6" w14:textId="77777777" w:rsidR="002D1FDA" w:rsidRDefault="0083607B">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Accor Hotel Group Report</w:t>
      </w:r>
    </w:p>
    <w:p w14:paraId="488B1F02" w14:textId="77777777" w:rsidR="0083607B" w:rsidRDefault="0083607B" w:rsidP="0083607B">
      <w:pPr>
        <w:spacing w:line="360" w:lineRule="auto"/>
        <w:jc w:val="center"/>
        <w:rPr>
          <w:b/>
          <w:color w:val="222222"/>
          <w:sz w:val="24"/>
          <w:szCs w:val="24"/>
        </w:rPr>
      </w:pPr>
    </w:p>
    <w:p w14:paraId="1C317781" w14:textId="77777777" w:rsidR="0083607B" w:rsidRDefault="0083607B" w:rsidP="0083607B">
      <w:pPr>
        <w:pStyle w:val="Listparagraf"/>
        <w:numPr>
          <w:ilvl w:val="0"/>
          <w:numId w:val="1"/>
        </w:numPr>
        <w:spacing w:line="360" w:lineRule="auto"/>
        <w:rPr>
          <w:color w:val="222222"/>
          <w:sz w:val="28"/>
          <w:szCs w:val="28"/>
          <w:highlight w:val="white"/>
        </w:rPr>
      </w:pPr>
      <w:r>
        <w:rPr>
          <w:color w:val="222222"/>
          <w:sz w:val="28"/>
          <w:szCs w:val="28"/>
          <w:highlight w:val="white"/>
        </w:rPr>
        <w:t>Student Name: Alexandru-Lucian Calin</w:t>
      </w:r>
    </w:p>
    <w:p w14:paraId="30C2594B" w14:textId="77777777" w:rsidR="0083607B" w:rsidRDefault="0083607B" w:rsidP="0083607B">
      <w:pPr>
        <w:pStyle w:val="Listparagraf"/>
        <w:numPr>
          <w:ilvl w:val="0"/>
          <w:numId w:val="1"/>
        </w:numPr>
        <w:spacing w:line="360" w:lineRule="auto"/>
        <w:rPr>
          <w:color w:val="222222"/>
          <w:sz w:val="28"/>
          <w:szCs w:val="28"/>
          <w:highlight w:val="white"/>
        </w:rPr>
      </w:pPr>
      <w:r>
        <w:rPr>
          <w:color w:val="222222"/>
          <w:sz w:val="28"/>
          <w:szCs w:val="28"/>
          <w:highlight w:val="white"/>
        </w:rPr>
        <w:t>Student Nr.:</w:t>
      </w:r>
      <w:r>
        <w:rPr>
          <w:sz w:val="28"/>
          <w:szCs w:val="28"/>
        </w:rPr>
        <w:t xml:space="preserve"> </w:t>
      </w:r>
      <w:r>
        <w:rPr>
          <w:color w:val="222222"/>
          <w:sz w:val="28"/>
          <w:szCs w:val="28"/>
        </w:rPr>
        <w:t>2121885</w:t>
      </w:r>
    </w:p>
    <w:p w14:paraId="2AE86C63" w14:textId="77777777" w:rsidR="0083607B" w:rsidRDefault="0083607B" w:rsidP="0083607B">
      <w:pPr>
        <w:pStyle w:val="Listparagraf"/>
        <w:numPr>
          <w:ilvl w:val="0"/>
          <w:numId w:val="1"/>
        </w:numPr>
        <w:spacing w:line="360" w:lineRule="auto"/>
        <w:rPr>
          <w:color w:val="222222"/>
          <w:sz w:val="28"/>
          <w:szCs w:val="28"/>
          <w:highlight w:val="white"/>
        </w:rPr>
      </w:pPr>
      <w:proofErr w:type="gramStart"/>
      <w:r>
        <w:rPr>
          <w:color w:val="222222"/>
          <w:sz w:val="28"/>
          <w:szCs w:val="28"/>
          <w:highlight w:val="white"/>
        </w:rPr>
        <w:t>Course :</w:t>
      </w:r>
      <w:proofErr w:type="gramEnd"/>
      <w:r>
        <w:rPr>
          <w:color w:val="222222"/>
          <w:sz w:val="28"/>
          <w:szCs w:val="28"/>
          <w:highlight w:val="white"/>
        </w:rPr>
        <w:t xml:space="preserve"> </w:t>
      </w:r>
      <w:r>
        <w:rPr>
          <w:sz w:val="28"/>
          <w:szCs w:val="28"/>
        </w:rPr>
        <w:t xml:space="preserve">Management &amp; </w:t>
      </w:r>
      <w:proofErr w:type="spellStart"/>
      <w:r>
        <w:rPr>
          <w:sz w:val="28"/>
          <w:szCs w:val="28"/>
        </w:rPr>
        <w:t>Organisational</w:t>
      </w:r>
      <w:proofErr w:type="spellEnd"/>
      <w:r>
        <w:rPr>
          <w:sz w:val="28"/>
          <w:szCs w:val="28"/>
        </w:rPr>
        <w:t xml:space="preserve"> </w:t>
      </w:r>
      <w:proofErr w:type="spellStart"/>
      <w:r>
        <w:rPr>
          <w:sz w:val="28"/>
          <w:szCs w:val="28"/>
        </w:rPr>
        <w:t>Behaviour</w:t>
      </w:r>
      <w:proofErr w:type="spellEnd"/>
      <w:r>
        <w:rPr>
          <w:color w:val="222222"/>
          <w:sz w:val="28"/>
          <w:szCs w:val="28"/>
        </w:rPr>
        <w:t xml:space="preserve"> (BMIH5004)</w:t>
      </w:r>
    </w:p>
    <w:p w14:paraId="3192D926" w14:textId="77777777" w:rsidR="0083607B" w:rsidRDefault="0083607B" w:rsidP="0083607B">
      <w:pPr>
        <w:pStyle w:val="Listparagraf"/>
        <w:numPr>
          <w:ilvl w:val="0"/>
          <w:numId w:val="1"/>
        </w:numPr>
        <w:spacing w:line="360" w:lineRule="auto"/>
        <w:rPr>
          <w:color w:val="222222"/>
          <w:sz w:val="28"/>
          <w:szCs w:val="28"/>
          <w:highlight w:val="white"/>
        </w:rPr>
      </w:pPr>
      <w:r>
        <w:rPr>
          <w:color w:val="222222"/>
          <w:sz w:val="28"/>
          <w:szCs w:val="28"/>
          <w:highlight w:val="white"/>
        </w:rPr>
        <w:t>Lecturer:</w:t>
      </w:r>
      <w:r>
        <w:rPr>
          <w:sz w:val="28"/>
          <w:szCs w:val="28"/>
        </w:rPr>
        <w:t xml:space="preserve"> </w:t>
      </w:r>
      <w:r>
        <w:rPr>
          <w:color w:val="222222"/>
          <w:sz w:val="28"/>
          <w:szCs w:val="28"/>
        </w:rPr>
        <w:t>Jaliya De Silva</w:t>
      </w:r>
    </w:p>
    <w:p w14:paraId="57E7C2FC" w14:textId="77777777" w:rsidR="002D1FDA" w:rsidRDefault="002D1FDA">
      <w:pPr>
        <w:spacing w:line="480" w:lineRule="auto"/>
        <w:jc w:val="center"/>
        <w:rPr>
          <w:rFonts w:ascii="Times New Roman" w:eastAsia="Times New Roman" w:hAnsi="Times New Roman" w:cs="Times New Roman"/>
          <w:sz w:val="24"/>
          <w:szCs w:val="24"/>
        </w:rPr>
      </w:pPr>
    </w:p>
    <w:p w14:paraId="57E7C2FD" w14:textId="77777777" w:rsidR="002D1FDA" w:rsidRDefault="002D1FDA">
      <w:pPr>
        <w:spacing w:line="480" w:lineRule="auto"/>
        <w:jc w:val="center"/>
        <w:rPr>
          <w:rFonts w:ascii="Times New Roman" w:eastAsia="Times New Roman" w:hAnsi="Times New Roman" w:cs="Times New Roman"/>
          <w:sz w:val="24"/>
          <w:szCs w:val="24"/>
        </w:rPr>
      </w:pPr>
    </w:p>
    <w:p w14:paraId="57E7C2FE" w14:textId="77777777" w:rsidR="002D1FDA" w:rsidRDefault="002D1FDA">
      <w:pPr>
        <w:spacing w:line="480" w:lineRule="auto"/>
        <w:jc w:val="center"/>
        <w:rPr>
          <w:rFonts w:ascii="Times New Roman" w:eastAsia="Times New Roman" w:hAnsi="Times New Roman" w:cs="Times New Roman"/>
          <w:sz w:val="24"/>
          <w:szCs w:val="24"/>
        </w:rPr>
      </w:pPr>
    </w:p>
    <w:p w14:paraId="57E7C2FF" w14:textId="77777777" w:rsidR="002D1FDA" w:rsidRDefault="002D1FDA">
      <w:pPr>
        <w:spacing w:line="480" w:lineRule="auto"/>
        <w:jc w:val="center"/>
        <w:rPr>
          <w:rFonts w:ascii="Times New Roman" w:eastAsia="Times New Roman" w:hAnsi="Times New Roman" w:cs="Times New Roman"/>
          <w:sz w:val="24"/>
          <w:szCs w:val="24"/>
        </w:rPr>
      </w:pPr>
    </w:p>
    <w:p w14:paraId="57E7C300" w14:textId="77777777" w:rsidR="002D1FDA" w:rsidRDefault="002D1FDA">
      <w:pPr>
        <w:spacing w:line="480" w:lineRule="auto"/>
        <w:jc w:val="center"/>
        <w:rPr>
          <w:rFonts w:ascii="Times New Roman" w:eastAsia="Times New Roman" w:hAnsi="Times New Roman" w:cs="Times New Roman"/>
          <w:sz w:val="24"/>
          <w:szCs w:val="24"/>
        </w:rPr>
      </w:pPr>
    </w:p>
    <w:p w14:paraId="57E7C301" w14:textId="77777777" w:rsidR="002D1FDA" w:rsidRDefault="002D1FDA">
      <w:pPr>
        <w:spacing w:line="480" w:lineRule="auto"/>
        <w:jc w:val="center"/>
        <w:rPr>
          <w:rFonts w:ascii="Times New Roman" w:eastAsia="Times New Roman" w:hAnsi="Times New Roman" w:cs="Times New Roman"/>
          <w:sz w:val="24"/>
          <w:szCs w:val="24"/>
        </w:rPr>
      </w:pPr>
    </w:p>
    <w:p w14:paraId="57E7C302" w14:textId="77777777" w:rsidR="002D1FDA" w:rsidRDefault="002D1FDA">
      <w:pPr>
        <w:spacing w:line="480" w:lineRule="auto"/>
        <w:jc w:val="center"/>
        <w:rPr>
          <w:rFonts w:ascii="Times New Roman" w:eastAsia="Times New Roman" w:hAnsi="Times New Roman" w:cs="Times New Roman"/>
          <w:sz w:val="24"/>
          <w:szCs w:val="24"/>
        </w:rPr>
      </w:pPr>
    </w:p>
    <w:p w14:paraId="57E7C303" w14:textId="77777777" w:rsidR="002D1FDA" w:rsidRDefault="002D1FDA">
      <w:pPr>
        <w:spacing w:line="480" w:lineRule="auto"/>
        <w:jc w:val="center"/>
        <w:rPr>
          <w:rFonts w:ascii="Times New Roman" w:eastAsia="Times New Roman" w:hAnsi="Times New Roman" w:cs="Times New Roman"/>
          <w:sz w:val="24"/>
          <w:szCs w:val="24"/>
        </w:rPr>
      </w:pPr>
    </w:p>
    <w:p w14:paraId="57E7C304" w14:textId="77777777" w:rsidR="002D1FDA" w:rsidRDefault="002D1FDA">
      <w:pPr>
        <w:spacing w:line="480" w:lineRule="auto"/>
        <w:jc w:val="center"/>
        <w:rPr>
          <w:rFonts w:ascii="Times New Roman" w:eastAsia="Times New Roman" w:hAnsi="Times New Roman" w:cs="Times New Roman"/>
          <w:sz w:val="24"/>
          <w:szCs w:val="24"/>
        </w:rPr>
      </w:pPr>
    </w:p>
    <w:p w14:paraId="57E7C305" w14:textId="77777777" w:rsidR="002D1FDA" w:rsidRDefault="002D1FDA">
      <w:pPr>
        <w:spacing w:line="480" w:lineRule="auto"/>
        <w:jc w:val="center"/>
        <w:rPr>
          <w:rFonts w:ascii="Times New Roman" w:eastAsia="Times New Roman" w:hAnsi="Times New Roman" w:cs="Times New Roman"/>
          <w:sz w:val="24"/>
          <w:szCs w:val="24"/>
        </w:rPr>
      </w:pPr>
    </w:p>
    <w:p w14:paraId="57E7C306" w14:textId="77777777" w:rsidR="002D1FDA" w:rsidRDefault="002D1FDA">
      <w:pPr>
        <w:spacing w:line="480" w:lineRule="auto"/>
        <w:jc w:val="center"/>
        <w:rPr>
          <w:rFonts w:ascii="Times New Roman" w:eastAsia="Times New Roman" w:hAnsi="Times New Roman" w:cs="Times New Roman"/>
          <w:sz w:val="24"/>
          <w:szCs w:val="24"/>
        </w:rPr>
      </w:pPr>
    </w:p>
    <w:p w14:paraId="57E7C307" w14:textId="77777777" w:rsidR="002D1FDA" w:rsidRDefault="002D1FDA">
      <w:pPr>
        <w:spacing w:line="480" w:lineRule="auto"/>
        <w:jc w:val="center"/>
        <w:rPr>
          <w:rFonts w:ascii="Times New Roman" w:eastAsia="Times New Roman" w:hAnsi="Times New Roman" w:cs="Times New Roman"/>
          <w:sz w:val="24"/>
          <w:szCs w:val="24"/>
        </w:rPr>
      </w:pPr>
    </w:p>
    <w:p w14:paraId="72E8657E" w14:textId="77777777" w:rsidR="0083607B" w:rsidRDefault="0083607B">
      <w:pPr>
        <w:spacing w:line="480" w:lineRule="auto"/>
        <w:jc w:val="center"/>
        <w:rPr>
          <w:rFonts w:ascii="Times New Roman" w:eastAsia="Times New Roman" w:hAnsi="Times New Roman" w:cs="Times New Roman"/>
          <w:sz w:val="24"/>
          <w:szCs w:val="24"/>
        </w:rPr>
      </w:pPr>
    </w:p>
    <w:p w14:paraId="57E7C308" w14:textId="77777777" w:rsidR="002D1FDA" w:rsidRPr="0083607B" w:rsidRDefault="0083607B" w:rsidP="0083607B">
      <w:pPr>
        <w:spacing w:line="360" w:lineRule="auto"/>
        <w:jc w:val="center"/>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lastRenderedPageBreak/>
        <w:t>Accor Hotel Group Report</w:t>
      </w:r>
    </w:p>
    <w:p w14:paraId="57E7C309"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Introduction</w:t>
      </w:r>
    </w:p>
    <w:p w14:paraId="57E7C30A"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Hotel Group stands out as a top player in the competitive and dynamic global hotel market. Accor is a French-based multinational hospitality company founded in 1967 and now has different brands ranging from luxury to budget. The main purpose of this report is to critically review and examine Accor Hotel Group at the corporate level as well as individual unit level with a particular focus on critical issues that could make or break the organization. The purpose of this report is twofold: to examine som</w:t>
      </w:r>
      <w:r w:rsidRPr="0083607B">
        <w:rPr>
          <w:rFonts w:ascii="Times New Roman" w:eastAsia="Times New Roman" w:hAnsi="Times New Roman" w:cs="Times New Roman"/>
          <w:sz w:val="24"/>
          <w:szCs w:val="24"/>
        </w:rPr>
        <w:t xml:space="preserve">e of the basic organizational dynamics that shape Accor’s practice, such as structural and cultural features and its objectives. In the second instance, the report will </w:t>
      </w:r>
      <w:proofErr w:type="gramStart"/>
      <w:r w:rsidRPr="0083607B">
        <w:rPr>
          <w:rFonts w:ascii="Times New Roman" w:eastAsia="Times New Roman" w:hAnsi="Times New Roman" w:cs="Times New Roman"/>
          <w:sz w:val="24"/>
          <w:szCs w:val="24"/>
        </w:rPr>
        <w:t>look into</w:t>
      </w:r>
      <w:proofErr w:type="gramEnd"/>
      <w:r w:rsidRPr="0083607B">
        <w:rPr>
          <w:rFonts w:ascii="Times New Roman" w:eastAsia="Times New Roman" w:hAnsi="Times New Roman" w:cs="Times New Roman"/>
          <w:sz w:val="24"/>
          <w:szCs w:val="24"/>
        </w:rPr>
        <w:t xml:space="preserve"> the most recent change projects by Accor and evaluate whether they were properly managed based on existing change management theories. It will also </w:t>
      </w:r>
      <w:proofErr w:type="gramStart"/>
      <w:r w:rsidRPr="0083607B">
        <w:rPr>
          <w:rFonts w:ascii="Times New Roman" w:eastAsia="Times New Roman" w:hAnsi="Times New Roman" w:cs="Times New Roman"/>
          <w:sz w:val="24"/>
          <w:szCs w:val="24"/>
        </w:rPr>
        <w:t>look into</w:t>
      </w:r>
      <w:proofErr w:type="gramEnd"/>
      <w:r w:rsidRPr="0083607B">
        <w:rPr>
          <w:rFonts w:ascii="Times New Roman" w:eastAsia="Times New Roman" w:hAnsi="Times New Roman" w:cs="Times New Roman"/>
          <w:sz w:val="24"/>
          <w:szCs w:val="24"/>
        </w:rPr>
        <w:t xml:space="preserve"> the strategic direction of Accor Hotel Group with regard to its business performance and the company’s competitive positioning in the market. The organizational structure, cor</w:t>
      </w:r>
      <w:r w:rsidRPr="0083607B">
        <w:rPr>
          <w:rFonts w:ascii="Times New Roman" w:eastAsia="Times New Roman" w:hAnsi="Times New Roman" w:cs="Times New Roman"/>
          <w:sz w:val="24"/>
          <w:szCs w:val="24"/>
        </w:rPr>
        <w:t xml:space="preserve">porate culture, strategic direction, and the management of recent change initiatives of Accor Hotel Group significantly impact its current business performance. A detailed review of these factors will offer useful ideas for improving the future competitiveness of this </w:t>
      </w:r>
      <w:proofErr w:type="gramStart"/>
      <w:r w:rsidRPr="0083607B">
        <w:rPr>
          <w:rFonts w:ascii="Times New Roman" w:eastAsia="Times New Roman" w:hAnsi="Times New Roman" w:cs="Times New Roman"/>
          <w:sz w:val="24"/>
          <w:szCs w:val="24"/>
        </w:rPr>
        <w:t>particular organization</w:t>
      </w:r>
      <w:proofErr w:type="gramEnd"/>
      <w:r w:rsidRPr="0083607B">
        <w:rPr>
          <w:rFonts w:ascii="Times New Roman" w:eastAsia="Times New Roman" w:hAnsi="Times New Roman" w:cs="Times New Roman"/>
          <w:sz w:val="24"/>
          <w:szCs w:val="24"/>
        </w:rPr>
        <w:t xml:space="preserve"> in the hospitality industry.</w:t>
      </w:r>
    </w:p>
    <w:p w14:paraId="36A14B17"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0B"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b/>
          <w:sz w:val="24"/>
          <w:szCs w:val="24"/>
        </w:rPr>
        <w:t>Organization Structur</w:t>
      </w:r>
      <w:r w:rsidRPr="0083607B">
        <w:rPr>
          <w:rFonts w:ascii="Times New Roman" w:eastAsia="Times New Roman" w:hAnsi="Times New Roman" w:cs="Times New Roman"/>
          <w:sz w:val="24"/>
          <w:szCs w:val="24"/>
        </w:rPr>
        <w:t>e</w:t>
      </w:r>
    </w:p>
    <w:p w14:paraId="57E7C30C"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The organizational structure of Accor Hotel Group, one of the world’s largest hospitality companies, is diversified for optimal management of varied hotel brands. This structure is built around a mix of centralized and decentralized elements. Hotel property divisions, brand divisions, and regional offices report to corporate headquarters in France, which sets strategic directions for global hotel operations. Accor’s hierarchical structure comprises several main departments. Corporate Headquarters forms the </w:t>
      </w:r>
      <w:r w:rsidRPr="0083607B">
        <w:rPr>
          <w:rFonts w:ascii="Times New Roman" w:eastAsia="Times New Roman" w:hAnsi="Times New Roman" w:cs="Times New Roman"/>
          <w:sz w:val="24"/>
          <w:szCs w:val="24"/>
        </w:rPr>
        <w:t>highest-level decision-making center that contains top-level executives and corporate officers who control the global operations of the company (Arena et al., 2010). Its main headquarters oversees strategic planning, financial management, and brand development. Accor has several brands in various market segments of luxury, upscale, mid-scale, and budget. Every brand has a separate division for consistency, marketing, and operational management. For example, Sofitel, Novotel, Ibis, and Mercure are well-known</w:t>
      </w:r>
      <w:r w:rsidRPr="0083607B">
        <w:rPr>
          <w:rFonts w:ascii="Times New Roman" w:eastAsia="Times New Roman" w:hAnsi="Times New Roman" w:cs="Times New Roman"/>
          <w:sz w:val="24"/>
          <w:szCs w:val="24"/>
        </w:rPr>
        <w:t xml:space="preserve"> brands (</w:t>
      </w:r>
      <w:proofErr w:type="spellStart"/>
      <w:r w:rsidRPr="0083607B">
        <w:rPr>
          <w:rFonts w:ascii="Times New Roman" w:eastAsia="Times New Roman" w:hAnsi="Times New Roman" w:cs="Times New Roman"/>
          <w:sz w:val="24"/>
          <w:szCs w:val="24"/>
        </w:rPr>
        <w:t>Demirciftci</w:t>
      </w:r>
      <w:proofErr w:type="spellEnd"/>
      <w:r w:rsidRPr="0083607B">
        <w:rPr>
          <w:rFonts w:ascii="Times New Roman" w:eastAsia="Times New Roman" w:hAnsi="Times New Roman" w:cs="Times New Roman"/>
          <w:sz w:val="24"/>
          <w:szCs w:val="24"/>
        </w:rPr>
        <w:t xml:space="preserve"> &amp; </w:t>
      </w:r>
      <w:proofErr w:type="spellStart"/>
      <w:r w:rsidRPr="0083607B">
        <w:rPr>
          <w:rFonts w:ascii="Times New Roman" w:eastAsia="Times New Roman" w:hAnsi="Times New Roman" w:cs="Times New Roman"/>
          <w:sz w:val="24"/>
          <w:szCs w:val="24"/>
        </w:rPr>
        <w:t>Kizilirmak</w:t>
      </w:r>
      <w:proofErr w:type="spellEnd"/>
      <w:r w:rsidRPr="0083607B">
        <w:rPr>
          <w:rFonts w:ascii="Times New Roman" w:eastAsia="Times New Roman" w:hAnsi="Times New Roman" w:cs="Times New Roman"/>
          <w:sz w:val="24"/>
          <w:szCs w:val="24"/>
        </w:rPr>
        <w:t xml:space="preserve">, 2016). The company Accor divides its worldwide </w:t>
      </w:r>
      <w:r w:rsidRPr="0083607B">
        <w:rPr>
          <w:rFonts w:ascii="Times New Roman" w:eastAsia="Times New Roman" w:hAnsi="Times New Roman" w:cs="Times New Roman"/>
          <w:sz w:val="24"/>
          <w:szCs w:val="24"/>
        </w:rPr>
        <w:lastRenderedPageBreak/>
        <w:t>presence into regions, each having a regional executive director. Regional offices adopt global strategies to local market conditions for a uniform product and profit simultaneously. With respect to Accor, Hotel properties act as a vanguard. All properties are semi-autonomous and have general managers who take charge of daily operations like guest services, staffing, and budgets.</w:t>
      </w:r>
    </w:p>
    <w:p w14:paraId="57E7C30D"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Henry Mintzberg's organizational structure framework classifies organizations based on five main configurations: simple structure, machine bureaucracy, professional bureaucracy </w:t>
      </w:r>
      <w:proofErr w:type="spellStart"/>
      <w:r w:rsidRPr="0083607B">
        <w:rPr>
          <w:rFonts w:ascii="Times New Roman" w:eastAsia="Times New Roman" w:hAnsi="Times New Roman" w:cs="Times New Roman"/>
          <w:sz w:val="24"/>
          <w:szCs w:val="24"/>
        </w:rPr>
        <w:t>divisionalised</w:t>
      </w:r>
      <w:proofErr w:type="spellEnd"/>
      <w:r w:rsidRPr="0083607B">
        <w:rPr>
          <w:rFonts w:ascii="Times New Roman" w:eastAsia="Times New Roman" w:hAnsi="Times New Roman" w:cs="Times New Roman"/>
          <w:sz w:val="24"/>
          <w:szCs w:val="24"/>
        </w:rPr>
        <w:t xml:space="preserve"> form, and adhocracy (Lunenburg, 2012). The best description for Accor’s organizational structure will be a </w:t>
      </w:r>
      <w:proofErr w:type="spellStart"/>
      <w:r w:rsidRPr="0083607B">
        <w:rPr>
          <w:rFonts w:ascii="Times New Roman" w:eastAsia="Times New Roman" w:hAnsi="Times New Roman" w:cs="Times New Roman"/>
          <w:sz w:val="24"/>
          <w:szCs w:val="24"/>
        </w:rPr>
        <w:t>dimensionalized</w:t>
      </w:r>
      <w:proofErr w:type="spellEnd"/>
      <w:r w:rsidRPr="0083607B">
        <w:rPr>
          <w:rFonts w:ascii="Times New Roman" w:eastAsia="Times New Roman" w:hAnsi="Times New Roman" w:cs="Times New Roman"/>
          <w:sz w:val="24"/>
          <w:szCs w:val="24"/>
        </w:rPr>
        <w:t xml:space="preserve"> form of machine bureaucracy and adhocratic elements. In the </w:t>
      </w:r>
      <w:proofErr w:type="spellStart"/>
      <w:r w:rsidRPr="0083607B">
        <w:rPr>
          <w:rFonts w:ascii="Times New Roman" w:eastAsia="Times New Roman" w:hAnsi="Times New Roman" w:cs="Times New Roman"/>
          <w:sz w:val="24"/>
          <w:szCs w:val="24"/>
        </w:rPr>
        <w:t>dimensionalized</w:t>
      </w:r>
      <w:proofErr w:type="spellEnd"/>
      <w:r w:rsidRPr="0083607B">
        <w:rPr>
          <w:rFonts w:ascii="Times New Roman" w:eastAsia="Times New Roman" w:hAnsi="Times New Roman" w:cs="Times New Roman"/>
          <w:sz w:val="24"/>
          <w:szCs w:val="24"/>
        </w:rPr>
        <w:t xml:space="preserve"> structure, organizations are subdivided into semi-independent units like brand divisions and geographic departments. The structure allows Accor to manage a diverse brand portfolio and regional operations efficiently. Nevertheless, it incorporates elements of machine bureaucracy, such as standardiz</w:t>
      </w:r>
      <w:r w:rsidRPr="0083607B">
        <w:rPr>
          <w:rFonts w:ascii="Times New Roman" w:eastAsia="Times New Roman" w:hAnsi="Times New Roman" w:cs="Times New Roman"/>
          <w:sz w:val="24"/>
          <w:szCs w:val="24"/>
        </w:rPr>
        <w:t>ation and hierarchal control mechanisms for consistency and efficiency (Kumar, 2015). Accor’s organizational structure aligns with the company’s objectives of having a variety of branded product mixes, expanding globally, and consistently delivering guest experiences. Accor can strike a balance between global standards and local market requirements because the system combines centralized control at the corporate level and decentralized operations in individual properties and regions. Brand divisions are ver</w:t>
      </w:r>
      <w:r w:rsidRPr="0083607B">
        <w:rPr>
          <w:rFonts w:ascii="Times New Roman" w:eastAsia="Times New Roman" w:hAnsi="Times New Roman" w:cs="Times New Roman"/>
          <w:sz w:val="24"/>
          <w:szCs w:val="24"/>
        </w:rPr>
        <w:t xml:space="preserve">y important in brand development, differentiation, and marketing as </w:t>
      </w:r>
      <w:proofErr w:type="gramStart"/>
      <w:r w:rsidRPr="0083607B">
        <w:rPr>
          <w:rFonts w:ascii="Times New Roman" w:eastAsia="Times New Roman" w:hAnsi="Times New Roman" w:cs="Times New Roman"/>
          <w:sz w:val="24"/>
          <w:szCs w:val="24"/>
        </w:rPr>
        <w:t>this falls</w:t>
      </w:r>
      <w:proofErr w:type="gramEnd"/>
      <w:r w:rsidRPr="0083607B">
        <w:rPr>
          <w:rFonts w:ascii="Times New Roman" w:eastAsia="Times New Roman" w:hAnsi="Times New Roman" w:cs="Times New Roman"/>
          <w:sz w:val="24"/>
          <w:szCs w:val="24"/>
        </w:rPr>
        <w:t xml:space="preserve"> within Accor’s goals to expand its brand portfolio and attract all types of customers (Applegate et al., 2008).</w:t>
      </w:r>
    </w:p>
    <w:p w14:paraId="4ABABE48"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0E"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Organizational Culture</w:t>
      </w:r>
    </w:p>
    <w:p w14:paraId="57E7C30F"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Hotel Group's corporate culture is deeply rooted in its mission statement: “To make every guest feel welcome.” The culture of the business rests its identity on its commitment to hospitality and guest satisfaction. The culture of Accor is founded on multiple values and principles. Guest satisfaction is paramount, and employees are expected to do more than go the extra mile to create a comfortable environment for guests. Accor believes in diversity and works towards a welcoming culture. It employs pers</w:t>
      </w:r>
      <w:r w:rsidRPr="0083607B">
        <w:rPr>
          <w:rFonts w:ascii="Times New Roman" w:eastAsia="Times New Roman" w:hAnsi="Times New Roman" w:cs="Times New Roman"/>
          <w:sz w:val="24"/>
          <w:szCs w:val="24"/>
        </w:rPr>
        <w:t xml:space="preserve">onnel worldwide, creating a diverse workforce that characterizes this company. Accor pledges to sustainability and corporate responsibility. Such programs include, for instance, Planet 21, which minimizes its environmental footprint and supports neighboring communities (Lee &amp; Song, 2016). The cultural dimensions theory by Geert </w:t>
      </w:r>
      <w:r w:rsidRPr="0083607B">
        <w:rPr>
          <w:rFonts w:ascii="Times New Roman" w:eastAsia="Times New Roman" w:hAnsi="Times New Roman" w:cs="Times New Roman"/>
          <w:sz w:val="24"/>
          <w:szCs w:val="24"/>
        </w:rPr>
        <w:lastRenderedPageBreak/>
        <w:t xml:space="preserve">Hofstede outlines a way to assess organizational cultural diversities. Applying Hofstede's dimensions to Accor's culture reveals some key aspects: Power Distance: Accor’s culture is </w:t>
      </w:r>
      <w:r w:rsidRPr="0083607B">
        <w:rPr>
          <w:rFonts w:ascii="Times New Roman" w:eastAsia="Times New Roman" w:hAnsi="Times New Roman" w:cs="Times New Roman"/>
          <w:sz w:val="24"/>
          <w:szCs w:val="24"/>
        </w:rPr>
        <w:t xml:space="preserve">characterized by a relatively low power distance (Sang et al., 2019). There is an emphasis on open communication, welcoming employee feedback, and giving them authority to improve guest experience. Individualism vs. Collectivism: Accor leans toward individualism. Employees are encouraged to provide good guest service individually and not through teamwork and collaboration. Masculinity vs. Femininity: The culture of Accor depicts some female characteristics. Work-life balance is critical in the organization </w:t>
      </w:r>
      <w:r w:rsidRPr="0083607B">
        <w:rPr>
          <w:rFonts w:ascii="Times New Roman" w:eastAsia="Times New Roman" w:hAnsi="Times New Roman" w:cs="Times New Roman"/>
          <w:sz w:val="24"/>
          <w:szCs w:val="24"/>
        </w:rPr>
        <w:t>as it encourages employee relationships and a positive lifestyle. Uncertainty Avoidance: Accor has a high uncertainty avoidance culture. It creates innovations and fosters flexibility, and flexibility is geared towards catering to the diverse needs of its clients (Gerritsen, 2012). Accor’s culture plays a major role in defining Accor’s performance. Accor focuses on giving customers the best possible experience, which is why guests regard the hotel chain as unique. Customers are more inclined to Accor hotels</w:t>
      </w:r>
      <w:r w:rsidRPr="0083607B">
        <w:rPr>
          <w:rFonts w:ascii="Times New Roman" w:eastAsia="Times New Roman" w:hAnsi="Times New Roman" w:cs="Times New Roman"/>
          <w:sz w:val="24"/>
          <w:szCs w:val="24"/>
        </w:rPr>
        <w:t xml:space="preserve"> committed to diversity and sustainability. Additionally, the organization’s focus on the free exchange of information and motivation improves employee morale, thus promoting good service delivery and retaining workers.</w:t>
      </w:r>
    </w:p>
    <w:p w14:paraId="433F1D88"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0"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Organizational Goals</w:t>
      </w:r>
    </w:p>
    <w:p w14:paraId="6C34FE51" w14:textId="227EBF29" w:rsid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Accor Hotel Group has put in place well-defined corporate goals and objectives that are based on the firm’s vision and mission. Accor plans for continued global expansion into developing markets. The company plans to open new establishments, maintain dominance in critical regions, and acquire crucial assets. Accor will be expanding its brand portfolio, targeting all categories of customers, for instance, from luxury to budget accommodations. Accor upholds sustainability and corporate social responsibility. </w:t>
      </w:r>
      <w:r w:rsidRPr="0083607B">
        <w:rPr>
          <w:rFonts w:ascii="Times New Roman" w:eastAsia="Times New Roman" w:hAnsi="Times New Roman" w:cs="Times New Roman"/>
          <w:sz w:val="24"/>
          <w:szCs w:val="24"/>
        </w:rPr>
        <w:t xml:space="preserve">The company’s Planet 21 program stipulates several goals relating to energy conservation, waste management, and the involvement of neighborhood communities (Siko &amp; Vetro, 2022). Accor’s organizational structure, corporate culture, and corporate goals are inseparable, and this helps to achieve objectives. The </w:t>
      </w:r>
      <w:proofErr w:type="spellStart"/>
      <w:r w:rsidRPr="0083607B">
        <w:rPr>
          <w:rFonts w:ascii="Times New Roman" w:eastAsia="Times New Roman" w:hAnsi="Times New Roman" w:cs="Times New Roman"/>
          <w:sz w:val="24"/>
          <w:szCs w:val="24"/>
        </w:rPr>
        <w:t>divisionalized</w:t>
      </w:r>
      <w:proofErr w:type="spellEnd"/>
      <w:r w:rsidRPr="0083607B">
        <w:rPr>
          <w:rFonts w:ascii="Times New Roman" w:eastAsia="Times New Roman" w:hAnsi="Times New Roman" w:cs="Times New Roman"/>
          <w:sz w:val="24"/>
          <w:szCs w:val="24"/>
        </w:rPr>
        <w:t xml:space="preserve"> structure enables effective administration of varied brands, targeting distinct customer groups and enhancing the brand portfolio. A customer-centric culture supports global expansion by </w:t>
      </w:r>
      <w:r w:rsidRPr="0083607B">
        <w:rPr>
          <w:rFonts w:ascii="Times New Roman" w:eastAsia="Times New Roman" w:hAnsi="Times New Roman" w:cs="Times New Roman"/>
          <w:sz w:val="24"/>
          <w:szCs w:val="24"/>
        </w:rPr>
        <w:t xml:space="preserve">providing guests with satisfaction and loyalty (Robson, 2012). The focus on sustainability in Accor’s culture also aligns with the company’s goals of being a responsible business and a good </w:t>
      </w:r>
      <w:r w:rsidRPr="0083607B">
        <w:rPr>
          <w:rFonts w:ascii="Times New Roman" w:eastAsia="Times New Roman" w:hAnsi="Times New Roman" w:cs="Times New Roman"/>
          <w:sz w:val="24"/>
          <w:szCs w:val="24"/>
        </w:rPr>
        <w:lastRenderedPageBreak/>
        <w:t xml:space="preserve">neighbor. Promoting diversities and inclusion, Accor stands a chance of venturing into new markets and forging good working relationships with local stakeholders. The structure of Accor’s organization fits well with the norms and best practices seen in the industry. Major hotel brands operate through a </w:t>
      </w:r>
      <w:proofErr w:type="spellStart"/>
      <w:r w:rsidRPr="0083607B">
        <w:rPr>
          <w:rFonts w:ascii="Times New Roman" w:eastAsia="Times New Roman" w:hAnsi="Times New Roman" w:cs="Times New Roman"/>
          <w:sz w:val="24"/>
          <w:szCs w:val="24"/>
        </w:rPr>
        <w:t>divisionalized</w:t>
      </w:r>
      <w:proofErr w:type="spellEnd"/>
      <w:r w:rsidRPr="0083607B">
        <w:rPr>
          <w:rFonts w:ascii="Times New Roman" w:eastAsia="Times New Roman" w:hAnsi="Times New Roman" w:cs="Times New Roman"/>
          <w:sz w:val="24"/>
          <w:szCs w:val="24"/>
        </w:rPr>
        <w:t xml:space="preserve"> str</w:t>
      </w:r>
      <w:r w:rsidRPr="0083607B">
        <w:rPr>
          <w:rFonts w:ascii="Times New Roman" w:eastAsia="Times New Roman" w:hAnsi="Times New Roman" w:cs="Times New Roman"/>
          <w:sz w:val="24"/>
          <w:szCs w:val="24"/>
        </w:rPr>
        <w:t xml:space="preserve">ucture, which is </w:t>
      </w:r>
      <w:proofErr w:type="gramStart"/>
      <w:r w:rsidRPr="0083607B">
        <w:rPr>
          <w:rFonts w:ascii="Times New Roman" w:eastAsia="Times New Roman" w:hAnsi="Times New Roman" w:cs="Times New Roman"/>
          <w:sz w:val="24"/>
          <w:szCs w:val="24"/>
        </w:rPr>
        <w:t>similar to</w:t>
      </w:r>
      <w:proofErr w:type="gramEnd"/>
      <w:r w:rsidRPr="0083607B">
        <w:rPr>
          <w:rFonts w:ascii="Times New Roman" w:eastAsia="Times New Roman" w:hAnsi="Times New Roman" w:cs="Times New Roman"/>
          <w:sz w:val="24"/>
          <w:szCs w:val="24"/>
        </w:rPr>
        <w:t xml:space="preserve"> that of Holiday. The customer-centric culture of Accor is consistent with current global trends in hospitality (Sheth et al., 2020). The approach adopted by Accor goes in tandem with the industry requirements as travelers opt for unique and environmentally friendly experiences.</w:t>
      </w:r>
    </w:p>
    <w:p w14:paraId="67ACD01F"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2"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Recent Change Initiatives</w:t>
      </w:r>
    </w:p>
    <w:p w14:paraId="57E7C313"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Hotel Group has undertaken various strategic change initiatives over the past few decades as it has attempted to respond to the ever-dynamic hospitality environment. In this regard, one outstanding move they made was rolling out the “Accor Live Limitless” (ALL) loyalty program in 2019 (Susilo &amp; Santos, 2023). The loyalty program represents a new way how Accor interacts with its consumers, going beyond hospitality. Accor has launched an expanded concept named ALL to bring the service closer to the gues</w:t>
      </w:r>
      <w:r w:rsidRPr="0083607B">
        <w:rPr>
          <w:rFonts w:ascii="Times New Roman" w:eastAsia="Times New Roman" w:hAnsi="Times New Roman" w:cs="Times New Roman"/>
          <w:sz w:val="24"/>
          <w:szCs w:val="24"/>
        </w:rPr>
        <w:t>ts. It involves privileges like discounts, special invitations to events, and personalized services. Also, the firm has invested in digital transformation and the development of mobile apps and online booking platforms to improve customer involvement and facilitate activities. Change initiatives in hotels stem from the changing environment in the hospitality industry (Ali &amp; Anwar, 2021). Today’s tourists want custom-made and distinct experiences. These demands are changing, and Accor recognized that they ex</w:t>
      </w:r>
      <w:r w:rsidRPr="0083607B">
        <w:rPr>
          <w:rFonts w:ascii="Times New Roman" w:eastAsia="Times New Roman" w:hAnsi="Times New Roman" w:cs="Times New Roman"/>
          <w:sz w:val="24"/>
          <w:szCs w:val="24"/>
        </w:rPr>
        <w:t>pect more than just accommodation. The competition has taken place in this sector due to the introduction of new players in the industry and online travel agencies. Competition forced Accor to innovate to remain viable and avoid attrition. The advancement of technology and portable gadgets has revolutionized the ways customers book and enjoy their stay. Accor is required to embrace the digital age through funding in technology and customer-driven platforms.</w:t>
      </w:r>
    </w:p>
    <w:p w14:paraId="365420CE"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4"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Impact of Change Initiatives</w:t>
      </w:r>
    </w:p>
    <w:p w14:paraId="57E7C315"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Accor Hotel Group has experienced a paradigm change due to the “ALL” loyalty program and digital transformation initiatives. The “ALL” program has enhanced customer loyalty and involvement. Personalized benefits and rewards have resulted in a higher retention of customers </w:t>
      </w:r>
      <w:r w:rsidRPr="0083607B">
        <w:rPr>
          <w:rFonts w:ascii="Times New Roman" w:eastAsia="Times New Roman" w:hAnsi="Times New Roman" w:cs="Times New Roman"/>
          <w:sz w:val="24"/>
          <w:szCs w:val="24"/>
        </w:rPr>
        <w:lastRenderedPageBreak/>
        <w:t>as they feel valued. Accor also benefits through valuable data insights that help to understand customers’ preferences and improve the company’s service (</w:t>
      </w:r>
      <w:proofErr w:type="spellStart"/>
      <w:r w:rsidRPr="0083607B">
        <w:rPr>
          <w:rFonts w:ascii="Times New Roman" w:eastAsia="Times New Roman" w:hAnsi="Times New Roman" w:cs="Times New Roman"/>
          <w:sz w:val="24"/>
          <w:szCs w:val="24"/>
        </w:rPr>
        <w:t>Fontgalland</w:t>
      </w:r>
      <w:proofErr w:type="spellEnd"/>
      <w:r w:rsidRPr="0083607B">
        <w:rPr>
          <w:rFonts w:ascii="Times New Roman" w:eastAsia="Times New Roman" w:hAnsi="Times New Roman" w:cs="Times New Roman"/>
          <w:sz w:val="24"/>
          <w:szCs w:val="24"/>
        </w:rPr>
        <w:t xml:space="preserve"> et al., 2022). These digital transformation initiatives have enhanced operational effectiveness. Reservation has been made easy through mobile apps and online platforms, providing avenues for customer interaction. Furthermore, data analytics usage in Accor has made data-based decision-making possible, boosting the overall performance of the fir</w:t>
      </w:r>
      <w:r w:rsidRPr="0083607B">
        <w:rPr>
          <w:rFonts w:ascii="Times New Roman" w:eastAsia="Times New Roman" w:hAnsi="Times New Roman" w:cs="Times New Roman"/>
          <w:sz w:val="24"/>
          <w:szCs w:val="24"/>
        </w:rPr>
        <w:t>m (</w:t>
      </w:r>
      <w:proofErr w:type="spellStart"/>
      <w:r w:rsidRPr="0083607B">
        <w:rPr>
          <w:rFonts w:ascii="Times New Roman" w:eastAsia="Times New Roman" w:hAnsi="Times New Roman" w:cs="Times New Roman"/>
          <w:sz w:val="24"/>
          <w:szCs w:val="24"/>
        </w:rPr>
        <w:t>Gibassier</w:t>
      </w:r>
      <w:proofErr w:type="spellEnd"/>
      <w:r w:rsidRPr="0083607B">
        <w:rPr>
          <w:rFonts w:ascii="Times New Roman" w:eastAsia="Times New Roman" w:hAnsi="Times New Roman" w:cs="Times New Roman"/>
          <w:sz w:val="24"/>
          <w:szCs w:val="24"/>
        </w:rPr>
        <w:t xml:space="preserve"> &amp; </w:t>
      </w:r>
      <w:proofErr w:type="spellStart"/>
      <w:r w:rsidRPr="0083607B">
        <w:rPr>
          <w:rFonts w:ascii="Times New Roman" w:eastAsia="Times New Roman" w:hAnsi="Times New Roman" w:cs="Times New Roman"/>
          <w:sz w:val="24"/>
          <w:szCs w:val="24"/>
        </w:rPr>
        <w:t>Schaltegger</w:t>
      </w:r>
      <w:proofErr w:type="spellEnd"/>
      <w:r w:rsidRPr="0083607B">
        <w:rPr>
          <w:rFonts w:ascii="Times New Roman" w:eastAsia="Times New Roman" w:hAnsi="Times New Roman" w:cs="Times New Roman"/>
          <w:sz w:val="24"/>
          <w:szCs w:val="24"/>
        </w:rPr>
        <w:t>, 2015). Accor has used change management theories like John Kotter’s 8-step model to manage these changes. These aspects of the model involve creating a sense of urgency, forming a guiding coalition, and fostering action. Accor has followed this framework. These transformations started after a changing landscape in the industry, and customer expectations pushed for the change. Accor’s top management was instrumental in taking the lead in change. They created a consortium of import</w:t>
      </w:r>
      <w:r w:rsidRPr="0083607B">
        <w:rPr>
          <w:rFonts w:ascii="Times New Roman" w:eastAsia="Times New Roman" w:hAnsi="Times New Roman" w:cs="Times New Roman"/>
          <w:sz w:val="24"/>
          <w:szCs w:val="24"/>
        </w:rPr>
        <w:t xml:space="preserve">ant stakeholders with a view of moving the projects. With regard to enabling Action, Accor invested in resources, technology, and training to make sure that the loyalty program was implemented </w:t>
      </w:r>
      <w:proofErr w:type="gramStart"/>
      <w:r w:rsidRPr="0083607B">
        <w:rPr>
          <w:rFonts w:ascii="Times New Roman" w:eastAsia="Times New Roman" w:hAnsi="Times New Roman" w:cs="Times New Roman"/>
          <w:sz w:val="24"/>
          <w:szCs w:val="24"/>
        </w:rPr>
        <w:t>well</w:t>
      </w:r>
      <w:proofErr w:type="gramEnd"/>
      <w:r w:rsidRPr="0083607B">
        <w:rPr>
          <w:rFonts w:ascii="Times New Roman" w:eastAsia="Times New Roman" w:hAnsi="Times New Roman" w:cs="Times New Roman"/>
          <w:sz w:val="24"/>
          <w:szCs w:val="24"/>
        </w:rPr>
        <w:t xml:space="preserve"> and digital transformation was achieved.</w:t>
      </w:r>
    </w:p>
    <w:p w14:paraId="1C812573"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6"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Management of Change</w:t>
      </w:r>
    </w:p>
    <w:p w14:paraId="57E7C317"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has largely managed these change initiatives successfully. The organization implemented its strategies in a way that it could adjust and cope with changes taking place in the industry. On the other hand, there were also challenges and lessons learned. All the employees and stakeholders did not readily accept some of the new changes (Freeman et al., 2007). It was a challenge to communicate and train on new processes and systems due to resistance from people. Accor had to deal with huge amounts of custo</w:t>
      </w:r>
      <w:r w:rsidRPr="0083607B">
        <w:rPr>
          <w:rFonts w:ascii="Times New Roman" w:eastAsia="Times New Roman" w:hAnsi="Times New Roman" w:cs="Times New Roman"/>
          <w:sz w:val="24"/>
          <w:szCs w:val="24"/>
        </w:rPr>
        <w:t>mer information from its loyalty program. It called for stringent data management and security systems. Accor had no option but to keep changing its offerings as the hospitality industry remained competitive. This “ALL” loyalty program resulted in strong customer loyalty and repeat business, which became a success (</w:t>
      </w:r>
      <w:proofErr w:type="spellStart"/>
      <w:r w:rsidRPr="0083607B">
        <w:rPr>
          <w:rFonts w:ascii="Times New Roman" w:eastAsia="Times New Roman" w:hAnsi="Times New Roman" w:cs="Times New Roman"/>
          <w:sz w:val="24"/>
          <w:szCs w:val="24"/>
        </w:rPr>
        <w:t>Damnjanovic</w:t>
      </w:r>
      <w:proofErr w:type="spellEnd"/>
      <w:r w:rsidRPr="0083607B">
        <w:rPr>
          <w:rFonts w:ascii="Times New Roman" w:eastAsia="Times New Roman" w:hAnsi="Times New Roman" w:cs="Times New Roman"/>
          <w:sz w:val="24"/>
          <w:szCs w:val="24"/>
        </w:rPr>
        <w:t xml:space="preserve"> et al., 2020). Digital transformation improved processes and reduced operational costs, thus enhancing customer service. Through data analytics, Accor arrived at informed decisions re</w:t>
      </w:r>
      <w:r w:rsidRPr="0083607B">
        <w:rPr>
          <w:rFonts w:ascii="Times New Roman" w:eastAsia="Times New Roman" w:hAnsi="Times New Roman" w:cs="Times New Roman"/>
          <w:sz w:val="24"/>
          <w:szCs w:val="24"/>
        </w:rPr>
        <w:t>garding market targeting and service improvements.</w:t>
      </w:r>
    </w:p>
    <w:p w14:paraId="18010073"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8"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Strategic Direction</w:t>
      </w:r>
    </w:p>
    <w:p w14:paraId="57E7C319"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lastRenderedPageBreak/>
        <w:t>The choice of direction taken by the Accor Hotel Group indicates its intention to adapt and change with time, which is a necessary part of any organization in the current international hospitality environment. As such, the organization is on a journey to position itself as an industry leader based on these critical elements. To this end, Accor has deliberately diversified its brand portfolio across luxury, upper upscale, upscale, middle, and economy class categories of hotels. This diversification allows th</w:t>
      </w:r>
      <w:r w:rsidRPr="0083607B">
        <w:rPr>
          <w:rFonts w:ascii="Times New Roman" w:eastAsia="Times New Roman" w:hAnsi="Times New Roman" w:cs="Times New Roman"/>
          <w:sz w:val="24"/>
          <w:szCs w:val="24"/>
        </w:rPr>
        <w:t xml:space="preserve">e company to serve different consumer preferences and demography. Accor has invested much in incorporating digital technologies and online platforms for improved customer service (Wilson et al., 2016). The introduction of mobile apps, user-friendly websites, and online bookings has simplified the reservation process in addition to increasing the involvement of the clients. Accor adheres to a sustainable agenda. Planet 21 is its energy management plan that includes specific goals on energy efficiency, waste </w:t>
      </w:r>
      <w:r w:rsidRPr="0083607B">
        <w:rPr>
          <w:rFonts w:ascii="Times New Roman" w:eastAsia="Times New Roman" w:hAnsi="Times New Roman" w:cs="Times New Roman"/>
          <w:sz w:val="24"/>
          <w:szCs w:val="24"/>
        </w:rPr>
        <w:t>reduction, and community involvement. This shows a strategic commitment as the world is changing towards sustainability.</w:t>
      </w:r>
    </w:p>
    <w:p w14:paraId="7E83C7E6"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1A"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b/>
          <w:sz w:val="24"/>
          <w:szCs w:val="24"/>
        </w:rPr>
        <w:t>Table 1. SWOT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D1FDA" w:rsidRPr="0083607B" w14:paraId="57E7C323" w14:textId="77777777">
        <w:tc>
          <w:tcPr>
            <w:tcW w:w="4680" w:type="dxa"/>
            <w:shd w:val="clear" w:color="auto" w:fill="auto"/>
            <w:tcMar>
              <w:top w:w="100" w:type="dxa"/>
              <w:left w:w="100" w:type="dxa"/>
              <w:bottom w:w="100" w:type="dxa"/>
              <w:right w:w="100" w:type="dxa"/>
            </w:tcMar>
          </w:tcPr>
          <w:p w14:paraId="57E7C31B" w14:textId="77777777" w:rsidR="002D1FDA" w:rsidRPr="0083607B" w:rsidRDefault="0083607B" w:rsidP="0083607B">
            <w:pPr>
              <w:widowControl w:val="0"/>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Strengths</w:t>
            </w:r>
          </w:p>
          <w:p w14:paraId="57E7C31C"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Diversified Brand Portfolio: Accor is well established with its diversified range of hotel brands that span different market segments: high-end to budget. Such diversity enables the organization to serve a broad spectrum of customer tastes and populations, lowering the dangers entailed by the fluctuations in the market.</w:t>
            </w:r>
          </w:p>
          <w:p w14:paraId="57E7C31D"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Global Presence: Accor boasts of having a presence in almost every country globally, and it runs properties in many countries. Moreover, this far-reaching presence constitutes a competitive edge, allowing for market expansion and consequential revenue </w:t>
            </w:r>
            <w:r w:rsidRPr="0083607B">
              <w:rPr>
                <w:rFonts w:ascii="Times New Roman" w:eastAsia="Times New Roman" w:hAnsi="Times New Roman" w:cs="Times New Roman"/>
                <w:sz w:val="24"/>
                <w:szCs w:val="24"/>
              </w:rPr>
              <w:lastRenderedPageBreak/>
              <w:t>increment.</w:t>
            </w:r>
          </w:p>
          <w:p w14:paraId="57E7C31E"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Customer Loyalty Programs: Among others, the “ALL” loyalty program and other customer loyalty initiatives have fortified customer retention and satisfaction. The guests are rewarded with personalized benefits and rewards that raise their loyalty and involvement with these programs.</w:t>
            </w:r>
          </w:p>
          <w:p w14:paraId="57E7C31F"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Digital Transformation: Accor has invested heavily in digital technologies, such as mobile applications and online reservations. This digital transformation has made the company’s daily operations more efficient and effective, simplified the reservation process, and enhanced customer engagement.</w:t>
            </w:r>
          </w:p>
        </w:tc>
        <w:tc>
          <w:tcPr>
            <w:tcW w:w="4680" w:type="dxa"/>
            <w:shd w:val="clear" w:color="auto" w:fill="auto"/>
            <w:tcMar>
              <w:top w:w="100" w:type="dxa"/>
              <w:left w:w="100" w:type="dxa"/>
              <w:bottom w:w="100" w:type="dxa"/>
              <w:right w:w="100" w:type="dxa"/>
            </w:tcMar>
          </w:tcPr>
          <w:p w14:paraId="57E7C320" w14:textId="77777777" w:rsidR="002D1FDA" w:rsidRPr="0083607B" w:rsidRDefault="0083607B" w:rsidP="0083607B">
            <w:pPr>
              <w:widowControl w:val="0"/>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lastRenderedPageBreak/>
              <w:t>Weaknesses</w:t>
            </w:r>
          </w:p>
          <w:p w14:paraId="57E7C321"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Brand Consistency: Managing consistency and brand uniformity across a multi-branded portfolio is never easy. This means managing each of these brands so that they all maintain their identities and conform to standard guidelines for operation.</w:t>
            </w:r>
          </w:p>
          <w:p w14:paraId="57E7C322"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Resistance to Change: Some people and stakeholders would probably oppose new procedures and technologies in the recent change initiatives. Effective handling of this resistance has always been challenging.</w:t>
            </w:r>
          </w:p>
        </w:tc>
      </w:tr>
      <w:tr w:rsidR="002D1FDA" w:rsidRPr="0083607B" w14:paraId="57E7C32E" w14:textId="77777777">
        <w:tc>
          <w:tcPr>
            <w:tcW w:w="4680" w:type="dxa"/>
            <w:shd w:val="clear" w:color="auto" w:fill="auto"/>
            <w:tcMar>
              <w:top w:w="100" w:type="dxa"/>
              <w:left w:w="100" w:type="dxa"/>
              <w:bottom w:w="100" w:type="dxa"/>
              <w:right w:w="100" w:type="dxa"/>
            </w:tcMar>
          </w:tcPr>
          <w:p w14:paraId="57E7C324" w14:textId="77777777" w:rsidR="002D1FDA" w:rsidRPr="0083607B" w:rsidRDefault="0083607B" w:rsidP="0083607B">
            <w:pPr>
              <w:widowControl w:val="0"/>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Threats</w:t>
            </w:r>
          </w:p>
          <w:p w14:paraId="57E7C325"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Competitive Rivalry: There is stiff competition in the hospitality industry due to many international and local players. Accor’s market share and pricing strategies are threatened by the competitive landscape.</w:t>
            </w:r>
          </w:p>
          <w:p w14:paraId="57E7C326"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Digital Disruption: Traditional hotel booking models compete with online travel agencies and other disruptive digital platforms. Accor should remain the leading hotel operator regarding technology and digital marketing to maintain its competitive advantage.</w:t>
            </w:r>
          </w:p>
          <w:p w14:paraId="57E7C327"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Economic and Market Conditions: For instance, economic downturns and changing market conditions, such as the COVID-19 </w:t>
            </w:r>
            <w:r w:rsidRPr="0083607B">
              <w:rPr>
                <w:rFonts w:ascii="Times New Roman" w:eastAsia="Times New Roman" w:hAnsi="Times New Roman" w:cs="Times New Roman"/>
                <w:sz w:val="24"/>
                <w:szCs w:val="24"/>
              </w:rPr>
              <w:lastRenderedPageBreak/>
              <w:t>pandemic, can significantly affect the hospitality industry. These threats should be mitigated by making Accor remain adaptable.</w:t>
            </w:r>
          </w:p>
          <w:p w14:paraId="57E7C328"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7E7C329" w14:textId="77777777" w:rsidR="002D1FDA" w:rsidRPr="0083607B" w:rsidRDefault="0083607B" w:rsidP="0083607B">
            <w:pPr>
              <w:widowControl w:val="0"/>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lastRenderedPageBreak/>
              <w:t>Opportunities</w:t>
            </w:r>
          </w:p>
          <w:p w14:paraId="57E7C32A"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Sustainable Practices: There lies a promising prospect for the industry to thrive due to increasing demands for eco-friendly traveling. Planet 21” is among Accor’s programs demonstrating a commitment to sustainability and is in tune with this trend.</w:t>
            </w:r>
          </w:p>
          <w:p w14:paraId="57E7C32B"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Personalized Experiences: Modern traveling is more a question of individuality and something special. Accor can use a variety of brands and customized consumer data to deliver personalized products and activities.</w:t>
            </w:r>
          </w:p>
          <w:p w14:paraId="57E7C32C" w14:textId="77777777" w:rsidR="002D1FDA" w:rsidRPr="0083607B" w:rsidRDefault="0083607B" w:rsidP="0083607B">
            <w:pPr>
              <w:widowControl w:val="0"/>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Digital Engagement: Customer satisfaction could be further enhanced through other digitalization efforts. The potential for growth </w:t>
            </w:r>
            <w:r w:rsidRPr="0083607B">
              <w:rPr>
                <w:rFonts w:ascii="Times New Roman" w:eastAsia="Times New Roman" w:hAnsi="Times New Roman" w:cs="Times New Roman"/>
                <w:sz w:val="24"/>
                <w:szCs w:val="24"/>
              </w:rPr>
              <w:lastRenderedPageBreak/>
              <w:t>lies in using customer data for direct marketing and individualization.</w:t>
            </w:r>
          </w:p>
          <w:p w14:paraId="57E7C32D"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14:paraId="57E7C32F" w14:textId="77777777" w:rsidR="002D1FDA" w:rsidRPr="0083607B" w:rsidRDefault="002D1FDA" w:rsidP="0083607B">
      <w:pPr>
        <w:spacing w:line="360" w:lineRule="auto"/>
        <w:rPr>
          <w:rFonts w:ascii="Times New Roman" w:eastAsia="Times New Roman" w:hAnsi="Times New Roman" w:cs="Times New Roman"/>
          <w:b/>
          <w:sz w:val="24"/>
          <w:szCs w:val="24"/>
        </w:rPr>
      </w:pPr>
    </w:p>
    <w:p w14:paraId="57E7C330"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Business Performance</w:t>
      </w:r>
    </w:p>
    <w:p w14:paraId="57E7C331" w14:textId="77777777" w:rsidR="002D1FDA"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Hotel Group’s business performance evaluation comprises financial and operational aspects. The financial strength of Accor is very high, having key financial indicators such as return on assets and equity, which point to a highly effective strategic approach. The company has experienced a continuous increase in revenue due to its diverse brand portfolio coupled with global reach. There is a firm demand in crucial markets that underpin this growth. The profitability ratios, including the gross profit m</w:t>
      </w:r>
      <w:r w:rsidRPr="0083607B">
        <w:rPr>
          <w:rFonts w:ascii="Times New Roman" w:eastAsia="Times New Roman" w:hAnsi="Times New Roman" w:cs="Times New Roman"/>
          <w:sz w:val="24"/>
          <w:szCs w:val="24"/>
        </w:rPr>
        <w:t xml:space="preserve">argins, remain healthy. Cost management and operational efficiency have been key issues for the company, which has had a positive impact on profitability. Its strategic effectiveness is illustrated by how well it could deliver value in property acquisitions and brand developments. Accor’s operation adds to the financial profitability. High ratings and positive reviews associated with guest satisfaction </w:t>
      </w:r>
      <w:proofErr w:type="gramStart"/>
      <w:r w:rsidRPr="0083607B">
        <w:rPr>
          <w:rFonts w:ascii="Times New Roman" w:eastAsia="Times New Roman" w:hAnsi="Times New Roman" w:cs="Times New Roman"/>
          <w:sz w:val="24"/>
          <w:szCs w:val="24"/>
        </w:rPr>
        <w:t>lead</w:t>
      </w:r>
      <w:proofErr w:type="gramEnd"/>
      <w:r w:rsidRPr="0083607B">
        <w:rPr>
          <w:rFonts w:ascii="Times New Roman" w:eastAsia="Times New Roman" w:hAnsi="Times New Roman" w:cs="Times New Roman"/>
          <w:sz w:val="24"/>
          <w:szCs w:val="24"/>
        </w:rPr>
        <w:t xml:space="preserve"> to repeat business and brand loyalty (Nam et al., 2011). Accor’s high staff retention and engagement </w:t>
      </w:r>
      <w:r w:rsidRPr="0083607B">
        <w:rPr>
          <w:rFonts w:ascii="Times New Roman" w:eastAsia="Times New Roman" w:hAnsi="Times New Roman" w:cs="Times New Roman"/>
          <w:sz w:val="24"/>
          <w:szCs w:val="24"/>
        </w:rPr>
        <w:t>reflects its commitment to staff contentment. Adopting the Plan 21 program and other sustainability actions illustrate Accor’s sense of corporate accountability and operational leadership.</w:t>
      </w:r>
    </w:p>
    <w:p w14:paraId="1FE7590D" w14:textId="77777777" w:rsidR="0083607B" w:rsidRPr="0083607B" w:rsidRDefault="0083607B" w:rsidP="0083607B">
      <w:pPr>
        <w:spacing w:line="360" w:lineRule="auto"/>
        <w:rPr>
          <w:rFonts w:ascii="Times New Roman" w:eastAsia="Times New Roman" w:hAnsi="Times New Roman" w:cs="Times New Roman"/>
          <w:sz w:val="24"/>
          <w:szCs w:val="24"/>
        </w:rPr>
      </w:pPr>
    </w:p>
    <w:p w14:paraId="57E7C332"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 xml:space="preserve">Table 2. Analysis of Accor’s Financial </w:t>
      </w:r>
      <w:proofErr w:type="spellStart"/>
      <w:r w:rsidRPr="0083607B">
        <w:rPr>
          <w:rFonts w:ascii="Times New Roman" w:eastAsia="Times New Roman" w:hAnsi="Times New Roman" w:cs="Times New Roman"/>
          <w:b/>
          <w:sz w:val="24"/>
          <w:szCs w:val="24"/>
        </w:rPr>
        <w:t>Perfomance</w:t>
      </w:r>
      <w:proofErr w:type="spellEnd"/>
      <w:r w:rsidRPr="0083607B">
        <w:rPr>
          <w:rFonts w:ascii="Times New Roman" w:eastAsia="Times New Roman" w:hAnsi="Times New Roman" w:cs="Times New Roman"/>
          <w:b/>
          <w:sz w:val="24"/>
          <w:szCs w:val="24"/>
        </w:rPr>
        <w:t xml:space="preserve"> Using Key </w:t>
      </w:r>
      <w:proofErr w:type="spellStart"/>
      <w:r w:rsidRPr="0083607B">
        <w:rPr>
          <w:rFonts w:ascii="Times New Roman" w:eastAsia="Times New Roman" w:hAnsi="Times New Roman" w:cs="Times New Roman"/>
          <w:b/>
          <w:sz w:val="24"/>
          <w:szCs w:val="24"/>
        </w:rPr>
        <w:t>Perfomance</w:t>
      </w:r>
      <w:proofErr w:type="spellEnd"/>
      <w:r w:rsidRPr="0083607B">
        <w:rPr>
          <w:rFonts w:ascii="Times New Roman" w:eastAsia="Times New Roman" w:hAnsi="Times New Roman" w:cs="Times New Roman"/>
          <w:b/>
          <w:sz w:val="24"/>
          <w:szCs w:val="24"/>
        </w:rPr>
        <w:t xml:space="preserve"> Indicators and Financial Ratios</w:t>
      </w:r>
    </w:p>
    <w:p w14:paraId="57E7C333" w14:textId="77777777" w:rsidR="002D1FDA" w:rsidRPr="0083607B" w:rsidRDefault="002D1FDA" w:rsidP="0083607B">
      <w:pPr>
        <w:spacing w:line="360" w:lineRule="auto"/>
        <w:rPr>
          <w:rFonts w:ascii="Times New Roman" w:eastAsia="Times New Roman" w:hAnsi="Times New Roman" w:cs="Times New Roman"/>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D1FDA" w:rsidRPr="0083607B" w14:paraId="57E7C336" w14:textId="77777777">
        <w:tc>
          <w:tcPr>
            <w:tcW w:w="4680" w:type="dxa"/>
            <w:shd w:val="clear" w:color="auto" w:fill="auto"/>
            <w:tcMar>
              <w:top w:w="100" w:type="dxa"/>
              <w:left w:w="100" w:type="dxa"/>
              <w:bottom w:w="100" w:type="dxa"/>
              <w:right w:w="100" w:type="dxa"/>
            </w:tcMar>
          </w:tcPr>
          <w:p w14:paraId="57E7C334"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Revenue per Available Room (RevPAR)</w:t>
            </w:r>
          </w:p>
        </w:tc>
        <w:tc>
          <w:tcPr>
            <w:tcW w:w="4680" w:type="dxa"/>
            <w:shd w:val="clear" w:color="auto" w:fill="auto"/>
            <w:tcMar>
              <w:top w:w="100" w:type="dxa"/>
              <w:left w:w="100" w:type="dxa"/>
              <w:bottom w:w="100" w:type="dxa"/>
              <w:right w:w="100" w:type="dxa"/>
            </w:tcMar>
          </w:tcPr>
          <w:p w14:paraId="57E7C335"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 xml:space="preserve">RevPAR is a crucial KPI in the hotel industry, measuring its ability to generate revenue from its available rooms. Accor's RevPAR has shown a strong rebound since the COVID-19 pandemic, with a significant increase of 80% like-for-like (LFL) in 2022 compared to 2021 </w:t>
            </w:r>
            <w:r w:rsidRPr="0083607B">
              <w:rPr>
                <w:rFonts w:ascii="Times New Roman" w:eastAsia="Times New Roman" w:hAnsi="Times New Roman" w:cs="Times New Roman"/>
                <w:sz w:val="24"/>
                <w:szCs w:val="24"/>
              </w:rPr>
              <w:lastRenderedPageBreak/>
              <w:t>(Accor Group, 2023). This growth is attributed to the recovery in travel demand and Accor's effective pricing strategies</w:t>
            </w:r>
          </w:p>
        </w:tc>
      </w:tr>
      <w:tr w:rsidR="002D1FDA" w:rsidRPr="0083607B" w14:paraId="57E7C33B" w14:textId="77777777">
        <w:tc>
          <w:tcPr>
            <w:tcW w:w="4680" w:type="dxa"/>
            <w:shd w:val="clear" w:color="auto" w:fill="auto"/>
            <w:tcMar>
              <w:top w:w="100" w:type="dxa"/>
              <w:left w:w="100" w:type="dxa"/>
              <w:bottom w:w="100" w:type="dxa"/>
              <w:right w:w="100" w:type="dxa"/>
            </w:tcMar>
          </w:tcPr>
          <w:p w14:paraId="57E7C337"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lastRenderedPageBreak/>
              <w:t>Net Profit Margin</w:t>
            </w:r>
          </w:p>
          <w:p w14:paraId="57E7C338" w14:textId="77777777" w:rsidR="002D1FDA" w:rsidRPr="0083607B" w:rsidRDefault="002D1FDA" w:rsidP="0083607B">
            <w:pPr>
              <w:widowControl w:val="0"/>
              <w:shd w:val="clear" w:color="auto" w:fill="FFFFFF"/>
              <w:spacing w:line="360" w:lineRule="auto"/>
              <w:rPr>
                <w:rFonts w:ascii="Times New Roman" w:eastAsia="Times New Roman" w:hAnsi="Times New Roman" w:cs="Times New Roman"/>
                <w:sz w:val="24"/>
                <w:szCs w:val="24"/>
              </w:rPr>
            </w:pPr>
          </w:p>
          <w:p w14:paraId="57E7C339"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7E7C33A"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Net profit margin is a critical measure of Accor's profitability, assessing its efficiency in converting revenue into profit. The company's net profit margin has shown improvement in recent years, reaching 2.1% in 2022, up from a loss of 0.6% in 2021 (Accor Group, 2023). This improvement reflects Accor's cost management initiatives and revenue growth strategies.</w:t>
            </w:r>
          </w:p>
        </w:tc>
      </w:tr>
      <w:tr w:rsidR="002D1FDA" w:rsidRPr="0083607B" w14:paraId="57E7C340" w14:textId="77777777">
        <w:tc>
          <w:tcPr>
            <w:tcW w:w="4680" w:type="dxa"/>
            <w:shd w:val="clear" w:color="auto" w:fill="auto"/>
            <w:tcMar>
              <w:top w:w="100" w:type="dxa"/>
              <w:left w:w="100" w:type="dxa"/>
              <w:bottom w:w="100" w:type="dxa"/>
              <w:right w:w="100" w:type="dxa"/>
            </w:tcMar>
          </w:tcPr>
          <w:p w14:paraId="57E7C33C"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Debt-to-Equity Ratio</w:t>
            </w:r>
          </w:p>
          <w:p w14:paraId="57E7C33D" w14:textId="77777777" w:rsidR="002D1FDA" w:rsidRPr="0083607B" w:rsidRDefault="002D1FDA" w:rsidP="0083607B">
            <w:pPr>
              <w:widowControl w:val="0"/>
              <w:shd w:val="clear" w:color="auto" w:fill="FFFFFF"/>
              <w:spacing w:line="360" w:lineRule="auto"/>
              <w:rPr>
                <w:rFonts w:ascii="Times New Roman" w:eastAsia="Times New Roman" w:hAnsi="Times New Roman" w:cs="Times New Roman"/>
                <w:sz w:val="24"/>
                <w:szCs w:val="24"/>
              </w:rPr>
            </w:pPr>
          </w:p>
          <w:p w14:paraId="57E7C33E"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7E7C33F"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The debt-to-equity ratio measures Accor's financial leverage, indicating its reliance on debt financing compared to equity. As of December 31, 2022, Accor's debt-to-equity ratio stood at 1.55, slightly above the industry benchmark of 1.0 (Accor Group, 2023). This suggests that Accor has a moderate level of financial leverage, indicating a balance between debt and equity financing.</w:t>
            </w:r>
          </w:p>
        </w:tc>
      </w:tr>
      <w:tr w:rsidR="002D1FDA" w:rsidRPr="0083607B" w14:paraId="57E7C345" w14:textId="77777777">
        <w:tc>
          <w:tcPr>
            <w:tcW w:w="4680" w:type="dxa"/>
            <w:shd w:val="clear" w:color="auto" w:fill="auto"/>
            <w:tcMar>
              <w:top w:w="100" w:type="dxa"/>
              <w:left w:w="100" w:type="dxa"/>
              <w:bottom w:w="100" w:type="dxa"/>
              <w:right w:w="100" w:type="dxa"/>
            </w:tcMar>
          </w:tcPr>
          <w:p w14:paraId="57E7C341"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Average Daily Rate (ADR)</w:t>
            </w:r>
          </w:p>
          <w:p w14:paraId="57E7C342" w14:textId="77777777" w:rsidR="002D1FDA" w:rsidRPr="0083607B" w:rsidRDefault="002D1FDA" w:rsidP="0083607B">
            <w:pPr>
              <w:widowControl w:val="0"/>
              <w:shd w:val="clear" w:color="auto" w:fill="FFFFFF"/>
              <w:spacing w:line="360" w:lineRule="auto"/>
              <w:rPr>
                <w:rFonts w:ascii="Times New Roman" w:eastAsia="Times New Roman" w:hAnsi="Times New Roman" w:cs="Times New Roman"/>
                <w:sz w:val="24"/>
                <w:szCs w:val="24"/>
              </w:rPr>
            </w:pPr>
          </w:p>
          <w:p w14:paraId="57E7C343"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7E7C344"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ADR reflects Accor's ability to command premium hotel prices. The company's ADR has also exhibited a positive trend, indicating its success in attracting value-conscious and luxury-seeking travelers. In 2022, ADR increased by 62% LFL compared to 2021, demonstrating Accor's strong pricing power (Accor Group, 2023).</w:t>
            </w:r>
          </w:p>
        </w:tc>
      </w:tr>
      <w:tr w:rsidR="002D1FDA" w:rsidRPr="0083607B" w14:paraId="57E7C349" w14:textId="77777777">
        <w:tc>
          <w:tcPr>
            <w:tcW w:w="4680" w:type="dxa"/>
            <w:shd w:val="clear" w:color="auto" w:fill="auto"/>
            <w:tcMar>
              <w:top w:w="100" w:type="dxa"/>
              <w:left w:w="100" w:type="dxa"/>
              <w:bottom w:w="100" w:type="dxa"/>
              <w:right w:w="100" w:type="dxa"/>
            </w:tcMar>
          </w:tcPr>
          <w:p w14:paraId="57E7C346"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lastRenderedPageBreak/>
              <w:t>Occupancy Rate</w:t>
            </w:r>
          </w:p>
          <w:p w14:paraId="57E7C347" w14:textId="77777777" w:rsidR="002D1FDA" w:rsidRPr="0083607B" w:rsidRDefault="002D1FDA" w:rsidP="0083607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7E7C348" w14:textId="77777777" w:rsidR="002D1FDA" w:rsidRPr="0083607B" w:rsidRDefault="0083607B" w:rsidP="0083607B">
            <w:pPr>
              <w:widowControl w:val="0"/>
              <w:shd w:val="clear" w:color="auto" w:fill="FFFFFF"/>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The Occupancy rate is a key indicator of Accor's ability to fill its rooms, directly impacting revenue and profitability. The company's occupancy rate has gradually improved since the pandemic, reaching 55.7% in 2022 (Accor Group, 2023). While still below pre-pandemic levels, this improvement suggests a recovery in travel sentiment and Accor's effective marketing and distribution strategies.</w:t>
            </w:r>
          </w:p>
        </w:tc>
      </w:tr>
    </w:tbl>
    <w:p w14:paraId="57E7C34A" w14:textId="77777777" w:rsidR="002D1FDA" w:rsidRPr="0083607B" w:rsidRDefault="002D1FDA" w:rsidP="0083607B">
      <w:pPr>
        <w:spacing w:line="360" w:lineRule="auto"/>
        <w:rPr>
          <w:rFonts w:ascii="Times New Roman" w:eastAsia="Times New Roman" w:hAnsi="Times New Roman" w:cs="Times New Roman"/>
          <w:sz w:val="24"/>
          <w:szCs w:val="24"/>
        </w:rPr>
      </w:pPr>
    </w:p>
    <w:p w14:paraId="57E7C34B" w14:textId="77777777" w:rsidR="002D1FDA" w:rsidRPr="0083607B" w:rsidRDefault="0083607B" w:rsidP="0083607B">
      <w:pPr>
        <w:spacing w:line="360" w:lineRule="auto"/>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t>Conclusion</w:t>
      </w:r>
    </w:p>
    <w:p w14:paraId="57E7C34C" w14:textId="77777777" w:rsidR="002D1FDA" w:rsidRPr="0083607B" w:rsidRDefault="0083607B" w:rsidP="0083607B">
      <w:pPr>
        <w:spacing w:line="360" w:lineRule="auto"/>
        <w:rPr>
          <w:rFonts w:ascii="Times New Roman" w:eastAsia="Times New Roman" w:hAnsi="Times New Roman" w:cs="Times New Roman"/>
          <w:sz w:val="24"/>
          <w:szCs w:val="24"/>
        </w:rPr>
      </w:pPr>
      <w:r w:rsidRPr="0083607B">
        <w:rPr>
          <w:rFonts w:ascii="Times New Roman" w:eastAsia="Times New Roman" w:hAnsi="Times New Roman" w:cs="Times New Roman"/>
          <w:sz w:val="24"/>
          <w:szCs w:val="24"/>
        </w:rPr>
        <w:t>Accor should continue its determination towards sustainability and corporate social responsibilities. Sustainable practices, waste management, and community participation will resonate with the customers and boost the brand image. With the increasing importance of data to the decision-making process, Accor should invest more in data analytics and management. Customers’ data from the loyalty program can be used for more individualized experiences or tailor-made marketing. With this regard, Accor’s global exp</w:t>
      </w:r>
      <w:r w:rsidRPr="0083607B">
        <w:rPr>
          <w:rFonts w:ascii="Times New Roman" w:eastAsia="Times New Roman" w:hAnsi="Times New Roman" w:cs="Times New Roman"/>
          <w:sz w:val="24"/>
          <w:szCs w:val="24"/>
        </w:rPr>
        <w:t>ansion should emphasize adaptation to the local market environment. The organization’s appeal can also be strengthened when tailoring services to regional preferences and culture. Accor must incorporate extensive capacity-building programs for employees at all levels to cope with changing processes and technologies to mitigate resistance to change. Accor must focus on innovations to continue having the edge over other hotels in that field. For this reason, they should keep ahead of the times when it comes t</w:t>
      </w:r>
      <w:r w:rsidRPr="0083607B">
        <w:rPr>
          <w:rFonts w:ascii="Times New Roman" w:eastAsia="Times New Roman" w:hAnsi="Times New Roman" w:cs="Times New Roman"/>
          <w:sz w:val="24"/>
          <w:szCs w:val="24"/>
        </w:rPr>
        <w:t xml:space="preserve">o technology and continuously adapt to changing consumer needs. Currently, Accor Hotel Group is robust. The company has been able to cope with the challenges that characterize the modern hospitality industry by diversifying its brand portfolio, sustainability, and embracing digital transformation. It has been demonstrated that it has the flexibility to meet the changing consumer expectations, enhance its efficiency, and achieve profits. Its promotion of diversity and inclusiveness, focus on sustainability, </w:t>
      </w:r>
      <w:r w:rsidRPr="0083607B">
        <w:rPr>
          <w:rFonts w:ascii="Times New Roman" w:eastAsia="Times New Roman" w:hAnsi="Times New Roman" w:cs="Times New Roman"/>
          <w:sz w:val="24"/>
          <w:szCs w:val="24"/>
        </w:rPr>
        <w:t xml:space="preserve">and the management of recent change initiatives position Accor for sustained growth in a competitive world hospitality market. </w:t>
      </w:r>
    </w:p>
    <w:p w14:paraId="57E7C34D" w14:textId="77777777" w:rsidR="002D1FDA" w:rsidRPr="0083607B" w:rsidRDefault="002D1FDA" w:rsidP="0083607B">
      <w:pPr>
        <w:spacing w:line="360" w:lineRule="auto"/>
        <w:rPr>
          <w:rFonts w:ascii="Times New Roman" w:eastAsia="Times New Roman" w:hAnsi="Times New Roman" w:cs="Times New Roman"/>
          <w:sz w:val="24"/>
          <w:szCs w:val="24"/>
        </w:rPr>
      </w:pPr>
    </w:p>
    <w:p w14:paraId="57E7C34E" w14:textId="77777777" w:rsidR="002D1FDA" w:rsidRPr="0083607B" w:rsidRDefault="0083607B" w:rsidP="0083607B">
      <w:pPr>
        <w:spacing w:line="360" w:lineRule="auto"/>
        <w:jc w:val="center"/>
        <w:rPr>
          <w:rFonts w:ascii="Times New Roman" w:eastAsia="Times New Roman" w:hAnsi="Times New Roman" w:cs="Times New Roman"/>
          <w:b/>
          <w:sz w:val="24"/>
          <w:szCs w:val="24"/>
        </w:rPr>
      </w:pPr>
      <w:r w:rsidRPr="0083607B">
        <w:rPr>
          <w:rFonts w:ascii="Times New Roman" w:eastAsia="Times New Roman" w:hAnsi="Times New Roman" w:cs="Times New Roman"/>
          <w:b/>
          <w:sz w:val="24"/>
          <w:szCs w:val="24"/>
        </w:rPr>
        <w:lastRenderedPageBreak/>
        <w:t>References</w:t>
      </w:r>
    </w:p>
    <w:p w14:paraId="57E7C34F"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Accor Group (2023) </w:t>
      </w:r>
      <w:r w:rsidRPr="0083607B">
        <w:rPr>
          <w:rFonts w:ascii="Times New Roman" w:eastAsia="Times New Roman" w:hAnsi="Times New Roman" w:cs="Times New Roman"/>
          <w:i/>
          <w:color w:val="222222"/>
          <w:sz w:val="24"/>
          <w:szCs w:val="24"/>
          <w:highlight w:val="white"/>
        </w:rPr>
        <w:t>Solid and sustainable rebound in activity in 2022 - Accor Group</w:t>
      </w:r>
      <w:r w:rsidRPr="0083607B">
        <w:rPr>
          <w:rFonts w:ascii="Times New Roman" w:eastAsia="Times New Roman" w:hAnsi="Times New Roman" w:cs="Times New Roman"/>
          <w:color w:val="222222"/>
          <w:sz w:val="24"/>
          <w:szCs w:val="24"/>
          <w:highlight w:val="white"/>
        </w:rPr>
        <w:t xml:space="preserve">. </w:t>
      </w:r>
      <w:hyperlink r:id="rId7">
        <w:r w:rsidRPr="0083607B">
          <w:rPr>
            <w:rFonts w:ascii="Times New Roman" w:eastAsia="Times New Roman" w:hAnsi="Times New Roman" w:cs="Times New Roman"/>
            <w:color w:val="1155CC"/>
            <w:sz w:val="24"/>
            <w:szCs w:val="24"/>
            <w:highlight w:val="white"/>
            <w:u w:val="single"/>
          </w:rPr>
          <w:t>https://group.accor.com/-/media/Corporate/Investors/Documents-financiers/2023/02-23-FY/blockchained_FY22_PR_vDef.pdf</w:t>
        </w:r>
      </w:hyperlink>
      <w:r w:rsidRPr="0083607B">
        <w:rPr>
          <w:rFonts w:ascii="Times New Roman" w:eastAsia="Times New Roman" w:hAnsi="Times New Roman" w:cs="Times New Roman"/>
          <w:color w:val="222222"/>
          <w:sz w:val="24"/>
          <w:szCs w:val="24"/>
          <w:highlight w:val="white"/>
        </w:rPr>
        <w:t xml:space="preserve">. </w:t>
      </w:r>
    </w:p>
    <w:p w14:paraId="57E7C350"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Ali, B.J. and Anwar, G., 2021. The mediation role of change management in employee development. </w:t>
      </w:r>
      <w:r w:rsidRPr="0083607B">
        <w:rPr>
          <w:rFonts w:ascii="Times New Roman" w:eastAsia="Times New Roman" w:hAnsi="Times New Roman" w:cs="Times New Roman"/>
          <w:i/>
          <w:color w:val="222222"/>
          <w:sz w:val="24"/>
          <w:szCs w:val="24"/>
          <w:highlight w:val="white"/>
        </w:rPr>
        <w:t xml:space="preserve">Ali, BJ, &amp; Anwar, </w:t>
      </w:r>
      <w:proofErr w:type="gramStart"/>
      <w:r w:rsidRPr="0083607B">
        <w:rPr>
          <w:rFonts w:ascii="Times New Roman" w:eastAsia="Times New Roman" w:hAnsi="Times New Roman" w:cs="Times New Roman"/>
          <w:i/>
          <w:color w:val="222222"/>
          <w:sz w:val="24"/>
          <w:szCs w:val="24"/>
          <w:highlight w:val="white"/>
        </w:rPr>
        <w:t>G.(</w:t>
      </w:r>
      <w:proofErr w:type="gramEnd"/>
      <w:r w:rsidRPr="0083607B">
        <w:rPr>
          <w:rFonts w:ascii="Times New Roman" w:eastAsia="Times New Roman" w:hAnsi="Times New Roman" w:cs="Times New Roman"/>
          <w:i/>
          <w:color w:val="222222"/>
          <w:sz w:val="24"/>
          <w:szCs w:val="24"/>
          <w:highlight w:val="white"/>
        </w:rPr>
        <w:t>2021). The Mediation Role of Change Management in Employee Development. International Journal of English Literature and Social Sciences</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6</w:t>
      </w:r>
      <w:r w:rsidRPr="0083607B">
        <w:rPr>
          <w:rFonts w:ascii="Times New Roman" w:eastAsia="Times New Roman" w:hAnsi="Times New Roman" w:cs="Times New Roman"/>
          <w:color w:val="222222"/>
          <w:sz w:val="24"/>
          <w:szCs w:val="24"/>
          <w:highlight w:val="white"/>
        </w:rPr>
        <w:t xml:space="preserve">(2), pp.361-374. </w:t>
      </w:r>
      <w:hyperlink r:id="rId8">
        <w:r w:rsidRPr="0083607B">
          <w:rPr>
            <w:rFonts w:ascii="Times New Roman" w:eastAsia="Times New Roman" w:hAnsi="Times New Roman" w:cs="Times New Roman"/>
            <w:color w:val="1155CC"/>
            <w:sz w:val="24"/>
            <w:szCs w:val="24"/>
            <w:highlight w:val="white"/>
            <w:u w:val="single"/>
          </w:rPr>
          <w:t>https://papers.ssrn.com/sol3/papers.cfm?abstract_id=3834721</w:t>
        </w:r>
      </w:hyperlink>
      <w:r w:rsidRPr="0083607B">
        <w:rPr>
          <w:rFonts w:ascii="Times New Roman" w:eastAsia="Times New Roman" w:hAnsi="Times New Roman" w:cs="Times New Roman"/>
          <w:color w:val="222222"/>
          <w:sz w:val="24"/>
          <w:szCs w:val="24"/>
          <w:highlight w:val="white"/>
        </w:rPr>
        <w:t xml:space="preserve"> </w:t>
      </w:r>
    </w:p>
    <w:p w14:paraId="57E7C351"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Applegate, L.M., Piccoli, G. and Dev, C.S., 2008. </w:t>
      </w:r>
      <w:r w:rsidRPr="0083607B">
        <w:rPr>
          <w:rFonts w:ascii="Times New Roman" w:eastAsia="Times New Roman" w:hAnsi="Times New Roman" w:cs="Times New Roman"/>
          <w:i/>
          <w:color w:val="222222"/>
          <w:sz w:val="24"/>
          <w:szCs w:val="24"/>
          <w:highlight w:val="white"/>
        </w:rPr>
        <w:t>Hilton hotels: Brand differentiation through customer relationship management</w:t>
      </w:r>
      <w:r w:rsidRPr="0083607B">
        <w:rPr>
          <w:rFonts w:ascii="Times New Roman" w:eastAsia="Times New Roman" w:hAnsi="Times New Roman" w:cs="Times New Roman"/>
          <w:color w:val="222222"/>
          <w:sz w:val="24"/>
          <w:szCs w:val="24"/>
          <w:highlight w:val="white"/>
        </w:rPr>
        <w:t xml:space="preserve">. Harvard Business School Pub. </w:t>
      </w:r>
      <w:hyperlink r:id="rId9">
        <w:r w:rsidRPr="0083607B">
          <w:rPr>
            <w:rFonts w:ascii="Times New Roman" w:eastAsia="Times New Roman" w:hAnsi="Times New Roman" w:cs="Times New Roman"/>
            <w:color w:val="1155CC"/>
            <w:sz w:val="24"/>
            <w:szCs w:val="24"/>
            <w:highlight w:val="white"/>
            <w:u w:val="single"/>
          </w:rPr>
          <w:t>https://www.academia.edu/download/32514579/Hilton.pdf</w:t>
        </w:r>
      </w:hyperlink>
      <w:r w:rsidRPr="0083607B">
        <w:rPr>
          <w:rFonts w:ascii="Times New Roman" w:eastAsia="Times New Roman" w:hAnsi="Times New Roman" w:cs="Times New Roman"/>
          <w:color w:val="222222"/>
          <w:sz w:val="24"/>
          <w:szCs w:val="24"/>
          <w:highlight w:val="white"/>
        </w:rPr>
        <w:t xml:space="preserve"> </w:t>
      </w:r>
    </w:p>
    <w:p w14:paraId="57E7C352"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Arena, M., </w:t>
      </w:r>
      <w:proofErr w:type="spellStart"/>
      <w:r w:rsidRPr="0083607B">
        <w:rPr>
          <w:rFonts w:ascii="Times New Roman" w:eastAsia="Times New Roman" w:hAnsi="Times New Roman" w:cs="Times New Roman"/>
          <w:color w:val="222222"/>
          <w:sz w:val="24"/>
          <w:szCs w:val="24"/>
          <w:highlight w:val="white"/>
        </w:rPr>
        <w:t>Arnaboldi</w:t>
      </w:r>
      <w:proofErr w:type="spellEnd"/>
      <w:r w:rsidRPr="0083607B">
        <w:rPr>
          <w:rFonts w:ascii="Times New Roman" w:eastAsia="Times New Roman" w:hAnsi="Times New Roman" w:cs="Times New Roman"/>
          <w:color w:val="222222"/>
          <w:sz w:val="24"/>
          <w:szCs w:val="24"/>
          <w:highlight w:val="white"/>
        </w:rPr>
        <w:t xml:space="preserve">, M. and </w:t>
      </w:r>
      <w:proofErr w:type="spellStart"/>
      <w:r w:rsidRPr="0083607B">
        <w:rPr>
          <w:rFonts w:ascii="Times New Roman" w:eastAsia="Times New Roman" w:hAnsi="Times New Roman" w:cs="Times New Roman"/>
          <w:color w:val="222222"/>
          <w:sz w:val="24"/>
          <w:szCs w:val="24"/>
          <w:highlight w:val="white"/>
        </w:rPr>
        <w:t>Azzone</w:t>
      </w:r>
      <w:proofErr w:type="spellEnd"/>
      <w:r w:rsidRPr="0083607B">
        <w:rPr>
          <w:rFonts w:ascii="Times New Roman" w:eastAsia="Times New Roman" w:hAnsi="Times New Roman" w:cs="Times New Roman"/>
          <w:color w:val="222222"/>
          <w:sz w:val="24"/>
          <w:szCs w:val="24"/>
          <w:highlight w:val="white"/>
        </w:rPr>
        <w:t xml:space="preserve">, G., 2010. The organizational dynamics of enterprise risk management. </w:t>
      </w:r>
      <w:r w:rsidRPr="0083607B">
        <w:rPr>
          <w:rFonts w:ascii="Times New Roman" w:eastAsia="Times New Roman" w:hAnsi="Times New Roman" w:cs="Times New Roman"/>
          <w:i/>
          <w:color w:val="222222"/>
          <w:sz w:val="24"/>
          <w:szCs w:val="24"/>
          <w:highlight w:val="white"/>
        </w:rPr>
        <w:t>Accounting, Organizations and Society</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35</w:t>
      </w:r>
      <w:r w:rsidRPr="0083607B">
        <w:rPr>
          <w:rFonts w:ascii="Times New Roman" w:eastAsia="Times New Roman" w:hAnsi="Times New Roman" w:cs="Times New Roman"/>
          <w:color w:val="222222"/>
          <w:sz w:val="24"/>
          <w:szCs w:val="24"/>
          <w:highlight w:val="white"/>
        </w:rPr>
        <w:t xml:space="preserve">(7), pp.659-675. </w:t>
      </w:r>
      <w:hyperlink r:id="rId10">
        <w:r w:rsidRPr="0083607B">
          <w:rPr>
            <w:rFonts w:ascii="Times New Roman" w:eastAsia="Times New Roman" w:hAnsi="Times New Roman" w:cs="Times New Roman"/>
            <w:color w:val="1155CC"/>
            <w:sz w:val="24"/>
            <w:szCs w:val="24"/>
            <w:highlight w:val="white"/>
            <w:u w:val="single"/>
          </w:rPr>
          <w:t>https://www.academia.edu/29053881/The_organizational_dynamics_of_Enterprise_Risk_Management</w:t>
        </w:r>
      </w:hyperlink>
      <w:r w:rsidRPr="0083607B">
        <w:rPr>
          <w:rFonts w:ascii="Times New Roman" w:eastAsia="Times New Roman" w:hAnsi="Times New Roman" w:cs="Times New Roman"/>
          <w:color w:val="222222"/>
          <w:sz w:val="24"/>
          <w:szCs w:val="24"/>
          <w:highlight w:val="white"/>
        </w:rPr>
        <w:t xml:space="preserve"> </w:t>
      </w:r>
    </w:p>
    <w:p w14:paraId="57E7C353"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Damnjanović, V., Lončarić, D. and </w:t>
      </w:r>
      <w:proofErr w:type="spellStart"/>
      <w:r w:rsidRPr="0083607B">
        <w:rPr>
          <w:rFonts w:ascii="Times New Roman" w:eastAsia="Times New Roman" w:hAnsi="Times New Roman" w:cs="Times New Roman"/>
          <w:color w:val="222222"/>
          <w:sz w:val="24"/>
          <w:szCs w:val="24"/>
          <w:highlight w:val="white"/>
        </w:rPr>
        <w:t>Dlačić</w:t>
      </w:r>
      <w:proofErr w:type="spellEnd"/>
      <w:r w:rsidRPr="0083607B">
        <w:rPr>
          <w:rFonts w:ascii="Times New Roman" w:eastAsia="Times New Roman" w:hAnsi="Times New Roman" w:cs="Times New Roman"/>
          <w:color w:val="222222"/>
          <w:sz w:val="24"/>
          <w:szCs w:val="24"/>
          <w:highlight w:val="white"/>
        </w:rPr>
        <w:t xml:space="preserve">, J., 2020. TEACHING CASE STUDY: Digital marketing strategy of Accor Hotels: shaping the future of hospitality. </w:t>
      </w:r>
      <w:r w:rsidRPr="0083607B">
        <w:rPr>
          <w:rFonts w:ascii="Times New Roman" w:eastAsia="Times New Roman" w:hAnsi="Times New Roman" w:cs="Times New Roman"/>
          <w:i/>
          <w:color w:val="222222"/>
          <w:sz w:val="24"/>
          <w:szCs w:val="24"/>
          <w:highlight w:val="white"/>
        </w:rPr>
        <w:t>Tourism and hospitality management</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26</w:t>
      </w:r>
      <w:r w:rsidRPr="0083607B">
        <w:rPr>
          <w:rFonts w:ascii="Times New Roman" w:eastAsia="Times New Roman" w:hAnsi="Times New Roman" w:cs="Times New Roman"/>
          <w:color w:val="222222"/>
          <w:sz w:val="24"/>
          <w:szCs w:val="24"/>
          <w:highlight w:val="white"/>
        </w:rPr>
        <w:t xml:space="preserve">(1), pp.233-244. </w:t>
      </w:r>
      <w:hyperlink r:id="rId11">
        <w:r w:rsidRPr="0083607B">
          <w:rPr>
            <w:rFonts w:ascii="Times New Roman" w:eastAsia="Times New Roman" w:hAnsi="Times New Roman" w:cs="Times New Roman"/>
            <w:color w:val="1155CC"/>
            <w:sz w:val="24"/>
            <w:szCs w:val="24"/>
            <w:highlight w:val="white"/>
            <w:u w:val="single"/>
          </w:rPr>
          <w:t>https://hrcak.srce.hr/file/346425</w:t>
        </w:r>
      </w:hyperlink>
      <w:r w:rsidRPr="0083607B">
        <w:rPr>
          <w:rFonts w:ascii="Times New Roman" w:eastAsia="Times New Roman" w:hAnsi="Times New Roman" w:cs="Times New Roman"/>
          <w:color w:val="222222"/>
          <w:sz w:val="24"/>
          <w:szCs w:val="24"/>
          <w:highlight w:val="white"/>
        </w:rPr>
        <w:t xml:space="preserve"> </w:t>
      </w:r>
    </w:p>
    <w:p w14:paraId="57E7C354"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proofErr w:type="spellStart"/>
      <w:r w:rsidRPr="0083607B">
        <w:rPr>
          <w:rFonts w:ascii="Times New Roman" w:eastAsia="Times New Roman" w:hAnsi="Times New Roman" w:cs="Times New Roman"/>
          <w:color w:val="222222"/>
          <w:sz w:val="24"/>
          <w:szCs w:val="24"/>
          <w:highlight w:val="white"/>
        </w:rPr>
        <w:t>Demirçiftçi</w:t>
      </w:r>
      <w:proofErr w:type="spellEnd"/>
      <w:r w:rsidRPr="0083607B">
        <w:rPr>
          <w:rFonts w:ascii="Times New Roman" w:eastAsia="Times New Roman" w:hAnsi="Times New Roman" w:cs="Times New Roman"/>
          <w:color w:val="222222"/>
          <w:sz w:val="24"/>
          <w:szCs w:val="24"/>
          <w:highlight w:val="white"/>
        </w:rPr>
        <w:t xml:space="preserve">, T. and </w:t>
      </w:r>
      <w:proofErr w:type="spellStart"/>
      <w:r w:rsidRPr="0083607B">
        <w:rPr>
          <w:rFonts w:ascii="Times New Roman" w:eastAsia="Times New Roman" w:hAnsi="Times New Roman" w:cs="Times New Roman"/>
          <w:color w:val="222222"/>
          <w:sz w:val="24"/>
          <w:szCs w:val="24"/>
          <w:highlight w:val="white"/>
        </w:rPr>
        <w:t>Kizilirmak</w:t>
      </w:r>
      <w:proofErr w:type="spellEnd"/>
      <w:r w:rsidRPr="0083607B">
        <w:rPr>
          <w:rFonts w:ascii="Times New Roman" w:eastAsia="Times New Roman" w:hAnsi="Times New Roman" w:cs="Times New Roman"/>
          <w:color w:val="222222"/>
          <w:sz w:val="24"/>
          <w:szCs w:val="24"/>
          <w:highlight w:val="white"/>
        </w:rPr>
        <w:t xml:space="preserve">, İ., 2016. Strategic branding in hospitality: Case of Accor Hotels. </w:t>
      </w:r>
      <w:r w:rsidRPr="0083607B">
        <w:rPr>
          <w:rFonts w:ascii="Times New Roman" w:eastAsia="Times New Roman" w:hAnsi="Times New Roman" w:cs="Times New Roman"/>
          <w:i/>
          <w:color w:val="222222"/>
          <w:sz w:val="24"/>
          <w:szCs w:val="24"/>
          <w:highlight w:val="white"/>
        </w:rPr>
        <w:t xml:space="preserve">Journal of </w:t>
      </w:r>
      <w:proofErr w:type="spellStart"/>
      <w:r w:rsidRPr="0083607B">
        <w:rPr>
          <w:rFonts w:ascii="Times New Roman" w:eastAsia="Times New Roman" w:hAnsi="Times New Roman" w:cs="Times New Roman"/>
          <w:i/>
          <w:color w:val="222222"/>
          <w:sz w:val="24"/>
          <w:szCs w:val="24"/>
          <w:highlight w:val="white"/>
        </w:rPr>
        <w:t>Tourismology</w:t>
      </w:r>
      <w:proofErr w:type="spellEnd"/>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2</w:t>
      </w:r>
      <w:r w:rsidRPr="0083607B">
        <w:rPr>
          <w:rFonts w:ascii="Times New Roman" w:eastAsia="Times New Roman" w:hAnsi="Times New Roman" w:cs="Times New Roman"/>
          <w:color w:val="222222"/>
          <w:sz w:val="24"/>
          <w:szCs w:val="24"/>
          <w:highlight w:val="white"/>
        </w:rPr>
        <w:t xml:space="preserve">(1), pp.50-64. </w:t>
      </w:r>
      <w:hyperlink r:id="rId12">
        <w:r w:rsidRPr="0083607B">
          <w:rPr>
            <w:rFonts w:ascii="Times New Roman" w:eastAsia="Times New Roman" w:hAnsi="Times New Roman" w:cs="Times New Roman"/>
            <w:color w:val="1155CC"/>
            <w:sz w:val="24"/>
            <w:szCs w:val="24"/>
            <w:highlight w:val="white"/>
            <w:u w:val="single"/>
          </w:rPr>
          <w:t>https://dergipark.org.tr/en/pub/iuturizmoloji/issue/24615/260504?publisher=istanbul</w:t>
        </w:r>
      </w:hyperlink>
      <w:r w:rsidRPr="0083607B">
        <w:rPr>
          <w:rFonts w:ascii="Times New Roman" w:eastAsia="Times New Roman" w:hAnsi="Times New Roman" w:cs="Times New Roman"/>
          <w:color w:val="222222"/>
          <w:sz w:val="24"/>
          <w:szCs w:val="24"/>
          <w:highlight w:val="white"/>
        </w:rPr>
        <w:t xml:space="preserve"> </w:t>
      </w:r>
    </w:p>
    <w:p w14:paraId="57E7C355"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proofErr w:type="spellStart"/>
      <w:r w:rsidRPr="0083607B">
        <w:rPr>
          <w:rFonts w:ascii="Times New Roman" w:eastAsia="Times New Roman" w:hAnsi="Times New Roman" w:cs="Times New Roman"/>
          <w:color w:val="222222"/>
          <w:sz w:val="24"/>
          <w:szCs w:val="24"/>
          <w:highlight w:val="white"/>
        </w:rPr>
        <w:t>Fontgalland</w:t>
      </w:r>
      <w:proofErr w:type="spellEnd"/>
      <w:r w:rsidRPr="0083607B">
        <w:rPr>
          <w:rFonts w:ascii="Times New Roman" w:eastAsia="Times New Roman" w:hAnsi="Times New Roman" w:cs="Times New Roman"/>
          <w:color w:val="222222"/>
          <w:sz w:val="24"/>
          <w:szCs w:val="24"/>
          <w:highlight w:val="white"/>
        </w:rPr>
        <w:t xml:space="preserve">, M.A.B., Junior, W.A., </w:t>
      </w:r>
      <w:proofErr w:type="spellStart"/>
      <w:r w:rsidRPr="0083607B">
        <w:rPr>
          <w:rFonts w:ascii="Times New Roman" w:eastAsia="Times New Roman" w:hAnsi="Times New Roman" w:cs="Times New Roman"/>
          <w:color w:val="222222"/>
          <w:sz w:val="24"/>
          <w:szCs w:val="24"/>
          <w:highlight w:val="white"/>
        </w:rPr>
        <w:t>Perinotto</w:t>
      </w:r>
      <w:proofErr w:type="spellEnd"/>
      <w:r w:rsidRPr="0083607B">
        <w:rPr>
          <w:rFonts w:ascii="Times New Roman" w:eastAsia="Times New Roman" w:hAnsi="Times New Roman" w:cs="Times New Roman"/>
          <w:color w:val="222222"/>
          <w:sz w:val="24"/>
          <w:szCs w:val="24"/>
          <w:highlight w:val="white"/>
        </w:rPr>
        <w:t xml:space="preserve">, A.R.C., de Souza Neto, V.R. and Santos-Silva, L., 2022. Hotel industry relationship marketing through Instagram social network in the Covid-19 pandemic crisis: Accor Brazil hotel chain case study. </w:t>
      </w:r>
      <w:hyperlink r:id="rId13">
        <w:r w:rsidRPr="0083607B">
          <w:rPr>
            <w:rFonts w:ascii="Times New Roman" w:eastAsia="Times New Roman" w:hAnsi="Times New Roman" w:cs="Times New Roman"/>
            <w:color w:val="1155CC"/>
            <w:sz w:val="24"/>
            <w:szCs w:val="24"/>
            <w:highlight w:val="white"/>
            <w:u w:val="single"/>
          </w:rPr>
          <w:t>http://radjapublika.com/index.php/IJEBAS/article/view/910</w:t>
        </w:r>
      </w:hyperlink>
      <w:r w:rsidRPr="0083607B">
        <w:rPr>
          <w:rFonts w:ascii="Times New Roman" w:eastAsia="Times New Roman" w:hAnsi="Times New Roman" w:cs="Times New Roman"/>
          <w:color w:val="222222"/>
          <w:sz w:val="24"/>
          <w:szCs w:val="24"/>
          <w:highlight w:val="white"/>
        </w:rPr>
        <w:t xml:space="preserve"> </w:t>
      </w:r>
    </w:p>
    <w:p w14:paraId="57E7C356"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Freeman, R.E., Harrison, J.S. and Wicks, A.C., 2007. </w:t>
      </w:r>
      <w:r w:rsidRPr="0083607B">
        <w:rPr>
          <w:rFonts w:ascii="Times New Roman" w:eastAsia="Times New Roman" w:hAnsi="Times New Roman" w:cs="Times New Roman"/>
          <w:i/>
          <w:color w:val="222222"/>
          <w:sz w:val="24"/>
          <w:szCs w:val="24"/>
          <w:highlight w:val="white"/>
        </w:rPr>
        <w:t>Managing for stakeholders: Survival, reputation, and success</w:t>
      </w:r>
      <w:r w:rsidRPr="0083607B">
        <w:rPr>
          <w:rFonts w:ascii="Times New Roman" w:eastAsia="Times New Roman" w:hAnsi="Times New Roman" w:cs="Times New Roman"/>
          <w:color w:val="222222"/>
          <w:sz w:val="24"/>
          <w:szCs w:val="24"/>
          <w:highlight w:val="white"/>
        </w:rPr>
        <w:t xml:space="preserve">. Yale University Press. </w:t>
      </w:r>
      <w:hyperlink r:id="rId14">
        <w:r w:rsidRPr="0083607B">
          <w:rPr>
            <w:rFonts w:ascii="Times New Roman" w:eastAsia="Times New Roman" w:hAnsi="Times New Roman" w:cs="Times New Roman"/>
            <w:color w:val="1155CC"/>
            <w:sz w:val="24"/>
            <w:szCs w:val="24"/>
            <w:highlight w:val="white"/>
            <w:u w:val="single"/>
          </w:rPr>
          <w:t>https://books.google.com/books?hl=en&amp;lr=&amp;id=NJLV1U9gplMC&amp;oi=fnd&amp;pg=PR7&amp;dq=All+the+employees+and+stakeholders+did+not+readily+accept+some+of+the+new+changes.+&amp;ots=3cFJitgEQ-&amp;sig=tTfHBvaaHeICYX3DomcvhuO7Hy4</w:t>
        </w:r>
      </w:hyperlink>
      <w:r w:rsidRPr="0083607B">
        <w:rPr>
          <w:rFonts w:ascii="Times New Roman" w:eastAsia="Times New Roman" w:hAnsi="Times New Roman" w:cs="Times New Roman"/>
          <w:color w:val="222222"/>
          <w:sz w:val="24"/>
          <w:szCs w:val="24"/>
          <w:highlight w:val="white"/>
        </w:rPr>
        <w:t xml:space="preserve"> </w:t>
      </w:r>
    </w:p>
    <w:p w14:paraId="57E7C357"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lastRenderedPageBreak/>
        <w:t xml:space="preserve">Gerritsen, M., 2012. The reflection of national culture in media choice. Recruiting personnel and seeking employment in Germany and the Netherlands. In </w:t>
      </w:r>
      <w:r w:rsidRPr="0083607B">
        <w:rPr>
          <w:rFonts w:ascii="Times New Roman" w:eastAsia="Times New Roman" w:hAnsi="Times New Roman" w:cs="Times New Roman"/>
          <w:i/>
          <w:color w:val="222222"/>
          <w:sz w:val="24"/>
          <w:szCs w:val="24"/>
          <w:highlight w:val="white"/>
        </w:rPr>
        <w:t xml:space="preserve">The </w:t>
      </w:r>
      <w:proofErr w:type="spellStart"/>
      <w:r w:rsidRPr="0083607B">
        <w:rPr>
          <w:rFonts w:ascii="Times New Roman" w:eastAsia="Times New Roman" w:hAnsi="Times New Roman" w:cs="Times New Roman"/>
          <w:i/>
          <w:color w:val="222222"/>
          <w:sz w:val="24"/>
          <w:szCs w:val="24"/>
          <w:highlight w:val="white"/>
        </w:rPr>
        <w:t>Anéla</w:t>
      </w:r>
      <w:proofErr w:type="spellEnd"/>
      <w:r w:rsidRPr="0083607B">
        <w:rPr>
          <w:rFonts w:ascii="Times New Roman" w:eastAsia="Times New Roman" w:hAnsi="Times New Roman" w:cs="Times New Roman"/>
          <w:i/>
          <w:color w:val="222222"/>
          <w:sz w:val="24"/>
          <w:szCs w:val="24"/>
          <w:highlight w:val="white"/>
        </w:rPr>
        <w:t xml:space="preserve"> Conference</w:t>
      </w:r>
      <w:r w:rsidRPr="0083607B">
        <w:rPr>
          <w:rFonts w:ascii="Times New Roman" w:eastAsia="Times New Roman" w:hAnsi="Times New Roman" w:cs="Times New Roman"/>
          <w:color w:val="222222"/>
          <w:sz w:val="24"/>
          <w:szCs w:val="24"/>
          <w:highlight w:val="white"/>
        </w:rPr>
        <w:t xml:space="preserve"> (pp. 279-288).  </w:t>
      </w:r>
      <w:hyperlink r:id="rId15" w:anchor="v=onepage&amp;q&amp;f=false">
        <w:r w:rsidRPr="0083607B">
          <w:rPr>
            <w:rFonts w:ascii="Times New Roman" w:eastAsia="Times New Roman" w:hAnsi="Times New Roman" w:cs="Times New Roman"/>
            <w:color w:val="1155CC"/>
            <w:sz w:val="24"/>
            <w:szCs w:val="24"/>
            <w:highlight w:val="white"/>
            <w:u w:val="single"/>
          </w:rPr>
          <w:t>https://books.google.co.ke/books?hl=en&amp;lr=&amp;id=CDNDTO2ygZ8C&amp;oi=fnd&amp;pg=PA279&amp;dq=Accor+has+a+high+uncertainty+avoidance+culture&amp;ots=JvTnoWVLd-&amp;sig=bHxtfEFyyMJdHk6yf5ABvFecOvA&amp;redir_esc=y#v=onepage&amp;q&amp;f=false</w:t>
        </w:r>
      </w:hyperlink>
      <w:r w:rsidRPr="0083607B">
        <w:rPr>
          <w:rFonts w:ascii="Times New Roman" w:eastAsia="Times New Roman" w:hAnsi="Times New Roman" w:cs="Times New Roman"/>
          <w:color w:val="222222"/>
          <w:sz w:val="24"/>
          <w:szCs w:val="24"/>
          <w:highlight w:val="white"/>
        </w:rPr>
        <w:t xml:space="preserve"> </w:t>
      </w:r>
    </w:p>
    <w:p w14:paraId="57E7C358"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proofErr w:type="spellStart"/>
      <w:r w:rsidRPr="0083607B">
        <w:rPr>
          <w:rFonts w:ascii="Times New Roman" w:eastAsia="Times New Roman" w:hAnsi="Times New Roman" w:cs="Times New Roman"/>
          <w:color w:val="222222"/>
          <w:sz w:val="24"/>
          <w:szCs w:val="24"/>
          <w:highlight w:val="white"/>
        </w:rPr>
        <w:t>Gibassier</w:t>
      </w:r>
      <w:proofErr w:type="spellEnd"/>
      <w:r w:rsidRPr="0083607B">
        <w:rPr>
          <w:rFonts w:ascii="Times New Roman" w:eastAsia="Times New Roman" w:hAnsi="Times New Roman" w:cs="Times New Roman"/>
          <w:color w:val="222222"/>
          <w:sz w:val="24"/>
          <w:szCs w:val="24"/>
          <w:highlight w:val="white"/>
        </w:rPr>
        <w:t xml:space="preserve">, D. and </w:t>
      </w:r>
      <w:proofErr w:type="spellStart"/>
      <w:r w:rsidRPr="0083607B">
        <w:rPr>
          <w:rFonts w:ascii="Times New Roman" w:eastAsia="Times New Roman" w:hAnsi="Times New Roman" w:cs="Times New Roman"/>
          <w:color w:val="222222"/>
          <w:sz w:val="24"/>
          <w:szCs w:val="24"/>
          <w:highlight w:val="white"/>
        </w:rPr>
        <w:t>Schaltegger</w:t>
      </w:r>
      <w:proofErr w:type="spellEnd"/>
      <w:r w:rsidRPr="0083607B">
        <w:rPr>
          <w:rFonts w:ascii="Times New Roman" w:eastAsia="Times New Roman" w:hAnsi="Times New Roman" w:cs="Times New Roman"/>
          <w:color w:val="222222"/>
          <w:sz w:val="24"/>
          <w:szCs w:val="24"/>
          <w:highlight w:val="white"/>
        </w:rPr>
        <w:t xml:space="preserve">, S., 2015. Carbon management accounting and reporting in practice: a case study on converging emergent approaches. </w:t>
      </w:r>
      <w:r w:rsidRPr="0083607B">
        <w:rPr>
          <w:rFonts w:ascii="Times New Roman" w:eastAsia="Times New Roman" w:hAnsi="Times New Roman" w:cs="Times New Roman"/>
          <w:i/>
          <w:color w:val="222222"/>
          <w:sz w:val="24"/>
          <w:szCs w:val="24"/>
          <w:highlight w:val="white"/>
        </w:rPr>
        <w:t>Sustainability Accounting, Management and Policy Journal</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6</w:t>
      </w:r>
      <w:r w:rsidRPr="0083607B">
        <w:rPr>
          <w:rFonts w:ascii="Times New Roman" w:eastAsia="Times New Roman" w:hAnsi="Times New Roman" w:cs="Times New Roman"/>
          <w:color w:val="222222"/>
          <w:sz w:val="24"/>
          <w:szCs w:val="24"/>
          <w:highlight w:val="white"/>
        </w:rPr>
        <w:t xml:space="preserve">(3), pp.340-365. </w:t>
      </w:r>
      <w:hyperlink r:id="rId16">
        <w:r w:rsidRPr="0083607B">
          <w:rPr>
            <w:rFonts w:ascii="Times New Roman" w:eastAsia="Times New Roman" w:hAnsi="Times New Roman" w:cs="Times New Roman"/>
            <w:color w:val="1155CC"/>
            <w:sz w:val="24"/>
            <w:szCs w:val="24"/>
            <w:highlight w:val="white"/>
            <w:u w:val="single"/>
          </w:rPr>
          <w:t>https://www.emerald.com/insight/content/doi/10.1108/SAMPJ-02-2015-0014/full/html</w:t>
        </w:r>
      </w:hyperlink>
      <w:r w:rsidRPr="0083607B">
        <w:rPr>
          <w:rFonts w:ascii="Times New Roman" w:eastAsia="Times New Roman" w:hAnsi="Times New Roman" w:cs="Times New Roman"/>
          <w:color w:val="222222"/>
          <w:sz w:val="24"/>
          <w:szCs w:val="24"/>
          <w:highlight w:val="white"/>
        </w:rPr>
        <w:t xml:space="preserve"> </w:t>
      </w:r>
    </w:p>
    <w:p w14:paraId="57E7C359"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Kumar, P., 2015. An analytical study on </w:t>
      </w:r>
      <w:proofErr w:type="spellStart"/>
      <w:r w:rsidRPr="0083607B">
        <w:rPr>
          <w:rFonts w:ascii="Times New Roman" w:eastAsia="Times New Roman" w:hAnsi="Times New Roman" w:cs="Times New Roman"/>
          <w:color w:val="222222"/>
          <w:sz w:val="24"/>
          <w:szCs w:val="24"/>
          <w:highlight w:val="white"/>
        </w:rPr>
        <w:t>mintzberg’s</w:t>
      </w:r>
      <w:proofErr w:type="spellEnd"/>
      <w:r w:rsidRPr="0083607B">
        <w:rPr>
          <w:rFonts w:ascii="Times New Roman" w:eastAsia="Times New Roman" w:hAnsi="Times New Roman" w:cs="Times New Roman"/>
          <w:color w:val="222222"/>
          <w:sz w:val="24"/>
          <w:szCs w:val="24"/>
          <w:highlight w:val="white"/>
        </w:rPr>
        <w:t xml:space="preserve"> framework: Managerial roles. </w:t>
      </w:r>
      <w:r w:rsidRPr="0083607B">
        <w:rPr>
          <w:rFonts w:ascii="Times New Roman" w:eastAsia="Times New Roman" w:hAnsi="Times New Roman" w:cs="Times New Roman"/>
          <w:i/>
          <w:color w:val="222222"/>
          <w:sz w:val="24"/>
          <w:szCs w:val="24"/>
          <w:highlight w:val="white"/>
        </w:rPr>
        <w:t>International Journal of Research in Management &amp; Business Studies</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2</w:t>
      </w:r>
      <w:r w:rsidRPr="0083607B">
        <w:rPr>
          <w:rFonts w:ascii="Times New Roman" w:eastAsia="Times New Roman" w:hAnsi="Times New Roman" w:cs="Times New Roman"/>
          <w:color w:val="222222"/>
          <w:sz w:val="24"/>
          <w:szCs w:val="24"/>
          <w:highlight w:val="white"/>
        </w:rPr>
        <w:t xml:space="preserve">(3), pp.12-19. </w:t>
      </w:r>
      <w:hyperlink r:id="rId17">
        <w:r w:rsidRPr="0083607B">
          <w:rPr>
            <w:rFonts w:ascii="Times New Roman" w:eastAsia="Times New Roman" w:hAnsi="Times New Roman" w:cs="Times New Roman"/>
            <w:color w:val="1155CC"/>
            <w:sz w:val="24"/>
            <w:szCs w:val="24"/>
            <w:highlight w:val="white"/>
            <w:u w:val="single"/>
          </w:rPr>
          <w:t>https://scholar.archive.org/work/2vl5estsm5d5dnkem4wwoyz3bi/access/wayback/http://ijrmbs.com/vol2issue3/drpradeep.pdf</w:t>
        </w:r>
      </w:hyperlink>
      <w:r w:rsidRPr="0083607B">
        <w:rPr>
          <w:rFonts w:ascii="Times New Roman" w:eastAsia="Times New Roman" w:hAnsi="Times New Roman" w:cs="Times New Roman"/>
          <w:color w:val="222222"/>
          <w:sz w:val="24"/>
          <w:szCs w:val="24"/>
          <w:highlight w:val="white"/>
        </w:rPr>
        <w:t xml:space="preserve"> </w:t>
      </w:r>
    </w:p>
    <w:p w14:paraId="57E7C35A"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Lee, S. and Song, S., 2016. Environmental awareness and practices among hotel chains. </w:t>
      </w:r>
      <w:r w:rsidRPr="0083607B">
        <w:rPr>
          <w:rFonts w:ascii="Times New Roman" w:eastAsia="Times New Roman" w:hAnsi="Times New Roman" w:cs="Times New Roman"/>
          <w:i/>
          <w:color w:val="222222"/>
          <w:sz w:val="24"/>
          <w:szCs w:val="24"/>
          <w:highlight w:val="white"/>
        </w:rPr>
        <w:t>The Routledge Handbook of Hotel Chain Management, Routledge, New York, NY</w:t>
      </w:r>
      <w:r w:rsidRPr="0083607B">
        <w:rPr>
          <w:rFonts w:ascii="Times New Roman" w:eastAsia="Times New Roman" w:hAnsi="Times New Roman" w:cs="Times New Roman"/>
          <w:color w:val="222222"/>
          <w:sz w:val="24"/>
          <w:szCs w:val="24"/>
          <w:highlight w:val="white"/>
        </w:rPr>
        <w:t xml:space="preserve">, pp.439-448. </w:t>
      </w:r>
      <w:hyperlink r:id="rId18">
        <w:r w:rsidRPr="0083607B">
          <w:rPr>
            <w:rFonts w:ascii="Times New Roman" w:eastAsia="Times New Roman" w:hAnsi="Times New Roman" w:cs="Times New Roman"/>
            <w:color w:val="1155CC"/>
            <w:sz w:val="24"/>
            <w:szCs w:val="24"/>
            <w:highlight w:val="white"/>
            <w:u w:val="single"/>
          </w:rPr>
          <w:t>https://books.google.com/books?hl=en&amp;lr=&amp;id=9uAeDAAAQBAJ&amp;oi=fnd&amp;pg=PA439&amp;dq=Accor+Planet+21,+which+minimizes+its+environmental+footprint+and+supports+neighboring+communities.&amp;ots=ErXzDskv24&amp;sig=dMvUKo0LTP3S_h3LC1-7Fksb7R0</w:t>
        </w:r>
      </w:hyperlink>
      <w:r w:rsidRPr="0083607B">
        <w:rPr>
          <w:rFonts w:ascii="Times New Roman" w:eastAsia="Times New Roman" w:hAnsi="Times New Roman" w:cs="Times New Roman"/>
          <w:color w:val="222222"/>
          <w:sz w:val="24"/>
          <w:szCs w:val="24"/>
          <w:highlight w:val="white"/>
        </w:rPr>
        <w:t xml:space="preserve"> </w:t>
      </w:r>
    </w:p>
    <w:p w14:paraId="57E7C35B"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Lunenburg, F.C., 2012. Organizational structure: Mintzberg’s framework. </w:t>
      </w:r>
      <w:r w:rsidRPr="0083607B">
        <w:rPr>
          <w:rFonts w:ascii="Times New Roman" w:eastAsia="Times New Roman" w:hAnsi="Times New Roman" w:cs="Times New Roman"/>
          <w:i/>
          <w:color w:val="222222"/>
          <w:sz w:val="24"/>
          <w:szCs w:val="24"/>
          <w:highlight w:val="white"/>
        </w:rPr>
        <w:t>International journal of scholarly, academic, intellectual diversity</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14</w:t>
      </w:r>
      <w:r w:rsidRPr="0083607B">
        <w:rPr>
          <w:rFonts w:ascii="Times New Roman" w:eastAsia="Times New Roman" w:hAnsi="Times New Roman" w:cs="Times New Roman"/>
          <w:color w:val="222222"/>
          <w:sz w:val="24"/>
          <w:szCs w:val="24"/>
          <w:highlight w:val="white"/>
        </w:rPr>
        <w:t xml:space="preserve">(1), pp.1-8. </w:t>
      </w:r>
      <w:hyperlink r:id="rId19">
        <w:r w:rsidRPr="0083607B">
          <w:rPr>
            <w:rFonts w:ascii="Times New Roman" w:eastAsia="Times New Roman" w:hAnsi="Times New Roman" w:cs="Times New Roman"/>
            <w:color w:val="1155CC"/>
            <w:sz w:val="24"/>
            <w:szCs w:val="24"/>
            <w:highlight w:val="white"/>
            <w:u w:val="single"/>
          </w:rPr>
          <w:t>http://www.nationalforum.com/Electronic%20Journal%20Volumes/Lunenburg,%20Fred%20C.%20Organizational%20Structure%20%20Mintzberg%20Framework%20IJSAID%20V14%20N1%202012.pdf</w:t>
        </w:r>
      </w:hyperlink>
    </w:p>
    <w:p w14:paraId="57E7C35C"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Nam, J., Ekinci, Y. and Whyatt, G., 2011. Brand equity, brand loyalty and consumer satisfaction. </w:t>
      </w:r>
      <w:r w:rsidRPr="0083607B">
        <w:rPr>
          <w:rFonts w:ascii="Times New Roman" w:eastAsia="Times New Roman" w:hAnsi="Times New Roman" w:cs="Times New Roman"/>
          <w:i/>
          <w:color w:val="222222"/>
          <w:sz w:val="24"/>
          <w:szCs w:val="24"/>
          <w:highlight w:val="white"/>
        </w:rPr>
        <w:t>Annals of tourism Research</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38</w:t>
      </w:r>
      <w:r w:rsidRPr="0083607B">
        <w:rPr>
          <w:rFonts w:ascii="Times New Roman" w:eastAsia="Times New Roman" w:hAnsi="Times New Roman" w:cs="Times New Roman"/>
          <w:color w:val="222222"/>
          <w:sz w:val="24"/>
          <w:szCs w:val="24"/>
          <w:highlight w:val="white"/>
        </w:rPr>
        <w:t xml:space="preserve">(3), pp.1009-1030. </w:t>
      </w:r>
      <w:hyperlink r:id="rId20">
        <w:r w:rsidRPr="0083607B">
          <w:rPr>
            <w:rFonts w:ascii="Times New Roman" w:eastAsia="Times New Roman" w:hAnsi="Times New Roman" w:cs="Times New Roman"/>
            <w:color w:val="1155CC"/>
            <w:sz w:val="24"/>
            <w:szCs w:val="24"/>
            <w:highlight w:val="white"/>
            <w:u w:val="single"/>
          </w:rPr>
          <w:t>https://modir3-3.ir/article-english/BRAND%20EQUITY,%20BRAND%20LOYALTY.pdf</w:t>
        </w:r>
      </w:hyperlink>
      <w:r w:rsidRPr="0083607B">
        <w:rPr>
          <w:rFonts w:ascii="Times New Roman" w:eastAsia="Times New Roman" w:hAnsi="Times New Roman" w:cs="Times New Roman"/>
          <w:color w:val="222222"/>
          <w:sz w:val="24"/>
          <w:szCs w:val="24"/>
          <w:highlight w:val="white"/>
        </w:rPr>
        <w:t xml:space="preserve"> </w:t>
      </w:r>
    </w:p>
    <w:p w14:paraId="57E7C35D"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Robson, K., 2012. </w:t>
      </w:r>
      <w:proofErr w:type="gramStart"/>
      <w:r w:rsidRPr="0083607B">
        <w:rPr>
          <w:rFonts w:ascii="Times New Roman" w:eastAsia="Times New Roman" w:hAnsi="Times New Roman" w:cs="Times New Roman"/>
          <w:i/>
          <w:color w:val="222222"/>
          <w:sz w:val="24"/>
          <w:szCs w:val="24"/>
          <w:highlight w:val="white"/>
        </w:rPr>
        <w:t>Service-ability</w:t>
      </w:r>
      <w:proofErr w:type="gramEnd"/>
      <w:r w:rsidRPr="0083607B">
        <w:rPr>
          <w:rFonts w:ascii="Times New Roman" w:eastAsia="Times New Roman" w:hAnsi="Times New Roman" w:cs="Times New Roman"/>
          <w:i/>
          <w:color w:val="222222"/>
          <w:sz w:val="24"/>
          <w:szCs w:val="24"/>
          <w:highlight w:val="white"/>
        </w:rPr>
        <w:t>: Create a customer centric culture and achieve competitive advantage</w:t>
      </w:r>
      <w:r w:rsidRPr="0083607B">
        <w:rPr>
          <w:rFonts w:ascii="Times New Roman" w:eastAsia="Times New Roman" w:hAnsi="Times New Roman" w:cs="Times New Roman"/>
          <w:color w:val="222222"/>
          <w:sz w:val="24"/>
          <w:szCs w:val="24"/>
          <w:highlight w:val="white"/>
        </w:rPr>
        <w:t xml:space="preserve">. John Wiley &amp; Sons. </w:t>
      </w:r>
      <w:hyperlink r:id="rId21" w:anchor="v=onepage&amp;q&amp;f=false">
        <w:r w:rsidRPr="0083607B">
          <w:rPr>
            <w:rFonts w:ascii="Times New Roman" w:eastAsia="Times New Roman" w:hAnsi="Times New Roman" w:cs="Times New Roman"/>
            <w:color w:val="1155CC"/>
            <w:sz w:val="24"/>
            <w:szCs w:val="24"/>
            <w:highlight w:val="white"/>
            <w:u w:val="single"/>
          </w:rPr>
          <w:t>https://books.google.co.ke/books?hl=en&amp;lr=&amp;id=oGZHwZ1R6UUC&amp;oi=fnd&amp;pg=PT9&amp;</w:t>
        </w:r>
        <w:r w:rsidRPr="0083607B">
          <w:rPr>
            <w:rFonts w:ascii="Times New Roman" w:eastAsia="Times New Roman" w:hAnsi="Times New Roman" w:cs="Times New Roman"/>
            <w:color w:val="1155CC"/>
            <w:sz w:val="24"/>
            <w:szCs w:val="24"/>
            <w:highlight w:val="white"/>
            <w:u w:val="single"/>
          </w:rPr>
          <w:lastRenderedPageBreak/>
          <w:t>dq=A+customer-centric+culture+supports+global+expansion+by+providing+guests+with+satisfaction+and+loyalty&amp;ots=6-GTyL5RBf&amp;sig=c8IPHs4AkIj2P68wYA4UoONb6Wk&amp;redir_esc=y#v=onepage&amp;q&amp;f=false</w:t>
        </w:r>
      </w:hyperlink>
      <w:r w:rsidRPr="0083607B">
        <w:rPr>
          <w:rFonts w:ascii="Times New Roman" w:eastAsia="Times New Roman" w:hAnsi="Times New Roman" w:cs="Times New Roman"/>
          <w:color w:val="222222"/>
          <w:sz w:val="24"/>
          <w:szCs w:val="24"/>
          <w:highlight w:val="white"/>
        </w:rPr>
        <w:t xml:space="preserve"> </w:t>
      </w:r>
    </w:p>
    <w:p w14:paraId="57E7C35E"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Sang, X.H.V. and Decamp, L., Cultural </w:t>
      </w:r>
      <w:proofErr w:type="gramStart"/>
      <w:r w:rsidRPr="0083607B">
        <w:rPr>
          <w:rFonts w:ascii="Times New Roman" w:eastAsia="Times New Roman" w:hAnsi="Times New Roman" w:cs="Times New Roman"/>
          <w:color w:val="222222"/>
          <w:sz w:val="24"/>
          <w:szCs w:val="24"/>
          <w:highlight w:val="white"/>
        </w:rPr>
        <w:t>differences</w:t>
      </w:r>
      <w:proofErr w:type="gramEnd"/>
      <w:r w:rsidRPr="0083607B">
        <w:rPr>
          <w:rFonts w:ascii="Times New Roman" w:eastAsia="Times New Roman" w:hAnsi="Times New Roman" w:cs="Times New Roman"/>
          <w:color w:val="222222"/>
          <w:sz w:val="24"/>
          <w:szCs w:val="24"/>
          <w:highlight w:val="white"/>
        </w:rPr>
        <w:t xml:space="preserve"> and employee engagement: The case of Pullman Saigon Centre. In </w:t>
      </w:r>
      <w:r w:rsidRPr="0083607B">
        <w:rPr>
          <w:rFonts w:ascii="Times New Roman" w:eastAsia="Times New Roman" w:hAnsi="Times New Roman" w:cs="Times New Roman"/>
          <w:i/>
          <w:color w:val="222222"/>
          <w:sz w:val="24"/>
          <w:szCs w:val="24"/>
          <w:highlight w:val="white"/>
        </w:rPr>
        <w:t>IACCM-IÉSEG Research Conference 2019</w:t>
      </w:r>
      <w:r w:rsidRPr="0083607B">
        <w:rPr>
          <w:rFonts w:ascii="Times New Roman" w:eastAsia="Times New Roman" w:hAnsi="Times New Roman" w:cs="Times New Roman"/>
          <w:color w:val="222222"/>
          <w:sz w:val="24"/>
          <w:szCs w:val="24"/>
          <w:highlight w:val="white"/>
        </w:rPr>
        <w:t xml:space="preserve"> (p. 165).  </w:t>
      </w:r>
      <w:hyperlink r:id="rId22" w:anchor="page=165">
        <w:r w:rsidRPr="0083607B">
          <w:rPr>
            <w:rFonts w:ascii="Times New Roman" w:eastAsia="Times New Roman" w:hAnsi="Times New Roman" w:cs="Times New Roman"/>
            <w:color w:val="1155CC"/>
            <w:sz w:val="24"/>
            <w:szCs w:val="24"/>
            <w:highlight w:val="white"/>
            <w:u w:val="single"/>
          </w:rPr>
          <w:t>https://iaccm-congress.ieseg.fr/wp-content/uploads/sites/21/2018/12/1-IACCM-IESEG-Conference-Proceedings-2019-okok.pdf#page=165</w:t>
        </w:r>
      </w:hyperlink>
      <w:r w:rsidRPr="0083607B">
        <w:rPr>
          <w:rFonts w:ascii="Times New Roman" w:eastAsia="Times New Roman" w:hAnsi="Times New Roman" w:cs="Times New Roman"/>
          <w:color w:val="222222"/>
          <w:sz w:val="24"/>
          <w:szCs w:val="24"/>
          <w:highlight w:val="white"/>
        </w:rPr>
        <w:t xml:space="preserve"> </w:t>
      </w:r>
    </w:p>
    <w:p w14:paraId="57E7C35F"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Susilo, D. and Santos, M.C.K., 2023. Digital Marketing Communication Sustainable Hotel Practice </w:t>
      </w:r>
      <w:proofErr w:type="gramStart"/>
      <w:r w:rsidRPr="0083607B">
        <w:rPr>
          <w:rFonts w:ascii="Times New Roman" w:eastAsia="Times New Roman" w:hAnsi="Times New Roman" w:cs="Times New Roman"/>
          <w:color w:val="222222"/>
          <w:sz w:val="24"/>
          <w:szCs w:val="24"/>
          <w:highlight w:val="white"/>
        </w:rPr>
        <w:t>Of</w:t>
      </w:r>
      <w:proofErr w:type="gramEnd"/>
      <w:r w:rsidRPr="0083607B">
        <w:rPr>
          <w:rFonts w:ascii="Times New Roman" w:eastAsia="Times New Roman" w:hAnsi="Times New Roman" w:cs="Times New Roman"/>
          <w:color w:val="222222"/>
          <w:sz w:val="24"/>
          <w:szCs w:val="24"/>
          <w:highlight w:val="white"/>
        </w:rPr>
        <w:t xml:space="preserve"> Accor Group In Social Media. </w:t>
      </w:r>
      <w:r w:rsidRPr="0083607B">
        <w:rPr>
          <w:rFonts w:ascii="Times New Roman" w:eastAsia="Times New Roman" w:hAnsi="Times New Roman" w:cs="Times New Roman"/>
          <w:i/>
          <w:color w:val="222222"/>
          <w:sz w:val="24"/>
          <w:szCs w:val="24"/>
          <w:highlight w:val="white"/>
        </w:rPr>
        <w:t>International Journal of Economic, Business, Accounting, Agriculture Management and Sharia Administration (IJEBAS)</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3</w:t>
      </w:r>
      <w:r w:rsidRPr="0083607B">
        <w:rPr>
          <w:rFonts w:ascii="Times New Roman" w:eastAsia="Times New Roman" w:hAnsi="Times New Roman" w:cs="Times New Roman"/>
          <w:color w:val="222222"/>
          <w:sz w:val="24"/>
          <w:szCs w:val="24"/>
          <w:highlight w:val="white"/>
        </w:rPr>
        <w:t xml:space="preserve">(3), pp.730-743. </w:t>
      </w:r>
      <w:hyperlink r:id="rId23">
        <w:r w:rsidRPr="0083607B">
          <w:rPr>
            <w:rFonts w:ascii="Times New Roman" w:eastAsia="Times New Roman" w:hAnsi="Times New Roman" w:cs="Times New Roman"/>
            <w:color w:val="1155CC"/>
            <w:sz w:val="24"/>
            <w:szCs w:val="24"/>
            <w:highlight w:val="white"/>
            <w:u w:val="single"/>
          </w:rPr>
          <w:t>http://radjapublika.com/index.php/IJEBAS/article/view/910</w:t>
        </w:r>
      </w:hyperlink>
      <w:r w:rsidRPr="0083607B">
        <w:rPr>
          <w:rFonts w:ascii="Times New Roman" w:eastAsia="Times New Roman" w:hAnsi="Times New Roman" w:cs="Times New Roman"/>
          <w:color w:val="222222"/>
          <w:sz w:val="24"/>
          <w:szCs w:val="24"/>
          <w:highlight w:val="white"/>
        </w:rPr>
        <w:t xml:space="preserve"> </w:t>
      </w:r>
    </w:p>
    <w:p w14:paraId="57E7C360"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Sheth, J., Jain, V. and Ambika, A., 2020. Repositioning the customer support services: the next frontier of competitive advantage. </w:t>
      </w:r>
      <w:r w:rsidRPr="0083607B">
        <w:rPr>
          <w:rFonts w:ascii="Times New Roman" w:eastAsia="Times New Roman" w:hAnsi="Times New Roman" w:cs="Times New Roman"/>
          <w:i/>
          <w:color w:val="222222"/>
          <w:sz w:val="24"/>
          <w:szCs w:val="24"/>
          <w:highlight w:val="white"/>
        </w:rPr>
        <w:t>European Journal of Marketing</w:t>
      </w:r>
      <w:r w:rsidRPr="0083607B">
        <w:rPr>
          <w:rFonts w:ascii="Times New Roman" w:eastAsia="Times New Roman" w:hAnsi="Times New Roman" w:cs="Times New Roman"/>
          <w:color w:val="222222"/>
          <w:sz w:val="24"/>
          <w:szCs w:val="24"/>
          <w:highlight w:val="white"/>
        </w:rPr>
        <w:t xml:space="preserve">, </w:t>
      </w:r>
      <w:r w:rsidRPr="0083607B">
        <w:rPr>
          <w:rFonts w:ascii="Times New Roman" w:eastAsia="Times New Roman" w:hAnsi="Times New Roman" w:cs="Times New Roman"/>
          <w:i/>
          <w:color w:val="222222"/>
          <w:sz w:val="24"/>
          <w:szCs w:val="24"/>
          <w:highlight w:val="white"/>
        </w:rPr>
        <w:t>54</w:t>
      </w:r>
      <w:r w:rsidRPr="0083607B">
        <w:rPr>
          <w:rFonts w:ascii="Times New Roman" w:eastAsia="Times New Roman" w:hAnsi="Times New Roman" w:cs="Times New Roman"/>
          <w:color w:val="222222"/>
          <w:sz w:val="24"/>
          <w:szCs w:val="24"/>
          <w:highlight w:val="white"/>
        </w:rPr>
        <w:t xml:space="preserve">(7), pp.1787-1804. </w:t>
      </w:r>
      <w:hyperlink r:id="rId24">
        <w:r w:rsidRPr="0083607B">
          <w:rPr>
            <w:rFonts w:ascii="Times New Roman" w:eastAsia="Times New Roman" w:hAnsi="Times New Roman" w:cs="Times New Roman"/>
            <w:color w:val="1155CC"/>
            <w:sz w:val="24"/>
            <w:szCs w:val="24"/>
            <w:highlight w:val="white"/>
            <w:u w:val="single"/>
          </w:rPr>
          <w:t>https://www.researchgate.net/publication/342478422_Repositioning_the_customer_support_services_the_next_frontier_of_competitive_advantage</w:t>
        </w:r>
      </w:hyperlink>
      <w:r w:rsidRPr="0083607B">
        <w:rPr>
          <w:rFonts w:ascii="Times New Roman" w:eastAsia="Times New Roman" w:hAnsi="Times New Roman" w:cs="Times New Roman"/>
          <w:color w:val="222222"/>
          <w:sz w:val="24"/>
          <w:szCs w:val="24"/>
          <w:highlight w:val="white"/>
        </w:rPr>
        <w:t xml:space="preserve"> </w:t>
      </w:r>
    </w:p>
    <w:p w14:paraId="57E7C361"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proofErr w:type="spellStart"/>
      <w:r w:rsidRPr="0083607B">
        <w:rPr>
          <w:rFonts w:ascii="Times New Roman" w:eastAsia="Times New Roman" w:hAnsi="Times New Roman" w:cs="Times New Roman"/>
          <w:color w:val="222222"/>
          <w:sz w:val="24"/>
          <w:szCs w:val="24"/>
          <w:highlight w:val="white"/>
        </w:rPr>
        <w:t>Sikó</w:t>
      </w:r>
      <w:proofErr w:type="spellEnd"/>
      <w:r w:rsidRPr="0083607B">
        <w:rPr>
          <w:rFonts w:ascii="Times New Roman" w:eastAsia="Times New Roman" w:hAnsi="Times New Roman" w:cs="Times New Roman"/>
          <w:color w:val="222222"/>
          <w:sz w:val="24"/>
          <w:szCs w:val="24"/>
          <w:highlight w:val="white"/>
        </w:rPr>
        <w:t xml:space="preserve">, B. and </w:t>
      </w:r>
      <w:proofErr w:type="spellStart"/>
      <w:r w:rsidRPr="0083607B">
        <w:rPr>
          <w:rFonts w:ascii="Times New Roman" w:eastAsia="Times New Roman" w:hAnsi="Times New Roman" w:cs="Times New Roman"/>
          <w:color w:val="222222"/>
          <w:sz w:val="24"/>
          <w:szCs w:val="24"/>
          <w:highlight w:val="white"/>
        </w:rPr>
        <w:t>Vetró</w:t>
      </w:r>
      <w:proofErr w:type="spellEnd"/>
      <w:r w:rsidRPr="0083607B">
        <w:rPr>
          <w:rFonts w:ascii="Times New Roman" w:eastAsia="Times New Roman" w:hAnsi="Times New Roman" w:cs="Times New Roman"/>
          <w:color w:val="222222"/>
          <w:sz w:val="24"/>
          <w:szCs w:val="24"/>
          <w:highlight w:val="white"/>
        </w:rPr>
        <w:t xml:space="preserve">, R., 2022. Green Hotels–business potential and market advantage. In </w:t>
      </w:r>
      <w:r w:rsidRPr="0083607B">
        <w:rPr>
          <w:rFonts w:ascii="Times New Roman" w:eastAsia="Times New Roman" w:hAnsi="Times New Roman" w:cs="Times New Roman"/>
          <w:i/>
          <w:color w:val="222222"/>
          <w:sz w:val="24"/>
          <w:szCs w:val="24"/>
          <w:highlight w:val="white"/>
        </w:rPr>
        <w:t xml:space="preserve">Shape the future </w:t>
      </w:r>
      <w:proofErr w:type="gramStart"/>
      <w:r w:rsidRPr="0083607B">
        <w:rPr>
          <w:rFonts w:ascii="Times New Roman" w:eastAsia="Times New Roman" w:hAnsi="Times New Roman" w:cs="Times New Roman"/>
          <w:i/>
          <w:color w:val="222222"/>
          <w:sz w:val="24"/>
          <w:szCs w:val="24"/>
          <w:highlight w:val="white"/>
        </w:rPr>
        <w:t>together!-</w:t>
      </w:r>
      <w:proofErr w:type="gramEnd"/>
      <w:r w:rsidRPr="0083607B">
        <w:rPr>
          <w:rFonts w:ascii="Times New Roman" w:eastAsia="Times New Roman" w:hAnsi="Times New Roman" w:cs="Times New Roman"/>
          <w:i/>
          <w:color w:val="222222"/>
          <w:sz w:val="24"/>
          <w:szCs w:val="24"/>
          <w:highlight w:val="white"/>
        </w:rPr>
        <w:t xml:space="preserve">IV. BBS International Sustainability Student Conference Proceeding (PDF) </w:t>
      </w:r>
      <w:proofErr w:type="spellStart"/>
      <w:r w:rsidRPr="0083607B">
        <w:rPr>
          <w:rFonts w:ascii="Times New Roman" w:eastAsia="Times New Roman" w:hAnsi="Times New Roman" w:cs="Times New Roman"/>
          <w:i/>
          <w:color w:val="222222"/>
          <w:sz w:val="24"/>
          <w:szCs w:val="24"/>
          <w:highlight w:val="white"/>
        </w:rPr>
        <w:t>Budapesti</w:t>
      </w:r>
      <w:proofErr w:type="spellEnd"/>
      <w:r w:rsidRPr="0083607B">
        <w:rPr>
          <w:rFonts w:ascii="Times New Roman" w:eastAsia="Times New Roman" w:hAnsi="Times New Roman" w:cs="Times New Roman"/>
          <w:i/>
          <w:color w:val="222222"/>
          <w:sz w:val="24"/>
          <w:szCs w:val="24"/>
          <w:highlight w:val="white"/>
        </w:rPr>
        <w:t xml:space="preserve"> </w:t>
      </w:r>
      <w:proofErr w:type="spellStart"/>
      <w:r w:rsidRPr="0083607B">
        <w:rPr>
          <w:rFonts w:ascii="Times New Roman" w:eastAsia="Times New Roman" w:hAnsi="Times New Roman" w:cs="Times New Roman"/>
          <w:i/>
          <w:color w:val="222222"/>
          <w:sz w:val="24"/>
          <w:szCs w:val="24"/>
          <w:highlight w:val="white"/>
        </w:rPr>
        <w:t>Gazdasági</w:t>
      </w:r>
      <w:proofErr w:type="spellEnd"/>
      <w:r w:rsidRPr="0083607B">
        <w:rPr>
          <w:rFonts w:ascii="Times New Roman" w:eastAsia="Times New Roman" w:hAnsi="Times New Roman" w:cs="Times New Roman"/>
          <w:i/>
          <w:color w:val="222222"/>
          <w:sz w:val="24"/>
          <w:szCs w:val="24"/>
          <w:highlight w:val="white"/>
        </w:rPr>
        <w:t xml:space="preserve"> </w:t>
      </w:r>
      <w:proofErr w:type="spellStart"/>
      <w:r w:rsidRPr="0083607B">
        <w:rPr>
          <w:rFonts w:ascii="Times New Roman" w:eastAsia="Times New Roman" w:hAnsi="Times New Roman" w:cs="Times New Roman"/>
          <w:i/>
          <w:color w:val="222222"/>
          <w:sz w:val="24"/>
          <w:szCs w:val="24"/>
          <w:highlight w:val="white"/>
        </w:rPr>
        <w:t>Egyetem</w:t>
      </w:r>
      <w:proofErr w:type="spellEnd"/>
      <w:r w:rsidRPr="0083607B">
        <w:rPr>
          <w:rFonts w:ascii="Times New Roman" w:eastAsia="Times New Roman" w:hAnsi="Times New Roman" w:cs="Times New Roman"/>
          <w:color w:val="222222"/>
          <w:sz w:val="24"/>
          <w:szCs w:val="24"/>
          <w:highlight w:val="white"/>
        </w:rPr>
        <w:t xml:space="preserve"> (p. 184). </w:t>
      </w:r>
      <w:hyperlink r:id="rId25" w:anchor="page=186">
        <w:r w:rsidRPr="0083607B">
          <w:rPr>
            <w:rFonts w:ascii="Times New Roman" w:eastAsia="Times New Roman" w:hAnsi="Times New Roman" w:cs="Times New Roman"/>
            <w:color w:val="1155CC"/>
            <w:sz w:val="24"/>
            <w:szCs w:val="24"/>
            <w:highlight w:val="white"/>
            <w:u w:val="single"/>
          </w:rPr>
          <w:t>http://publikaciotar.uni-bge.hu/1861/1/Sus_Conference_k%C3%B6tet_2021.pdf#page=186</w:t>
        </w:r>
      </w:hyperlink>
    </w:p>
    <w:p w14:paraId="57E7C362" w14:textId="77777777" w:rsidR="002D1FDA" w:rsidRPr="0083607B" w:rsidRDefault="0083607B" w:rsidP="0083607B">
      <w:pPr>
        <w:spacing w:line="360" w:lineRule="auto"/>
        <w:ind w:left="720"/>
        <w:rPr>
          <w:rFonts w:ascii="Times New Roman" w:eastAsia="Times New Roman" w:hAnsi="Times New Roman" w:cs="Times New Roman"/>
          <w:color w:val="222222"/>
          <w:sz w:val="24"/>
          <w:szCs w:val="24"/>
          <w:highlight w:val="white"/>
        </w:rPr>
      </w:pPr>
      <w:r w:rsidRPr="0083607B">
        <w:rPr>
          <w:rFonts w:ascii="Times New Roman" w:eastAsia="Times New Roman" w:hAnsi="Times New Roman" w:cs="Times New Roman"/>
          <w:color w:val="222222"/>
          <w:sz w:val="24"/>
          <w:szCs w:val="24"/>
          <w:highlight w:val="white"/>
        </w:rPr>
        <w:t xml:space="preserve">Wilson, A., Zeithaml, V., Bitner, M.J. and Gremler, D., 2016. </w:t>
      </w:r>
      <w:r w:rsidRPr="0083607B">
        <w:rPr>
          <w:rFonts w:ascii="Times New Roman" w:eastAsia="Times New Roman" w:hAnsi="Times New Roman" w:cs="Times New Roman"/>
          <w:i/>
          <w:color w:val="222222"/>
          <w:sz w:val="24"/>
          <w:szCs w:val="24"/>
          <w:highlight w:val="white"/>
        </w:rPr>
        <w:t>EBOOK: Services Marketing: Integrating customer focus across the firm</w:t>
      </w:r>
      <w:r w:rsidRPr="0083607B">
        <w:rPr>
          <w:rFonts w:ascii="Times New Roman" w:eastAsia="Times New Roman" w:hAnsi="Times New Roman" w:cs="Times New Roman"/>
          <w:color w:val="222222"/>
          <w:sz w:val="24"/>
          <w:szCs w:val="24"/>
          <w:highlight w:val="white"/>
        </w:rPr>
        <w:t xml:space="preserve">. McGraw Hill. </w:t>
      </w:r>
      <w:hyperlink r:id="rId26">
        <w:r w:rsidRPr="0083607B">
          <w:rPr>
            <w:rFonts w:ascii="Times New Roman" w:eastAsia="Times New Roman" w:hAnsi="Times New Roman" w:cs="Times New Roman"/>
            <w:color w:val="1155CC"/>
            <w:sz w:val="24"/>
            <w:szCs w:val="24"/>
            <w:highlight w:val="white"/>
            <w:u w:val="single"/>
          </w:rPr>
          <w:t>https://books.google.com/books?hl=en&amp;lr=&amp;id=GMsvEAAAQBAJ&amp;oi=fnd&amp;pg=PR1&amp;dq=Accor+has+invested+much+in+incorporating+digital+technologies+and+online+platforms+for+improved+customer+service.&amp;ots=NHwK5Jpawg&amp;sig=8ammiRRbZo0c-j9sfhLiczZo0E0</w:t>
        </w:r>
      </w:hyperlink>
      <w:r w:rsidRPr="0083607B">
        <w:rPr>
          <w:rFonts w:ascii="Times New Roman" w:eastAsia="Times New Roman" w:hAnsi="Times New Roman" w:cs="Times New Roman"/>
          <w:color w:val="222222"/>
          <w:sz w:val="24"/>
          <w:szCs w:val="24"/>
          <w:highlight w:val="white"/>
        </w:rPr>
        <w:t xml:space="preserve"> </w:t>
      </w:r>
    </w:p>
    <w:p w14:paraId="57E7C363" w14:textId="77777777" w:rsidR="002D1FDA" w:rsidRPr="0083607B" w:rsidRDefault="002D1FDA" w:rsidP="0083607B">
      <w:pPr>
        <w:spacing w:line="360" w:lineRule="auto"/>
        <w:rPr>
          <w:rFonts w:ascii="Times New Roman" w:eastAsia="Times New Roman" w:hAnsi="Times New Roman" w:cs="Times New Roman"/>
          <w:sz w:val="24"/>
          <w:szCs w:val="24"/>
        </w:rPr>
      </w:pPr>
    </w:p>
    <w:p w14:paraId="57E7C364" w14:textId="77777777" w:rsidR="002D1FDA" w:rsidRPr="0083607B" w:rsidRDefault="002D1FDA" w:rsidP="0083607B">
      <w:pPr>
        <w:spacing w:line="360" w:lineRule="auto"/>
        <w:rPr>
          <w:rFonts w:ascii="Times New Roman" w:eastAsia="Times New Roman" w:hAnsi="Times New Roman" w:cs="Times New Roman"/>
          <w:sz w:val="24"/>
          <w:szCs w:val="24"/>
        </w:rPr>
      </w:pPr>
    </w:p>
    <w:p w14:paraId="57E7C365" w14:textId="77777777" w:rsidR="002D1FDA" w:rsidRDefault="002D1FDA">
      <w:pPr>
        <w:spacing w:line="480" w:lineRule="auto"/>
        <w:rPr>
          <w:rFonts w:ascii="Times New Roman" w:eastAsia="Times New Roman" w:hAnsi="Times New Roman" w:cs="Times New Roman"/>
          <w:sz w:val="24"/>
          <w:szCs w:val="24"/>
        </w:rPr>
      </w:pPr>
    </w:p>
    <w:p w14:paraId="57E7C366" w14:textId="77777777" w:rsidR="002D1FDA" w:rsidRDefault="002D1FDA">
      <w:pPr>
        <w:spacing w:line="480" w:lineRule="auto"/>
        <w:rPr>
          <w:rFonts w:ascii="Times New Roman" w:eastAsia="Times New Roman" w:hAnsi="Times New Roman" w:cs="Times New Roman"/>
          <w:sz w:val="24"/>
          <w:szCs w:val="24"/>
        </w:rPr>
      </w:pPr>
    </w:p>
    <w:sectPr w:rsidR="002D1FDA">
      <w:headerReference w:type="default" r:id="rId2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7C36C" w14:textId="77777777" w:rsidR="0083607B" w:rsidRDefault="0083607B">
      <w:pPr>
        <w:spacing w:line="240" w:lineRule="auto"/>
      </w:pPr>
      <w:r>
        <w:separator/>
      </w:r>
    </w:p>
  </w:endnote>
  <w:endnote w:type="continuationSeparator" w:id="0">
    <w:p w14:paraId="57E7C36E" w14:textId="77777777" w:rsidR="0083607B" w:rsidRDefault="008360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7C368" w14:textId="77777777" w:rsidR="0083607B" w:rsidRDefault="0083607B">
      <w:pPr>
        <w:spacing w:line="240" w:lineRule="auto"/>
      </w:pPr>
      <w:r>
        <w:separator/>
      </w:r>
    </w:p>
  </w:footnote>
  <w:footnote w:type="continuationSeparator" w:id="0">
    <w:p w14:paraId="57E7C36A" w14:textId="77777777" w:rsidR="0083607B" w:rsidRDefault="008360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7C367" w14:textId="1412337E" w:rsidR="002D1FDA" w:rsidRDefault="0083607B">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50976"/>
    <w:multiLevelType w:val="hybridMultilevel"/>
    <w:tmpl w:val="6158D07E"/>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start w:val="1"/>
      <w:numFmt w:val="bullet"/>
      <w:lvlText w:val=""/>
      <w:lvlJc w:val="left"/>
      <w:pPr>
        <w:ind w:left="2160" w:hanging="360"/>
      </w:pPr>
      <w:rPr>
        <w:rFonts w:ascii="Wingdings" w:hAnsi="Wingdings" w:hint="default"/>
      </w:rPr>
    </w:lvl>
    <w:lvl w:ilvl="3" w:tplc="04180001">
      <w:start w:val="1"/>
      <w:numFmt w:val="bullet"/>
      <w:lvlText w:val=""/>
      <w:lvlJc w:val="left"/>
      <w:pPr>
        <w:ind w:left="2880" w:hanging="360"/>
      </w:pPr>
      <w:rPr>
        <w:rFonts w:ascii="Symbol" w:hAnsi="Symbol" w:hint="default"/>
      </w:rPr>
    </w:lvl>
    <w:lvl w:ilvl="4" w:tplc="04180003">
      <w:start w:val="1"/>
      <w:numFmt w:val="bullet"/>
      <w:lvlText w:val="o"/>
      <w:lvlJc w:val="left"/>
      <w:pPr>
        <w:ind w:left="3600" w:hanging="360"/>
      </w:pPr>
      <w:rPr>
        <w:rFonts w:ascii="Courier New" w:hAnsi="Courier New" w:cs="Courier New" w:hint="default"/>
      </w:rPr>
    </w:lvl>
    <w:lvl w:ilvl="5" w:tplc="04180005">
      <w:start w:val="1"/>
      <w:numFmt w:val="bullet"/>
      <w:lvlText w:val=""/>
      <w:lvlJc w:val="left"/>
      <w:pPr>
        <w:ind w:left="4320" w:hanging="360"/>
      </w:pPr>
      <w:rPr>
        <w:rFonts w:ascii="Wingdings" w:hAnsi="Wingdings" w:hint="default"/>
      </w:rPr>
    </w:lvl>
    <w:lvl w:ilvl="6" w:tplc="04180001">
      <w:start w:val="1"/>
      <w:numFmt w:val="bullet"/>
      <w:lvlText w:val=""/>
      <w:lvlJc w:val="left"/>
      <w:pPr>
        <w:ind w:left="5040" w:hanging="360"/>
      </w:pPr>
      <w:rPr>
        <w:rFonts w:ascii="Symbol" w:hAnsi="Symbol" w:hint="default"/>
      </w:rPr>
    </w:lvl>
    <w:lvl w:ilvl="7" w:tplc="04180003">
      <w:start w:val="1"/>
      <w:numFmt w:val="bullet"/>
      <w:lvlText w:val="o"/>
      <w:lvlJc w:val="left"/>
      <w:pPr>
        <w:ind w:left="5760" w:hanging="360"/>
      </w:pPr>
      <w:rPr>
        <w:rFonts w:ascii="Courier New" w:hAnsi="Courier New" w:cs="Courier New" w:hint="default"/>
      </w:rPr>
    </w:lvl>
    <w:lvl w:ilvl="8" w:tplc="04180005">
      <w:start w:val="1"/>
      <w:numFmt w:val="bullet"/>
      <w:lvlText w:val=""/>
      <w:lvlJc w:val="left"/>
      <w:pPr>
        <w:ind w:left="6480" w:hanging="360"/>
      </w:pPr>
      <w:rPr>
        <w:rFonts w:ascii="Wingdings" w:hAnsi="Wingdings" w:hint="default"/>
      </w:rPr>
    </w:lvl>
  </w:abstractNum>
  <w:num w:numId="1" w16cid:durableId="209743363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FDA"/>
    <w:rsid w:val="002D1FDA"/>
    <w:rsid w:val="0083607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7C2F1"/>
  <w15:docId w15:val="{1E9CF993-21F7-4FA8-A4A8-AECDFFC51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f">
    <w:name w:val="List Paragraph"/>
    <w:basedOn w:val="Normal"/>
    <w:uiPriority w:val="34"/>
    <w:qFormat/>
    <w:rsid w:val="00836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29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834721" TargetMode="External"/><Relationship Id="rId13" Type="http://schemas.openxmlformats.org/officeDocument/2006/relationships/hyperlink" Target="http://radjapublika.com/index.php/IJEBAS/article/view/910" TargetMode="External"/><Relationship Id="rId18" Type="http://schemas.openxmlformats.org/officeDocument/2006/relationships/hyperlink" Target="https://books.google.com/books?hl=en&amp;lr=&amp;id=9uAeDAAAQBAJ&amp;oi=fnd&amp;pg=PA439&amp;dq=Accor+Planet+21,+which+minimizes+its+environmental+footprint+and+supports+neighboring+communities.&amp;ots=ErXzDskv24&amp;sig=dMvUKo0LTP3S_h3LC1-7Fksb7R0" TargetMode="External"/><Relationship Id="rId26" Type="http://schemas.openxmlformats.org/officeDocument/2006/relationships/hyperlink" Target="https://books.google.com/books?hl=en&amp;lr=&amp;id=GMsvEAAAQBAJ&amp;oi=fnd&amp;pg=PR1&amp;dq=Accor+has+invested+much+in+incorporating+digital+technologies+and+online+platforms+for+improved+customer+service.&amp;ots=NHwK5Jpawg&amp;sig=8ammiRRbZo0c-j9sfhLiczZo0E0" TargetMode="External"/><Relationship Id="rId3" Type="http://schemas.openxmlformats.org/officeDocument/2006/relationships/settings" Target="settings.xml"/><Relationship Id="rId21" Type="http://schemas.openxmlformats.org/officeDocument/2006/relationships/hyperlink" Target="https://books.google.co.ke/books?hl=en&amp;lr=&amp;id=oGZHwZ1R6UUC&amp;oi=fnd&amp;pg=PT9&amp;dq=A+customer-centric+culture+supports+global+expansion+by+providing+guests+with+satisfaction+and+loyalty&amp;ots=6-GTyL5RBf&amp;sig=c8IPHs4AkIj2P68wYA4UoONb6Wk&amp;redir_esc=y" TargetMode="External"/><Relationship Id="rId7" Type="http://schemas.openxmlformats.org/officeDocument/2006/relationships/hyperlink" Target="https://group.accor.com/-/media/Corporate/Investors/Documents-financiers/2023/02-23-FY/blockchained_FY22_PR_vDef.pdf" TargetMode="External"/><Relationship Id="rId12" Type="http://schemas.openxmlformats.org/officeDocument/2006/relationships/hyperlink" Target="https://dergipark.org.tr/en/pub/iuturizmoloji/issue/24615/260504?publisher=istanbul" TargetMode="External"/><Relationship Id="rId17" Type="http://schemas.openxmlformats.org/officeDocument/2006/relationships/hyperlink" Target="https://scholar.archive.org/work/2vl5estsm5d5dnkem4wwoyz3bi/access/wayback/http://ijrmbs.com/vol2issue3/drpradeep.pdf" TargetMode="External"/><Relationship Id="rId25" Type="http://schemas.openxmlformats.org/officeDocument/2006/relationships/hyperlink" Target="http://publikaciotar.uni-bge.hu/1861/1/Sus_Conference_k%C3%B6tet_2021.pdf" TargetMode="External"/><Relationship Id="rId2" Type="http://schemas.openxmlformats.org/officeDocument/2006/relationships/styles" Target="styles.xml"/><Relationship Id="rId16" Type="http://schemas.openxmlformats.org/officeDocument/2006/relationships/hyperlink" Target="https://www.emerald.com/insight/content/doi/10.1108/SAMPJ-02-2015-0014/full/html" TargetMode="External"/><Relationship Id="rId20" Type="http://schemas.openxmlformats.org/officeDocument/2006/relationships/hyperlink" Target="https://modir3-3.ir/article-english/BRAND%20EQUITY,%20BRAND%20LOYALTY.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rcak.srce.hr/file/346425" TargetMode="External"/><Relationship Id="rId24" Type="http://schemas.openxmlformats.org/officeDocument/2006/relationships/hyperlink" Target="https://www.researchgate.net/publication/342478422_Repositioning_the_customer_support_services_the_next_frontier_of_competitive_advantage" TargetMode="External"/><Relationship Id="rId5" Type="http://schemas.openxmlformats.org/officeDocument/2006/relationships/footnotes" Target="footnotes.xml"/><Relationship Id="rId15" Type="http://schemas.openxmlformats.org/officeDocument/2006/relationships/hyperlink" Target="https://books.google.co.ke/books?hl=en&amp;lr=&amp;id=CDNDTO2ygZ8C&amp;oi=fnd&amp;pg=PA279&amp;dq=Accor+has+a+high+uncertainty+avoidance+culture&amp;ots=JvTnoWVLd-&amp;sig=bHxtfEFyyMJdHk6yf5ABvFecOvA&amp;redir_esc=y" TargetMode="External"/><Relationship Id="rId23" Type="http://schemas.openxmlformats.org/officeDocument/2006/relationships/hyperlink" Target="http://radjapublika.com/index.php/IJEBAS/article/view/910" TargetMode="External"/><Relationship Id="rId28" Type="http://schemas.openxmlformats.org/officeDocument/2006/relationships/fontTable" Target="fontTable.xml"/><Relationship Id="rId10" Type="http://schemas.openxmlformats.org/officeDocument/2006/relationships/hyperlink" Target="https://www.academia.edu/29053881/The_organizational_dynamics_of_Enterprise_Risk_Management" TargetMode="External"/><Relationship Id="rId19" Type="http://schemas.openxmlformats.org/officeDocument/2006/relationships/hyperlink" Target="http://www.nationalforum.com/Electronic%20Journal%20Volumes/Lunenburg,%20Fred%20C.%20Organizational%20Structure%20%20Mintzberg%20Framework%20IJSAID%20V14%20N1%202012.pdf" TargetMode="External"/><Relationship Id="rId4" Type="http://schemas.openxmlformats.org/officeDocument/2006/relationships/webSettings" Target="webSettings.xml"/><Relationship Id="rId9" Type="http://schemas.openxmlformats.org/officeDocument/2006/relationships/hyperlink" Target="https://www.academia.edu/download/32514579/Hilton.pdf" TargetMode="External"/><Relationship Id="rId14" Type="http://schemas.openxmlformats.org/officeDocument/2006/relationships/hyperlink" Target="https://books.google.com/books?hl=en&amp;lr=&amp;id=NJLV1U9gplMC&amp;oi=fnd&amp;pg=PR7&amp;dq=All+the+employees+and+stakeholders+did+not+readily+accept+some+of+the+new+changes.+&amp;ots=3cFJitgEQ-&amp;sig=tTfHBvaaHeICYX3DomcvhuO7Hy4" TargetMode="External"/><Relationship Id="rId22" Type="http://schemas.openxmlformats.org/officeDocument/2006/relationships/hyperlink" Target="https://iaccm-congress.ieseg.fr/wp-content/uploads/sites/21/2018/12/1-IACCM-IESEG-Conference-Proceedings-2019-okok.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4551</Words>
  <Characters>26398</Characters>
  <Application>Microsoft Office Word</Application>
  <DocSecurity>0</DocSecurity>
  <Lines>219</Lines>
  <Paragraphs>61</Paragraphs>
  <ScaleCrop>false</ScaleCrop>
  <Company/>
  <LinksUpToDate>false</LinksUpToDate>
  <CharactersWithSpaces>30888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calinalexandrulucian@gmail.com</cp:lastModifiedBy>
  <cp:revision>2</cp:revision>
  <dcterms:created xsi:type="dcterms:W3CDTF">2023-11-12T06:51:00Z</dcterms:created>
  <dcterms:modified xsi:type="dcterms:W3CDTF">2023-11-12T06:54:00Z</dcterms:modified>
</cp:coreProperties>
</file>