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972" w:rsidRDefault="00227DDD" w:rsidP="00227DDD">
      <w:pPr>
        <w:tabs>
          <w:tab w:val="left" w:pos="142"/>
        </w:tabs>
        <w:rPr>
          <w:rFonts w:ascii="Arial" w:hAnsi="Arial" w:cs="Arial"/>
          <w:b/>
          <w:sz w:val="24"/>
          <w:szCs w:val="24"/>
        </w:rPr>
      </w:pPr>
      <w:r>
        <w:rPr>
          <w:rFonts w:ascii="Arial" w:hAnsi="Arial" w:cs="Arial"/>
          <w:b/>
          <w:sz w:val="24"/>
          <w:szCs w:val="24"/>
        </w:rPr>
        <w:t>Karl Barth’s views on the incarnation measured against the twelve issues on incarnation identified by Gerald O’Collins</w:t>
      </w:r>
    </w:p>
    <w:p w:rsidR="00227DDD" w:rsidRDefault="00227DDD" w:rsidP="00227DDD">
      <w:pPr>
        <w:tabs>
          <w:tab w:val="left" w:pos="142"/>
        </w:tabs>
        <w:rPr>
          <w:rFonts w:ascii="Arial" w:hAnsi="Arial" w:cs="Arial"/>
          <w:b/>
          <w:sz w:val="24"/>
          <w:szCs w:val="24"/>
        </w:rPr>
      </w:pPr>
    </w:p>
    <w:p w:rsidR="00227DDD" w:rsidRDefault="00227DDD" w:rsidP="00227DDD">
      <w:pPr>
        <w:tabs>
          <w:tab w:val="left" w:pos="142"/>
        </w:tabs>
        <w:rPr>
          <w:rFonts w:ascii="Arial" w:hAnsi="Arial" w:cs="Arial"/>
          <w:b/>
          <w:i/>
          <w:sz w:val="24"/>
          <w:szCs w:val="24"/>
        </w:rPr>
      </w:pPr>
      <w:r>
        <w:rPr>
          <w:rFonts w:ascii="Arial" w:hAnsi="Arial" w:cs="Arial"/>
          <w:b/>
          <w:i/>
          <w:sz w:val="24"/>
          <w:szCs w:val="24"/>
        </w:rPr>
        <w:t>Introduction</w:t>
      </w:r>
    </w:p>
    <w:p w:rsidR="00227DDD" w:rsidRDefault="00227DDD" w:rsidP="00227DDD">
      <w:pPr>
        <w:tabs>
          <w:tab w:val="left" w:pos="142"/>
        </w:tabs>
        <w:rPr>
          <w:rFonts w:ascii="Arial" w:hAnsi="Arial" w:cs="Arial"/>
          <w:sz w:val="24"/>
          <w:szCs w:val="24"/>
        </w:rPr>
      </w:pPr>
      <w:r>
        <w:rPr>
          <w:rFonts w:ascii="Arial" w:hAnsi="Arial" w:cs="Arial"/>
          <w:sz w:val="24"/>
          <w:szCs w:val="24"/>
        </w:rPr>
        <w:t xml:space="preserve">Karl Barth’s views on the incarnation are central to his approach to Christology.  </w:t>
      </w:r>
      <w:r w:rsidR="00042697">
        <w:rPr>
          <w:rFonts w:ascii="Arial" w:hAnsi="Arial" w:cs="Arial"/>
          <w:sz w:val="24"/>
          <w:szCs w:val="24"/>
        </w:rPr>
        <w:t>Yet in the 6m words and 9000 pages he produced in his epic theological study, Church Dogmatics, relatively few are devoted directly to the incarnation, the main section being in Volume 1 Part 2.</w:t>
      </w:r>
    </w:p>
    <w:p w:rsidR="00042697" w:rsidRDefault="00615F9F" w:rsidP="00227DDD">
      <w:pPr>
        <w:tabs>
          <w:tab w:val="left" w:pos="142"/>
        </w:tabs>
        <w:rPr>
          <w:rFonts w:ascii="Arial" w:hAnsi="Arial" w:cs="Arial"/>
          <w:sz w:val="24"/>
          <w:szCs w:val="24"/>
        </w:rPr>
      </w:pPr>
      <w:r>
        <w:rPr>
          <w:rFonts w:ascii="Arial" w:hAnsi="Arial" w:cs="Arial"/>
          <w:sz w:val="24"/>
          <w:szCs w:val="24"/>
        </w:rPr>
        <w:t xml:space="preserve">To </w:t>
      </w:r>
      <w:r w:rsidR="001A3FF6">
        <w:rPr>
          <w:rFonts w:ascii="Arial" w:hAnsi="Arial" w:cs="Arial"/>
          <w:sz w:val="24"/>
          <w:szCs w:val="24"/>
        </w:rPr>
        <w:t>Barth the Virgin Birth and the R</w:t>
      </w:r>
      <w:r>
        <w:rPr>
          <w:rFonts w:ascii="Arial" w:hAnsi="Arial" w:cs="Arial"/>
          <w:sz w:val="24"/>
          <w:szCs w:val="24"/>
        </w:rPr>
        <w:t xml:space="preserve">esurrection are paired events </w:t>
      </w:r>
      <w:r w:rsidR="001A3FF6">
        <w:rPr>
          <w:rFonts w:ascii="Arial" w:hAnsi="Arial" w:cs="Arial"/>
          <w:sz w:val="24"/>
          <w:szCs w:val="24"/>
        </w:rPr>
        <w:t xml:space="preserve">placing Christ’s life and works at the fulcrum of his theological studies, in tandem with his belief that the self-revelation of God </w:t>
      </w:r>
      <w:r w:rsidR="00FD460C">
        <w:rPr>
          <w:rFonts w:ascii="Arial" w:hAnsi="Arial" w:cs="Arial"/>
          <w:sz w:val="24"/>
          <w:szCs w:val="24"/>
        </w:rPr>
        <w:t xml:space="preserve">and the Trinitarian union </w:t>
      </w:r>
      <w:r w:rsidR="001A3FF6">
        <w:rPr>
          <w:rFonts w:ascii="Arial" w:hAnsi="Arial" w:cs="Arial"/>
          <w:sz w:val="24"/>
          <w:szCs w:val="24"/>
        </w:rPr>
        <w:t>gave meaning to his doctrine of actualism drawing heavily upon exegetics</w:t>
      </w:r>
      <w:r w:rsidR="009821C6">
        <w:rPr>
          <w:rFonts w:ascii="Arial" w:hAnsi="Arial" w:cs="Arial"/>
          <w:sz w:val="24"/>
          <w:szCs w:val="24"/>
        </w:rPr>
        <w:t xml:space="preserve"> (Hendry 1956; Klooster 1983; </w:t>
      </w:r>
      <w:r w:rsidR="002A064F">
        <w:rPr>
          <w:rFonts w:ascii="Arial" w:hAnsi="Arial" w:cs="Arial"/>
          <w:sz w:val="24"/>
          <w:szCs w:val="24"/>
        </w:rPr>
        <w:t xml:space="preserve">McCormack 2016; </w:t>
      </w:r>
      <w:r w:rsidR="009821C6">
        <w:rPr>
          <w:rFonts w:ascii="Arial" w:hAnsi="Arial" w:cs="Arial"/>
          <w:sz w:val="24"/>
          <w:szCs w:val="24"/>
        </w:rPr>
        <w:t>Neder 2009</w:t>
      </w:r>
      <w:r w:rsidR="00CF6054">
        <w:rPr>
          <w:rFonts w:ascii="Arial" w:hAnsi="Arial" w:cs="Arial"/>
          <w:sz w:val="24"/>
          <w:szCs w:val="24"/>
        </w:rPr>
        <w:t>; Webb 2011</w:t>
      </w:r>
      <w:r w:rsidR="009821C6">
        <w:rPr>
          <w:rFonts w:ascii="Arial" w:hAnsi="Arial" w:cs="Arial"/>
          <w:sz w:val="24"/>
          <w:szCs w:val="24"/>
        </w:rPr>
        <w:t>)</w:t>
      </w:r>
      <w:r w:rsidR="001A3FF6">
        <w:rPr>
          <w:rFonts w:ascii="Arial" w:hAnsi="Arial" w:cs="Arial"/>
          <w:sz w:val="24"/>
          <w:szCs w:val="24"/>
        </w:rPr>
        <w:t xml:space="preserve">. </w:t>
      </w:r>
    </w:p>
    <w:p w:rsidR="009821C6" w:rsidRDefault="009A57CE" w:rsidP="00227DDD">
      <w:pPr>
        <w:tabs>
          <w:tab w:val="left" w:pos="142"/>
        </w:tabs>
        <w:rPr>
          <w:rFonts w:ascii="Arial" w:hAnsi="Arial" w:cs="Arial"/>
          <w:sz w:val="24"/>
          <w:szCs w:val="24"/>
        </w:rPr>
      </w:pPr>
      <w:r>
        <w:rPr>
          <w:rFonts w:ascii="Arial" w:hAnsi="Arial" w:cs="Arial"/>
          <w:sz w:val="24"/>
          <w:szCs w:val="24"/>
        </w:rPr>
        <w:t xml:space="preserve">Never afraid to court controversy Barth refused to accept </w:t>
      </w:r>
      <w:r w:rsidRPr="00862D91">
        <w:rPr>
          <w:rFonts w:ascii="Arial" w:hAnsi="Arial" w:cs="Arial"/>
          <w:i/>
          <w:sz w:val="24"/>
          <w:szCs w:val="24"/>
        </w:rPr>
        <w:t>tout court</w:t>
      </w:r>
      <w:r>
        <w:rPr>
          <w:rFonts w:ascii="Arial" w:hAnsi="Arial" w:cs="Arial"/>
          <w:sz w:val="24"/>
          <w:szCs w:val="24"/>
        </w:rPr>
        <w:t xml:space="preserve"> est</w:t>
      </w:r>
      <w:r w:rsidR="001E200D">
        <w:rPr>
          <w:rFonts w:ascii="Arial" w:hAnsi="Arial" w:cs="Arial"/>
          <w:sz w:val="24"/>
          <w:szCs w:val="24"/>
        </w:rPr>
        <w:t xml:space="preserve">ablished viewpoints </w:t>
      </w:r>
      <w:r w:rsidR="00F57339">
        <w:rPr>
          <w:rFonts w:ascii="Arial" w:hAnsi="Arial" w:cs="Arial"/>
          <w:sz w:val="24"/>
          <w:szCs w:val="24"/>
        </w:rPr>
        <w:t xml:space="preserve">on the incarnation </w:t>
      </w:r>
      <w:r w:rsidR="001E200D">
        <w:rPr>
          <w:rFonts w:ascii="Arial" w:hAnsi="Arial" w:cs="Arial"/>
          <w:sz w:val="24"/>
          <w:szCs w:val="24"/>
        </w:rPr>
        <w:t>whether that be the Patristic Fathers, Luth</w:t>
      </w:r>
      <w:r>
        <w:rPr>
          <w:rFonts w:ascii="Arial" w:hAnsi="Arial" w:cs="Arial"/>
          <w:sz w:val="24"/>
          <w:szCs w:val="24"/>
        </w:rPr>
        <w:t>eran, extra Calvin</w:t>
      </w:r>
      <w:r w:rsidR="001E200D">
        <w:rPr>
          <w:rFonts w:ascii="Arial" w:hAnsi="Arial" w:cs="Arial"/>
          <w:sz w:val="24"/>
          <w:szCs w:val="24"/>
        </w:rPr>
        <w:t>ism</w:t>
      </w:r>
      <w:r>
        <w:rPr>
          <w:rFonts w:ascii="Arial" w:hAnsi="Arial" w:cs="Arial"/>
          <w:sz w:val="24"/>
          <w:szCs w:val="24"/>
        </w:rPr>
        <w:t xml:space="preserve"> </w:t>
      </w:r>
      <w:r w:rsidR="001E200D">
        <w:rPr>
          <w:rFonts w:ascii="Arial" w:hAnsi="Arial" w:cs="Arial"/>
          <w:sz w:val="24"/>
          <w:szCs w:val="24"/>
        </w:rPr>
        <w:t>or a slew of philosophers</w:t>
      </w:r>
      <w:r w:rsidR="00F57339">
        <w:rPr>
          <w:rFonts w:ascii="Arial" w:hAnsi="Arial" w:cs="Arial"/>
          <w:sz w:val="24"/>
          <w:szCs w:val="24"/>
        </w:rPr>
        <w:t xml:space="preserve">.  Whilst sympathetic as a Protestant to aspects of the Catholic stance on Mary’s role as </w:t>
      </w:r>
      <w:r w:rsidR="00F57339" w:rsidRPr="00F57339">
        <w:rPr>
          <w:rFonts w:ascii="Arial" w:hAnsi="Arial" w:cs="Arial"/>
          <w:i/>
          <w:sz w:val="24"/>
          <w:szCs w:val="24"/>
        </w:rPr>
        <w:t>Theotokos</w:t>
      </w:r>
      <w:r w:rsidR="00F57339">
        <w:rPr>
          <w:rFonts w:ascii="Arial" w:hAnsi="Arial" w:cs="Arial"/>
          <w:sz w:val="24"/>
          <w:szCs w:val="24"/>
        </w:rPr>
        <w:t xml:space="preserve"> in particular</w:t>
      </w:r>
      <w:r w:rsidR="00862D91">
        <w:rPr>
          <w:rFonts w:ascii="Arial" w:hAnsi="Arial" w:cs="Arial"/>
          <w:sz w:val="24"/>
          <w:szCs w:val="24"/>
        </w:rPr>
        <w:t>,</w:t>
      </w:r>
      <w:r w:rsidR="00F57339">
        <w:rPr>
          <w:rFonts w:ascii="Arial" w:hAnsi="Arial" w:cs="Arial"/>
          <w:sz w:val="24"/>
          <w:szCs w:val="24"/>
        </w:rPr>
        <w:t xml:space="preserve"> he had no truck with Mariology</w:t>
      </w:r>
      <w:r w:rsidR="00862D91">
        <w:rPr>
          <w:rFonts w:ascii="Arial" w:hAnsi="Arial" w:cs="Arial"/>
          <w:sz w:val="24"/>
          <w:szCs w:val="24"/>
        </w:rPr>
        <w:t xml:space="preserve"> (Perry 2010)</w:t>
      </w:r>
      <w:r w:rsidR="00F57339">
        <w:rPr>
          <w:rFonts w:ascii="Arial" w:hAnsi="Arial" w:cs="Arial"/>
          <w:sz w:val="24"/>
          <w:szCs w:val="24"/>
        </w:rPr>
        <w:t>.</w:t>
      </w:r>
    </w:p>
    <w:p w:rsidR="009821C6" w:rsidRDefault="009821C6" w:rsidP="00227DDD">
      <w:pPr>
        <w:tabs>
          <w:tab w:val="left" w:pos="142"/>
        </w:tabs>
        <w:rPr>
          <w:rFonts w:ascii="Arial" w:hAnsi="Arial" w:cs="Arial"/>
          <w:sz w:val="24"/>
          <w:szCs w:val="24"/>
        </w:rPr>
      </w:pPr>
      <w:r>
        <w:rPr>
          <w:rFonts w:ascii="Arial" w:hAnsi="Arial" w:cs="Arial"/>
          <w:sz w:val="24"/>
          <w:szCs w:val="24"/>
        </w:rPr>
        <w:t>Overall Barth has written so extensively it is impossible to do justice to all his ideas in this short essay and so in each of the twelve issues on the incarnation highlighted by O’Collins (2002) I have sought out the most germane to Barth’s reasoning in each case.</w:t>
      </w:r>
    </w:p>
    <w:p w:rsidR="009821C6" w:rsidRDefault="009821C6" w:rsidP="00227DDD">
      <w:pPr>
        <w:tabs>
          <w:tab w:val="left" w:pos="142"/>
        </w:tabs>
        <w:rPr>
          <w:rFonts w:ascii="Arial" w:hAnsi="Arial" w:cs="Arial"/>
          <w:sz w:val="24"/>
          <w:szCs w:val="24"/>
        </w:rPr>
      </w:pPr>
      <w:r>
        <w:rPr>
          <w:rFonts w:ascii="Arial" w:hAnsi="Arial" w:cs="Arial"/>
          <w:sz w:val="24"/>
          <w:szCs w:val="24"/>
        </w:rPr>
        <w:t>O’Collins’ twelve issues are:</w:t>
      </w:r>
    </w:p>
    <w:p w:rsidR="009821C6" w:rsidRDefault="009821C6"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 xml:space="preserve">The particular, historical truth of the union of divinity and humanity </w:t>
      </w:r>
      <w:r w:rsidR="006949C0">
        <w:rPr>
          <w:rFonts w:ascii="Arial" w:hAnsi="Arial" w:cs="Arial"/>
          <w:sz w:val="24"/>
          <w:szCs w:val="24"/>
        </w:rPr>
        <w:t>in</w:t>
      </w:r>
      <w:r w:rsidR="00095809">
        <w:rPr>
          <w:rFonts w:ascii="Arial" w:hAnsi="Arial" w:cs="Arial"/>
          <w:sz w:val="24"/>
          <w:szCs w:val="24"/>
        </w:rPr>
        <w:t xml:space="preserve"> the one person of Jesus Christ</w:t>
      </w:r>
    </w:p>
    <w:p w:rsidR="008A5FAA" w:rsidRDefault="008A5FAA" w:rsidP="008A5FAA">
      <w:pPr>
        <w:pStyle w:val="ListParagraph"/>
        <w:numPr>
          <w:ilvl w:val="0"/>
          <w:numId w:val="1"/>
        </w:numPr>
        <w:tabs>
          <w:tab w:val="left" w:pos="142"/>
        </w:tabs>
        <w:rPr>
          <w:rFonts w:ascii="Arial" w:hAnsi="Arial" w:cs="Arial"/>
          <w:sz w:val="24"/>
          <w:szCs w:val="24"/>
        </w:rPr>
      </w:pPr>
      <w:r>
        <w:rPr>
          <w:rFonts w:ascii="Arial" w:hAnsi="Arial" w:cs="Arial"/>
          <w:sz w:val="24"/>
          <w:szCs w:val="24"/>
        </w:rPr>
        <w:t>His personal pre-existence</w:t>
      </w:r>
    </w:p>
    <w:p w:rsidR="006949C0" w:rsidRDefault="006949C0"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paradox in holding the Chalcedonian teaching of Jesus being truly divine and fully human</w:t>
      </w:r>
    </w:p>
    <w:p w:rsidR="006949C0" w:rsidRDefault="006949C0"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objection that the incarnation entails unfairness on the part of God</w:t>
      </w:r>
    </w:p>
    <w:p w:rsidR="006949C0" w:rsidRDefault="006949C0"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 xml:space="preserve">The divine and human wills and minds of Christ </w:t>
      </w:r>
      <w:r w:rsidR="00F54D93">
        <w:rPr>
          <w:rFonts w:ascii="Arial" w:hAnsi="Arial" w:cs="Arial"/>
          <w:sz w:val="24"/>
          <w:szCs w:val="24"/>
        </w:rPr>
        <w:t>in their sinless harmony</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virginal conception as the way the incarnation actually happened</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God’s reasons for the incarnation</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Its revelatory and redemptive impact</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relationship of the incarnation to the crucifixion and resurrection</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incarnation being possible only for the Word of God</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incarnation as a once and for all occurrence</w:t>
      </w:r>
    </w:p>
    <w:p w:rsidR="00F54D93" w:rsidRDefault="00F54D93" w:rsidP="009821C6">
      <w:pPr>
        <w:pStyle w:val="ListParagraph"/>
        <w:numPr>
          <w:ilvl w:val="0"/>
          <w:numId w:val="1"/>
        </w:numPr>
        <w:tabs>
          <w:tab w:val="left" w:pos="142"/>
        </w:tabs>
        <w:rPr>
          <w:rFonts w:ascii="Arial" w:hAnsi="Arial" w:cs="Arial"/>
          <w:sz w:val="24"/>
          <w:szCs w:val="24"/>
        </w:rPr>
      </w:pPr>
      <w:r>
        <w:rPr>
          <w:rFonts w:ascii="Arial" w:hAnsi="Arial" w:cs="Arial"/>
          <w:sz w:val="24"/>
          <w:szCs w:val="24"/>
        </w:rPr>
        <w:t>The credibility of the incarnation.</w:t>
      </w:r>
    </w:p>
    <w:p w:rsidR="00095809" w:rsidRDefault="00095809" w:rsidP="00095809">
      <w:pPr>
        <w:tabs>
          <w:tab w:val="left" w:pos="142"/>
        </w:tabs>
        <w:rPr>
          <w:rFonts w:ascii="Arial" w:hAnsi="Arial" w:cs="Arial"/>
          <w:sz w:val="24"/>
          <w:szCs w:val="24"/>
        </w:rPr>
      </w:pPr>
    </w:p>
    <w:p w:rsidR="00095809" w:rsidRPr="008A5FAA" w:rsidRDefault="008A5FAA" w:rsidP="008A5FAA">
      <w:pPr>
        <w:tabs>
          <w:tab w:val="left" w:pos="142"/>
        </w:tabs>
        <w:rPr>
          <w:rFonts w:ascii="Arial" w:hAnsi="Arial" w:cs="Arial"/>
          <w:b/>
          <w:i/>
          <w:sz w:val="24"/>
          <w:szCs w:val="24"/>
        </w:rPr>
      </w:pPr>
      <w:r>
        <w:rPr>
          <w:rFonts w:ascii="Arial" w:hAnsi="Arial" w:cs="Arial"/>
          <w:b/>
          <w:i/>
          <w:sz w:val="24"/>
          <w:szCs w:val="24"/>
        </w:rPr>
        <w:lastRenderedPageBreak/>
        <w:t>(i)</w:t>
      </w:r>
      <w:r w:rsidR="00095809" w:rsidRPr="008A5FAA">
        <w:rPr>
          <w:rFonts w:ascii="Arial" w:hAnsi="Arial" w:cs="Arial"/>
          <w:b/>
          <w:i/>
          <w:sz w:val="24"/>
          <w:szCs w:val="24"/>
        </w:rPr>
        <w:t>The particular, historical truth of the union of divinity and humanity in the one person of Jesus Christ</w:t>
      </w:r>
    </w:p>
    <w:p w:rsidR="00BF6F93" w:rsidRDefault="00095809" w:rsidP="00095809">
      <w:pPr>
        <w:tabs>
          <w:tab w:val="left" w:pos="142"/>
        </w:tabs>
        <w:rPr>
          <w:rFonts w:ascii="Arial" w:hAnsi="Arial" w:cs="Arial"/>
          <w:sz w:val="24"/>
          <w:szCs w:val="24"/>
        </w:rPr>
      </w:pPr>
      <w:r>
        <w:rPr>
          <w:rFonts w:ascii="Arial" w:hAnsi="Arial" w:cs="Arial"/>
          <w:sz w:val="24"/>
          <w:szCs w:val="24"/>
        </w:rPr>
        <w:t>Barth revised the ancient notions of persons, natures and substances which surfaced throughout the conciliar debates to define the Trinity as one of different modes of being</w:t>
      </w:r>
      <w:r w:rsidR="00F4206F">
        <w:rPr>
          <w:rFonts w:ascii="Arial" w:hAnsi="Arial" w:cs="Arial"/>
          <w:sz w:val="24"/>
          <w:szCs w:val="24"/>
        </w:rPr>
        <w:t xml:space="preserve"> centred in</w:t>
      </w:r>
      <w:r w:rsidR="008A67FB">
        <w:rPr>
          <w:rFonts w:ascii="Arial" w:hAnsi="Arial" w:cs="Arial"/>
          <w:sz w:val="24"/>
          <w:szCs w:val="24"/>
        </w:rPr>
        <w:t xml:space="preserve"> the </w:t>
      </w:r>
      <w:r w:rsidR="008A67FB" w:rsidRPr="00F4206F">
        <w:rPr>
          <w:rFonts w:ascii="Arial" w:hAnsi="Arial" w:cs="Arial"/>
          <w:i/>
          <w:sz w:val="24"/>
          <w:szCs w:val="24"/>
        </w:rPr>
        <w:t>anhypostatic-enhypostatic</w:t>
      </w:r>
      <w:r w:rsidR="008A67FB">
        <w:rPr>
          <w:rFonts w:ascii="Arial" w:hAnsi="Arial" w:cs="Arial"/>
          <w:sz w:val="24"/>
          <w:szCs w:val="24"/>
        </w:rPr>
        <w:t xml:space="preserve"> premise (Shutts 1996)</w:t>
      </w:r>
      <w:r>
        <w:rPr>
          <w:rFonts w:ascii="Arial" w:hAnsi="Arial" w:cs="Arial"/>
          <w:sz w:val="24"/>
          <w:szCs w:val="24"/>
        </w:rPr>
        <w:t xml:space="preserve">.  Thus he largely accepted the doctrine of compositionism whilst not ruling out the instrumentality of Christ acting as God’s agent.  To Barth </w:t>
      </w:r>
      <w:r w:rsidR="00BF6F93">
        <w:rPr>
          <w:rFonts w:ascii="Arial" w:hAnsi="Arial" w:cs="Arial"/>
          <w:sz w:val="24"/>
          <w:szCs w:val="24"/>
        </w:rPr>
        <w:t>the key message of the incarnation was to recognise the ubiquity of the flesh admitting Jesus Christ’s real humanity despite him possessing divinity throughout his existence.  Whilst the hypostatic union remained a mysterious facet its reality through God’s grace and love for mankind through the incarnated Son of God became the basis of Barth’s Christology</w:t>
      </w:r>
      <w:r w:rsidR="00FD1DA6">
        <w:rPr>
          <w:rFonts w:ascii="Arial" w:hAnsi="Arial" w:cs="Arial"/>
          <w:sz w:val="24"/>
          <w:szCs w:val="24"/>
        </w:rPr>
        <w:t xml:space="preserve"> (</w:t>
      </w:r>
      <w:r w:rsidR="00B17C99">
        <w:rPr>
          <w:rFonts w:ascii="Arial" w:hAnsi="Arial" w:cs="Arial"/>
          <w:sz w:val="24"/>
          <w:szCs w:val="24"/>
        </w:rPr>
        <w:t xml:space="preserve">Barth </w:t>
      </w:r>
      <w:r w:rsidR="00627DC6">
        <w:rPr>
          <w:rFonts w:ascii="Arial" w:hAnsi="Arial" w:cs="Arial"/>
          <w:sz w:val="24"/>
          <w:szCs w:val="24"/>
        </w:rPr>
        <w:t>2010 Volume 1/2</w:t>
      </w:r>
      <w:r w:rsidR="00907AB2">
        <w:rPr>
          <w:rFonts w:ascii="Arial" w:hAnsi="Arial" w:cs="Arial"/>
          <w:sz w:val="24"/>
          <w:szCs w:val="24"/>
        </w:rPr>
        <w:t xml:space="preserve">; </w:t>
      </w:r>
      <w:r w:rsidR="004122BD">
        <w:rPr>
          <w:rFonts w:ascii="Arial" w:hAnsi="Arial" w:cs="Arial"/>
          <w:sz w:val="24"/>
          <w:szCs w:val="24"/>
        </w:rPr>
        <w:t xml:space="preserve">Cassidy </w:t>
      </w:r>
      <w:r w:rsidR="008A5FAA">
        <w:rPr>
          <w:rFonts w:ascii="Arial" w:hAnsi="Arial" w:cs="Arial"/>
          <w:sz w:val="24"/>
          <w:szCs w:val="24"/>
        </w:rPr>
        <w:t xml:space="preserve">2017; </w:t>
      </w:r>
      <w:r w:rsidR="00B17C99">
        <w:rPr>
          <w:rFonts w:ascii="Arial" w:hAnsi="Arial" w:cs="Arial"/>
          <w:sz w:val="24"/>
          <w:szCs w:val="24"/>
        </w:rPr>
        <w:t xml:space="preserve">Lang 1998; Moltmann 1993a; </w:t>
      </w:r>
      <w:r w:rsidR="00FD1DA6">
        <w:rPr>
          <w:rFonts w:ascii="Arial" w:hAnsi="Arial" w:cs="Arial"/>
          <w:sz w:val="24"/>
          <w:szCs w:val="24"/>
        </w:rPr>
        <w:t>Sumner 2014)</w:t>
      </w:r>
      <w:r w:rsidR="00BF6F93">
        <w:rPr>
          <w:rFonts w:ascii="Arial" w:hAnsi="Arial" w:cs="Arial"/>
          <w:sz w:val="24"/>
          <w:szCs w:val="24"/>
        </w:rPr>
        <w:t>.</w:t>
      </w:r>
    </w:p>
    <w:p w:rsidR="00FB2389" w:rsidRDefault="00FB2389" w:rsidP="00095809">
      <w:pPr>
        <w:tabs>
          <w:tab w:val="left" w:pos="142"/>
        </w:tabs>
        <w:rPr>
          <w:rFonts w:ascii="Arial" w:hAnsi="Arial" w:cs="Arial"/>
          <w:sz w:val="24"/>
          <w:szCs w:val="24"/>
        </w:rPr>
      </w:pPr>
      <w:r>
        <w:rPr>
          <w:rFonts w:ascii="Arial" w:hAnsi="Arial" w:cs="Arial"/>
          <w:sz w:val="24"/>
          <w:szCs w:val="24"/>
        </w:rPr>
        <w:t xml:space="preserve">In Barth’s prolegomena the </w:t>
      </w:r>
      <w:r w:rsidR="004122BD">
        <w:rPr>
          <w:rFonts w:ascii="Arial" w:hAnsi="Arial" w:cs="Arial"/>
          <w:sz w:val="24"/>
          <w:szCs w:val="24"/>
        </w:rPr>
        <w:t xml:space="preserve">particularity of Christ’s </w:t>
      </w:r>
      <w:r>
        <w:rPr>
          <w:rFonts w:ascii="Arial" w:hAnsi="Arial" w:cs="Arial"/>
          <w:sz w:val="24"/>
          <w:szCs w:val="24"/>
        </w:rPr>
        <w:t>historical truth of the incarnation must also be subjected to dogmatic truth which meant that it was difficult to separate the immanent from the economic in Christological inquiry</w:t>
      </w:r>
      <w:r w:rsidR="004122BD">
        <w:rPr>
          <w:rFonts w:ascii="Arial" w:hAnsi="Arial" w:cs="Arial"/>
          <w:sz w:val="24"/>
          <w:szCs w:val="24"/>
        </w:rPr>
        <w:t xml:space="preserve"> (Hensley </w:t>
      </w:r>
      <w:r w:rsidR="008A5FAA">
        <w:rPr>
          <w:rFonts w:ascii="Arial" w:hAnsi="Arial" w:cs="Arial"/>
          <w:sz w:val="24"/>
          <w:szCs w:val="24"/>
        </w:rPr>
        <w:t xml:space="preserve">2008; </w:t>
      </w:r>
      <w:r w:rsidR="004122BD">
        <w:rPr>
          <w:rFonts w:ascii="Arial" w:hAnsi="Arial" w:cs="Arial"/>
          <w:sz w:val="24"/>
          <w:szCs w:val="24"/>
        </w:rPr>
        <w:t>Kirkland</w:t>
      </w:r>
      <w:r w:rsidR="008A5FAA">
        <w:rPr>
          <w:rFonts w:ascii="Arial" w:hAnsi="Arial" w:cs="Arial"/>
          <w:sz w:val="24"/>
          <w:szCs w:val="24"/>
        </w:rPr>
        <w:t xml:space="preserve"> 2015</w:t>
      </w:r>
      <w:r w:rsidR="004122BD">
        <w:rPr>
          <w:rFonts w:ascii="Arial" w:hAnsi="Arial" w:cs="Arial"/>
          <w:sz w:val="24"/>
          <w:szCs w:val="24"/>
        </w:rPr>
        <w:t>)</w:t>
      </w:r>
      <w:r w:rsidR="008A5FAA">
        <w:rPr>
          <w:rFonts w:ascii="Arial" w:hAnsi="Arial" w:cs="Arial"/>
          <w:sz w:val="24"/>
          <w:szCs w:val="24"/>
        </w:rPr>
        <w:t>.</w:t>
      </w:r>
    </w:p>
    <w:p w:rsidR="00FB2389" w:rsidRDefault="00FB2389" w:rsidP="00095809">
      <w:pPr>
        <w:tabs>
          <w:tab w:val="left" w:pos="142"/>
        </w:tabs>
        <w:rPr>
          <w:rFonts w:ascii="Arial" w:hAnsi="Arial" w:cs="Arial"/>
          <w:sz w:val="24"/>
          <w:szCs w:val="24"/>
        </w:rPr>
      </w:pPr>
      <w:r>
        <w:rPr>
          <w:rFonts w:ascii="Arial" w:hAnsi="Arial" w:cs="Arial"/>
          <w:sz w:val="24"/>
          <w:szCs w:val="24"/>
        </w:rPr>
        <w:t>In taking this direction much of Barth’s stance on the u</w:t>
      </w:r>
      <w:r w:rsidR="004C3834">
        <w:rPr>
          <w:rFonts w:ascii="Arial" w:hAnsi="Arial" w:cs="Arial"/>
          <w:sz w:val="24"/>
          <w:szCs w:val="24"/>
        </w:rPr>
        <w:t xml:space="preserve">nderstanding </w:t>
      </w:r>
      <w:r>
        <w:rPr>
          <w:rFonts w:ascii="Arial" w:hAnsi="Arial" w:cs="Arial"/>
          <w:sz w:val="24"/>
          <w:szCs w:val="24"/>
        </w:rPr>
        <w:t xml:space="preserve">was largely a compromise </w:t>
      </w:r>
      <w:r w:rsidR="004122BD">
        <w:rPr>
          <w:rFonts w:ascii="Arial" w:hAnsi="Arial" w:cs="Arial"/>
          <w:sz w:val="24"/>
          <w:szCs w:val="24"/>
        </w:rPr>
        <w:t>explained in his own unique style</w:t>
      </w:r>
      <w:r w:rsidR="004C3834">
        <w:rPr>
          <w:rFonts w:ascii="Arial" w:hAnsi="Arial" w:cs="Arial"/>
          <w:sz w:val="24"/>
          <w:szCs w:val="24"/>
        </w:rPr>
        <w:t>,</w:t>
      </w:r>
      <w:r w:rsidR="004122BD">
        <w:rPr>
          <w:rFonts w:ascii="Arial" w:hAnsi="Arial" w:cs="Arial"/>
          <w:sz w:val="24"/>
          <w:szCs w:val="24"/>
        </w:rPr>
        <w:t xml:space="preserve"> </w:t>
      </w:r>
      <w:r>
        <w:rPr>
          <w:rFonts w:ascii="Arial" w:hAnsi="Arial" w:cs="Arial"/>
          <w:sz w:val="24"/>
          <w:szCs w:val="24"/>
        </w:rPr>
        <w:t>though he ruled out any attempt to label h</w:t>
      </w:r>
      <w:r w:rsidR="00C211E5">
        <w:rPr>
          <w:rFonts w:ascii="Arial" w:hAnsi="Arial" w:cs="Arial"/>
          <w:sz w:val="24"/>
          <w:szCs w:val="24"/>
        </w:rPr>
        <w:t>im as a Modalist, A</w:t>
      </w:r>
      <w:r w:rsidR="004122BD">
        <w:rPr>
          <w:rFonts w:ascii="Arial" w:hAnsi="Arial" w:cs="Arial"/>
          <w:sz w:val="24"/>
          <w:szCs w:val="24"/>
        </w:rPr>
        <w:t xml:space="preserve">doptionist </w:t>
      </w:r>
      <w:r w:rsidR="00C211E5">
        <w:rPr>
          <w:rFonts w:ascii="Arial" w:hAnsi="Arial" w:cs="Arial"/>
          <w:sz w:val="24"/>
          <w:szCs w:val="24"/>
        </w:rPr>
        <w:t xml:space="preserve">or Subordinationist </w:t>
      </w:r>
      <w:r w:rsidR="004122BD">
        <w:rPr>
          <w:rFonts w:ascii="Arial" w:hAnsi="Arial" w:cs="Arial"/>
          <w:sz w:val="24"/>
          <w:szCs w:val="24"/>
        </w:rPr>
        <w:t>(</w:t>
      </w:r>
      <w:r w:rsidR="00C211E5">
        <w:rPr>
          <w:rFonts w:ascii="Arial" w:hAnsi="Arial" w:cs="Arial"/>
          <w:sz w:val="24"/>
          <w:szCs w:val="24"/>
        </w:rPr>
        <w:t xml:space="preserve">Giles 2001; </w:t>
      </w:r>
      <w:r w:rsidR="004122BD">
        <w:rPr>
          <w:rFonts w:ascii="Arial" w:hAnsi="Arial" w:cs="Arial"/>
          <w:sz w:val="24"/>
          <w:szCs w:val="24"/>
        </w:rPr>
        <w:t xml:space="preserve">Hensley </w:t>
      </w:r>
      <w:r w:rsidR="00CC0430">
        <w:rPr>
          <w:rFonts w:ascii="Arial" w:hAnsi="Arial" w:cs="Arial"/>
          <w:sz w:val="24"/>
          <w:szCs w:val="24"/>
        </w:rPr>
        <w:t xml:space="preserve">2008; </w:t>
      </w:r>
      <w:r w:rsidR="004122BD">
        <w:rPr>
          <w:rFonts w:ascii="Arial" w:hAnsi="Arial" w:cs="Arial"/>
          <w:sz w:val="24"/>
          <w:szCs w:val="24"/>
        </w:rPr>
        <w:t>Hick 2006; Shuster 2002; Weber 1964).  In this he mirrored much of the work of Rahner (</w:t>
      </w:r>
      <w:r w:rsidR="008A5FAA">
        <w:rPr>
          <w:rFonts w:ascii="Arial" w:hAnsi="Arial" w:cs="Arial"/>
          <w:sz w:val="24"/>
          <w:szCs w:val="24"/>
        </w:rPr>
        <w:t xml:space="preserve">Buckley 1986; Molnar 2007; Rahner </w:t>
      </w:r>
      <w:r w:rsidR="004122BD">
        <w:rPr>
          <w:rFonts w:ascii="Arial" w:hAnsi="Arial" w:cs="Arial"/>
          <w:sz w:val="24"/>
          <w:szCs w:val="24"/>
        </w:rPr>
        <w:t>2004).</w:t>
      </w:r>
    </w:p>
    <w:p w:rsidR="008A5FAA" w:rsidRDefault="008A5FAA" w:rsidP="00095809">
      <w:pPr>
        <w:tabs>
          <w:tab w:val="left" w:pos="142"/>
        </w:tabs>
        <w:rPr>
          <w:rFonts w:ascii="Arial" w:hAnsi="Arial" w:cs="Arial"/>
          <w:b/>
          <w:i/>
          <w:sz w:val="24"/>
          <w:szCs w:val="24"/>
        </w:rPr>
      </w:pPr>
      <w:r>
        <w:rPr>
          <w:rFonts w:ascii="Arial" w:hAnsi="Arial" w:cs="Arial"/>
          <w:b/>
          <w:i/>
          <w:sz w:val="24"/>
          <w:szCs w:val="24"/>
        </w:rPr>
        <w:t>(ii)His personal pre-existence</w:t>
      </w:r>
    </w:p>
    <w:p w:rsidR="008A5FAA" w:rsidRDefault="008A67FB" w:rsidP="00095809">
      <w:pPr>
        <w:tabs>
          <w:tab w:val="left" w:pos="142"/>
        </w:tabs>
        <w:rPr>
          <w:rFonts w:ascii="Arial" w:hAnsi="Arial" w:cs="Arial"/>
          <w:sz w:val="24"/>
          <w:szCs w:val="24"/>
        </w:rPr>
      </w:pPr>
      <w:r>
        <w:rPr>
          <w:rFonts w:ascii="Arial" w:hAnsi="Arial" w:cs="Arial"/>
          <w:sz w:val="24"/>
          <w:szCs w:val="24"/>
        </w:rPr>
        <w:t xml:space="preserve">This is one of the most complicated </w:t>
      </w:r>
      <w:r w:rsidR="00DA4D5E">
        <w:rPr>
          <w:rFonts w:ascii="Arial" w:hAnsi="Arial" w:cs="Arial"/>
          <w:sz w:val="24"/>
          <w:szCs w:val="24"/>
        </w:rPr>
        <w:t xml:space="preserve">theological </w:t>
      </w:r>
      <w:r>
        <w:rPr>
          <w:rFonts w:ascii="Arial" w:hAnsi="Arial" w:cs="Arial"/>
          <w:sz w:val="24"/>
          <w:szCs w:val="24"/>
        </w:rPr>
        <w:t xml:space="preserve">debates </w:t>
      </w:r>
      <w:r w:rsidR="00DA4D5E">
        <w:rPr>
          <w:rFonts w:ascii="Arial" w:hAnsi="Arial" w:cs="Arial"/>
          <w:sz w:val="24"/>
          <w:szCs w:val="24"/>
        </w:rPr>
        <w:t>deriving largely from John 1 verses 1 -18</w:t>
      </w:r>
      <w:r w:rsidR="00C7611C">
        <w:rPr>
          <w:rFonts w:ascii="Arial" w:hAnsi="Arial" w:cs="Arial"/>
          <w:sz w:val="24"/>
          <w:szCs w:val="24"/>
        </w:rPr>
        <w:t>.  Barth argued for</w:t>
      </w:r>
      <w:r w:rsidR="00DA4D5E">
        <w:rPr>
          <w:rFonts w:ascii="Arial" w:hAnsi="Arial" w:cs="Arial"/>
          <w:sz w:val="24"/>
          <w:szCs w:val="24"/>
        </w:rPr>
        <w:t xml:space="preserve"> the logic of the Word’s eternity and dismissed Logos asarkos as a myth which belied any notion that there was God behind God.  Christ </w:t>
      </w:r>
      <w:r w:rsidR="00C7611C">
        <w:rPr>
          <w:rFonts w:ascii="Arial" w:hAnsi="Arial" w:cs="Arial"/>
          <w:sz w:val="24"/>
          <w:szCs w:val="24"/>
        </w:rPr>
        <w:t>was divine as well as taking human form a</w:t>
      </w:r>
      <w:r w:rsidR="00FD413A">
        <w:rPr>
          <w:rFonts w:ascii="Arial" w:hAnsi="Arial" w:cs="Arial"/>
          <w:sz w:val="24"/>
          <w:szCs w:val="24"/>
        </w:rPr>
        <w:t>nd as O</w:t>
      </w:r>
      <w:r w:rsidR="00C7611C">
        <w:rPr>
          <w:rFonts w:ascii="Arial" w:hAnsi="Arial" w:cs="Arial"/>
          <w:sz w:val="24"/>
          <w:szCs w:val="24"/>
        </w:rPr>
        <w:t>ne with the Word the only caveat he accepted was the Logos Incarnandus</w:t>
      </w:r>
      <w:r w:rsidR="00627DC6">
        <w:rPr>
          <w:rFonts w:ascii="Arial" w:hAnsi="Arial" w:cs="Arial"/>
          <w:sz w:val="24"/>
          <w:szCs w:val="24"/>
        </w:rPr>
        <w:t xml:space="preserve"> (Barth 2010 Volume IV/2</w:t>
      </w:r>
      <w:r w:rsidR="00BB353A">
        <w:rPr>
          <w:rFonts w:ascii="Arial" w:hAnsi="Arial" w:cs="Arial"/>
          <w:sz w:val="24"/>
          <w:szCs w:val="24"/>
        </w:rPr>
        <w:t xml:space="preserve">; </w:t>
      </w:r>
      <w:r w:rsidR="00C211E5">
        <w:rPr>
          <w:rFonts w:ascii="Arial" w:hAnsi="Arial" w:cs="Arial"/>
          <w:sz w:val="24"/>
          <w:szCs w:val="24"/>
        </w:rPr>
        <w:t>Hector</w:t>
      </w:r>
      <w:r w:rsidR="00825F1D">
        <w:rPr>
          <w:rFonts w:ascii="Arial" w:hAnsi="Arial" w:cs="Arial"/>
          <w:sz w:val="24"/>
          <w:szCs w:val="24"/>
        </w:rPr>
        <w:t xml:space="preserve"> 2012; </w:t>
      </w:r>
      <w:r w:rsidR="00C211E5">
        <w:rPr>
          <w:rFonts w:ascii="Arial" w:hAnsi="Arial" w:cs="Arial"/>
          <w:sz w:val="24"/>
          <w:szCs w:val="24"/>
        </w:rPr>
        <w:t>Hunsinger</w:t>
      </w:r>
      <w:r w:rsidR="00825F1D">
        <w:rPr>
          <w:rFonts w:ascii="Arial" w:hAnsi="Arial" w:cs="Arial"/>
          <w:sz w:val="24"/>
          <w:szCs w:val="24"/>
        </w:rPr>
        <w:t xml:space="preserve"> 2018; </w:t>
      </w:r>
      <w:r w:rsidR="00C211E5">
        <w:rPr>
          <w:rFonts w:ascii="Arial" w:hAnsi="Arial" w:cs="Arial"/>
          <w:sz w:val="24"/>
          <w:szCs w:val="24"/>
        </w:rPr>
        <w:t>Kantzer</w:t>
      </w:r>
      <w:r w:rsidR="001253DC">
        <w:rPr>
          <w:rFonts w:ascii="Arial" w:hAnsi="Arial" w:cs="Arial"/>
          <w:sz w:val="24"/>
          <w:szCs w:val="24"/>
        </w:rPr>
        <w:t xml:space="preserve"> 1958</w:t>
      </w:r>
      <w:r w:rsidR="00C211E5">
        <w:rPr>
          <w:rFonts w:ascii="Arial" w:hAnsi="Arial" w:cs="Arial"/>
          <w:sz w:val="24"/>
          <w:szCs w:val="24"/>
        </w:rPr>
        <w:t xml:space="preserve">; </w:t>
      </w:r>
      <w:r w:rsidR="00BB353A">
        <w:rPr>
          <w:rFonts w:ascii="Arial" w:hAnsi="Arial" w:cs="Arial"/>
          <w:sz w:val="24"/>
          <w:szCs w:val="24"/>
        </w:rPr>
        <w:t>Sumner 2014</w:t>
      </w:r>
      <w:r w:rsidR="00C211E5">
        <w:rPr>
          <w:rFonts w:ascii="Arial" w:hAnsi="Arial" w:cs="Arial"/>
          <w:sz w:val="24"/>
          <w:szCs w:val="24"/>
        </w:rPr>
        <w:t>; Webb 2011</w:t>
      </w:r>
      <w:r w:rsidR="00627DC6">
        <w:rPr>
          <w:rFonts w:ascii="Arial" w:hAnsi="Arial" w:cs="Arial"/>
          <w:sz w:val="24"/>
          <w:szCs w:val="24"/>
        </w:rPr>
        <w:t>)</w:t>
      </w:r>
      <w:r w:rsidR="00C7611C">
        <w:rPr>
          <w:rFonts w:ascii="Arial" w:hAnsi="Arial" w:cs="Arial"/>
          <w:sz w:val="24"/>
          <w:szCs w:val="24"/>
        </w:rPr>
        <w:t xml:space="preserve">.  </w:t>
      </w:r>
    </w:p>
    <w:p w:rsidR="00BB353A" w:rsidRDefault="00BB353A" w:rsidP="00095809">
      <w:pPr>
        <w:tabs>
          <w:tab w:val="left" w:pos="142"/>
        </w:tabs>
        <w:rPr>
          <w:rFonts w:ascii="Arial" w:hAnsi="Arial" w:cs="Arial"/>
          <w:sz w:val="24"/>
          <w:szCs w:val="24"/>
        </w:rPr>
      </w:pPr>
      <w:r>
        <w:rPr>
          <w:rFonts w:ascii="Arial" w:hAnsi="Arial" w:cs="Arial"/>
          <w:sz w:val="24"/>
          <w:szCs w:val="24"/>
        </w:rPr>
        <w:t>In taking this position Barth linked his understanding of the incarnation with Christ’</w:t>
      </w:r>
      <w:r w:rsidR="00E12C88">
        <w:rPr>
          <w:rFonts w:ascii="Arial" w:hAnsi="Arial" w:cs="Arial"/>
          <w:sz w:val="24"/>
          <w:szCs w:val="24"/>
        </w:rPr>
        <w:t xml:space="preserve">s election by God making him both the object and subject </w:t>
      </w:r>
      <w:r w:rsidR="00C211E5">
        <w:rPr>
          <w:rFonts w:ascii="Arial" w:hAnsi="Arial" w:cs="Arial"/>
          <w:sz w:val="24"/>
          <w:szCs w:val="24"/>
        </w:rPr>
        <w:t xml:space="preserve">of that act </w:t>
      </w:r>
      <w:r w:rsidR="00E12C88">
        <w:rPr>
          <w:rFonts w:ascii="Arial" w:hAnsi="Arial" w:cs="Arial"/>
          <w:sz w:val="24"/>
          <w:szCs w:val="24"/>
        </w:rPr>
        <w:t>and his eschat</w:t>
      </w:r>
      <w:r w:rsidR="00C211E5">
        <w:rPr>
          <w:rFonts w:ascii="Arial" w:hAnsi="Arial" w:cs="Arial"/>
          <w:sz w:val="24"/>
          <w:szCs w:val="24"/>
        </w:rPr>
        <w:t xml:space="preserve">ological importance including </w:t>
      </w:r>
      <w:r w:rsidR="00386BA6">
        <w:rPr>
          <w:rFonts w:ascii="Arial" w:hAnsi="Arial" w:cs="Arial"/>
          <w:i/>
          <w:sz w:val="24"/>
          <w:szCs w:val="24"/>
        </w:rPr>
        <w:t>P</w:t>
      </w:r>
      <w:r w:rsidR="00E12C88" w:rsidRPr="00386BA6">
        <w:rPr>
          <w:rFonts w:ascii="Arial" w:hAnsi="Arial" w:cs="Arial"/>
          <w:i/>
          <w:sz w:val="24"/>
          <w:szCs w:val="24"/>
        </w:rPr>
        <w:t>arousia</w:t>
      </w:r>
      <w:r w:rsidR="00E12C88">
        <w:rPr>
          <w:rFonts w:ascii="Arial" w:hAnsi="Arial" w:cs="Arial"/>
          <w:sz w:val="24"/>
          <w:szCs w:val="24"/>
        </w:rPr>
        <w:t xml:space="preserve">, </w:t>
      </w:r>
      <w:r w:rsidR="00C211E5">
        <w:rPr>
          <w:rFonts w:ascii="Arial" w:hAnsi="Arial" w:cs="Arial"/>
          <w:sz w:val="24"/>
          <w:szCs w:val="24"/>
        </w:rPr>
        <w:t xml:space="preserve">his </w:t>
      </w:r>
      <w:r w:rsidR="00E12C88">
        <w:rPr>
          <w:rFonts w:ascii="Arial" w:hAnsi="Arial" w:cs="Arial"/>
          <w:sz w:val="24"/>
          <w:szCs w:val="24"/>
        </w:rPr>
        <w:t>second coming</w:t>
      </w:r>
      <w:r w:rsidR="00C211E5">
        <w:rPr>
          <w:rFonts w:ascii="Arial" w:hAnsi="Arial" w:cs="Arial"/>
          <w:sz w:val="24"/>
          <w:szCs w:val="24"/>
        </w:rPr>
        <w:t xml:space="preserve"> (Neder  2009; van Driel 2007)</w:t>
      </w:r>
      <w:r w:rsidR="001253DC">
        <w:rPr>
          <w:rFonts w:ascii="Arial" w:hAnsi="Arial" w:cs="Arial"/>
          <w:sz w:val="24"/>
          <w:szCs w:val="24"/>
        </w:rPr>
        <w:t>.</w:t>
      </w:r>
    </w:p>
    <w:p w:rsidR="001253DC" w:rsidRDefault="001253DC" w:rsidP="00095809">
      <w:pPr>
        <w:tabs>
          <w:tab w:val="left" w:pos="142"/>
        </w:tabs>
        <w:rPr>
          <w:rFonts w:ascii="Arial" w:hAnsi="Arial" w:cs="Arial"/>
          <w:b/>
          <w:i/>
          <w:sz w:val="24"/>
          <w:szCs w:val="24"/>
        </w:rPr>
      </w:pPr>
      <w:r>
        <w:rPr>
          <w:rFonts w:ascii="Arial" w:hAnsi="Arial" w:cs="Arial"/>
          <w:b/>
          <w:i/>
          <w:sz w:val="24"/>
          <w:szCs w:val="24"/>
        </w:rPr>
        <w:t>(iii)The paradox in holding the Chalcedonian teaching of Jesus being truly divine and fully human</w:t>
      </w:r>
    </w:p>
    <w:p w:rsidR="001253DC" w:rsidRDefault="009573B0" w:rsidP="00095809">
      <w:pPr>
        <w:tabs>
          <w:tab w:val="left" w:pos="142"/>
        </w:tabs>
        <w:rPr>
          <w:rFonts w:ascii="Arial" w:hAnsi="Arial" w:cs="Arial"/>
          <w:sz w:val="24"/>
          <w:szCs w:val="24"/>
        </w:rPr>
      </w:pPr>
      <w:r>
        <w:rPr>
          <w:rFonts w:ascii="Arial" w:hAnsi="Arial" w:cs="Arial"/>
          <w:sz w:val="24"/>
          <w:szCs w:val="24"/>
        </w:rPr>
        <w:t xml:space="preserve">The debate at Chalcedon crystallised the Western Church’s support for the Trinity and the hypostatic union.  Barth acquiesced </w:t>
      </w:r>
      <w:r w:rsidR="00C17F2D">
        <w:rPr>
          <w:rFonts w:ascii="Arial" w:hAnsi="Arial" w:cs="Arial"/>
          <w:sz w:val="24"/>
          <w:szCs w:val="24"/>
        </w:rPr>
        <w:t>to this point of view</w:t>
      </w:r>
      <w:r>
        <w:rPr>
          <w:rFonts w:ascii="Arial" w:hAnsi="Arial" w:cs="Arial"/>
          <w:sz w:val="24"/>
          <w:szCs w:val="24"/>
        </w:rPr>
        <w:t xml:space="preserve"> but critically examined the implications.</w:t>
      </w:r>
      <w:r w:rsidR="00C17F2D">
        <w:rPr>
          <w:rFonts w:ascii="Arial" w:hAnsi="Arial" w:cs="Arial"/>
          <w:sz w:val="24"/>
          <w:szCs w:val="24"/>
        </w:rPr>
        <w:t xml:space="preserve">  He supported the idea of Anselm of Christ being </w:t>
      </w:r>
      <w:r w:rsidR="007D356D">
        <w:rPr>
          <w:rFonts w:ascii="Arial" w:hAnsi="Arial" w:cs="Arial"/>
          <w:i/>
          <w:sz w:val="24"/>
          <w:szCs w:val="24"/>
        </w:rPr>
        <w:t>Vere Deus V</w:t>
      </w:r>
      <w:r w:rsidR="00C17F2D" w:rsidRPr="007D356D">
        <w:rPr>
          <w:rFonts w:ascii="Arial" w:hAnsi="Arial" w:cs="Arial"/>
          <w:i/>
          <w:sz w:val="24"/>
          <w:szCs w:val="24"/>
        </w:rPr>
        <w:t>ere homo</w:t>
      </w:r>
      <w:r>
        <w:rPr>
          <w:rFonts w:ascii="Arial" w:hAnsi="Arial" w:cs="Arial"/>
          <w:sz w:val="24"/>
          <w:szCs w:val="24"/>
        </w:rPr>
        <w:t xml:space="preserve"> </w:t>
      </w:r>
      <w:r w:rsidR="00031E6D">
        <w:rPr>
          <w:rFonts w:ascii="Arial" w:hAnsi="Arial" w:cs="Arial"/>
          <w:sz w:val="24"/>
          <w:szCs w:val="24"/>
        </w:rPr>
        <w:t xml:space="preserve">(2016) which stressed Christ’s divinity yet taking human form </w:t>
      </w:r>
      <w:r w:rsidR="00C17F2D">
        <w:rPr>
          <w:rFonts w:ascii="Arial" w:hAnsi="Arial" w:cs="Arial"/>
          <w:sz w:val="24"/>
          <w:szCs w:val="24"/>
        </w:rPr>
        <w:lastRenderedPageBreak/>
        <w:t xml:space="preserve">seeking to work through an </w:t>
      </w:r>
      <w:r w:rsidR="00C17F2D" w:rsidRPr="00C17F2D">
        <w:rPr>
          <w:rFonts w:ascii="Arial" w:hAnsi="Arial" w:cs="Arial"/>
          <w:i/>
          <w:sz w:val="24"/>
          <w:szCs w:val="24"/>
        </w:rPr>
        <w:t xml:space="preserve">accipiendo medium </w:t>
      </w:r>
      <w:r w:rsidR="00C17F2D">
        <w:rPr>
          <w:rFonts w:ascii="Arial" w:hAnsi="Arial" w:cs="Arial"/>
          <w:sz w:val="24"/>
          <w:szCs w:val="24"/>
        </w:rPr>
        <w:t>away from either extreme of Modernists or Traditionialists (Boersma 1990)</w:t>
      </w:r>
      <w:r w:rsidR="00931C67">
        <w:rPr>
          <w:rFonts w:ascii="Arial" w:hAnsi="Arial" w:cs="Arial"/>
          <w:sz w:val="24"/>
          <w:szCs w:val="24"/>
        </w:rPr>
        <w:t xml:space="preserve"> and sought an updated Cyrillian outcome </w:t>
      </w:r>
      <w:r w:rsidR="00031E6D">
        <w:rPr>
          <w:rFonts w:ascii="Arial" w:hAnsi="Arial" w:cs="Arial"/>
          <w:sz w:val="24"/>
          <w:szCs w:val="24"/>
        </w:rPr>
        <w:t xml:space="preserve">of conciliar </w:t>
      </w:r>
      <w:r w:rsidR="003D7AA9">
        <w:rPr>
          <w:rFonts w:ascii="Arial" w:hAnsi="Arial" w:cs="Arial"/>
          <w:sz w:val="24"/>
          <w:szCs w:val="24"/>
        </w:rPr>
        <w:t xml:space="preserve">credo </w:t>
      </w:r>
      <w:r w:rsidR="00931C67">
        <w:rPr>
          <w:rFonts w:ascii="Arial" w:hAnsi="Arial" w:cs="Arial"/>
          <w:sz w:val="24"/>
          <w:szCs w:val="24"/>
        </w:rPr>
        <w:t>(Sumner 2014)</w:t>
      </w:r>
      <w:r w:rsidR="00C17F2D">
        <w:rPr>
          <w:rFonts w:ascii="Arial" w:hAnsi="Arial" w:cs="Arial"/>
          <w:sz w:val="24"/>
          <w:szCs w:val="24"/>
        </w:rPr>
        <w:t xml:space="preserve">.  Where Barth opened up his own terrain was with regard to the need to see the actions of God, Christ and Holy Spirit as </w:t>
      </w:r>
      <w:r w:rsidR="00931C67">
        <w:rPr>
          <w:rFonts w:ascii="Arial" w:hAnsi="Arial" w:cs="Arial"/>
          <w:sz w:val="24"/>
          <w:szCs w:val="24"/>
        </w:rPr>
        <w:t xml:space="preserve">a </w:t>
      </w:r>
      <w:r w:rsidR="00C17F2D">
        <w:rPr>
          <w:rFonts w:ascii="Arial" w:hAnsi="Arial" w:cs="Arial"/>
          <w:sz w:val="24"/>
          <w:szCs w:val="24"/>
        </w:rPr>
        <w:t xml:space="preserve">dynamic </w:t>
      </w:r>
      <w:r w:rsidR="00931C67">
        <w:rPr>
          <w:rFonts w:ascii="Arial" w:hAnsi="Arial" w:cs="Arial"/>
          <w:sz w:val="24"/>
          <w:szCs w:val="24"/>
        </w:rPr>
        <w:t xml:space="preserve">ontology </w:t>
      </w:r>
      <w:r w:rsidR="00C17F2D">
        <w:rPr>
          <w:rFonts w:ascii="Arial" w:hAnsi="Arial" w:cs="Arial"/>
          <w:sz w:val="24"/>
          <w:szCs w:val="24"/>
        </w:rPr>
        <w:t>rather than static in their mode of operation, a metaphysical trope</w:t>
      </w:r>
      <w:r w:rsidR="00931C67">
        <w:rPr>
          <w:rFonts w:ascii="Arial" w:hAnsi="Arial" w:cs="Arial"/>
          <w:sz w:val="24"/>
          <w:szCs w:val="24"/>
        </w:rPr>
        <w:t xml:space="preserve"> and one that fitted his dogmatic theology (</w:t>
      </w:r>
      <w:r w:rsidR="00031E6D">
        <w:rPr>
          <w:rFonts w:ascii="Arial" w:hAnsi="Arial" w:cs="Arial"/>
          <w:sz w:val="24"/>
          <w:szCs w:val="24"/>
        </w:rPr>
        <w:t xml:space="preserve">Hunsinger 2008; Mangina 2003; </w:t>
      </w:r>
      <w:r w:rsidR="00931C67">
        <w:rPr>
          <w:rFonts w:ascii="Arial" w:hAnsi="Arial" w:cs="Arial"/>
          <w:sz w:val="24"/>
          <w:szCs w:val="24"/>
        </w:rPr>
        <w:t xml:space="preserve">O’Collins 2002; Sumner 2014).  </w:t>
      </w:r>
    </w:p>
    <w:p w:rsidR="00806AB8" w:rsidRDefault="00806AB8" w:rsidP="00806AB8">
      <w:pPr>
        <w:tabs>
          <w:tab w:val="left" w:pos="142"/>
        </w:tabs>
        <w:rPr>
          <w:rFonts w:ascii="Arial" w:hAnsi="Arial" w:cs="Arial"/>
          <w:b/>
          <w:i/>
          <w:sz w:val="24"/>
          <w:szCs w:val="24"/>
        </w:rPr>
      </w:pPr>
      <w:r w:rsidRPr="00806AB8">
        <w:rPr>
          <w:rFonts w:ascii="Arial" w:hAnsi="Arial" w:cs="Arial"/>
          <w:b/>
          <w:i/>
          <w:sz w:val="24"/>
          <w:szCs w:val="24"/>
        </w:rPr>
        <w:t>(iv)The objection that the incarnation entails unfairness on the part of God</w:t>
      </w:r>
    </w:p>
    <w:p w:rsidR="00806AB8" w:rsidRDefault="00806AB8" w:rsidP="00806AB8">
      <w:pPr>
        <w:tabs>
          <w:tab w:val="left" w:pos="142"/>
        </w:tabs>
        <w:rPr>
          <w:rFonts w:ascii="Arial" w:hAnsi="Arial" w:cs="Arial"/>
          <w:sz w:val="24"/>
          <w:szCs w:val="24"/>
        </w:rPr>
      </w:pPr>
      <w:r>
        <w:rPr>
          <w:rFonts w:ascii="Arial" w:hAnsi="Arial" w:cs="Arial"/>
          <w:sz w:val="24"/>
          <w:szCs w:val="24"/>
        </w:rPr>
        <w:t>God’s sovereignty</w:t>
      </w:r>
      <w:r w:rsidR="000D7AE6">
        <w:rPr>
          <w:rFonts w:ascii="Arial" w:hAnsi="Arial" w:cs="Arial"/>
          <w:sz w:val="24"/>
          <w:szCs w:val="24"/>
        </w:rPr>
        <w:t xml:space="preserve">, sinlessness </w:t>
      </w:r>
      <w:r>
        <w:rPr>
          <w:rFonts w:ascii="Arial" w:hAnsi="Arial" w:cs="Arial"/>
          <w:sz w:val="24"/>
          <w:szCs w:val="24"/>
        </w:rPr>
        <w:t xml:space="preserve">and his absolute authority and power underwrote all of Barth’s </w:t>
      </w:r>
      <w:r w:rsidR="00F13C59">
        <w:rPr>
          <w:rFonts w:ascii="Arial" w:hAnsi="Arial" w:cs="Arial"/>
          <w:sz w:val="24"/>
          <w:szCs w:val="24"/>
        </w:rPr>
        <w:t xml:space="preserve">revelatory </w:t>
      </w:r>
      <w:r>
        <w:rPr>
          <w:rFonts w:ascii="Arial" w:hAnsi="Arial" w:cs="Arial"/>
          <w:sz w:val="24"/>
          <w:szCs w:val="24"/>
        </w:rPr>
        <w:t xml:space="preserve">theology.  This was </w:t>
      </w:r>
      <w:r w:rsidR="000D7AE6">
        <w:rPr>
          <w:rFonts w:ascii="Arial" w:hAnsi="Arial" w:cs="Arial"/>
          <w:sz w:val="24"/>
          <w:szCs w:val="24"/>
        </w:rPr>
        <w:t xml:space="preserve">the </w:t>
      </w:r>
      <w:r>
        <w:rPr>
          <w:rFonts w:ascii="Arial" w:hAnsi="Arial" w:cs="Arial"/>
          <w:sz w:val="24"/>
          <w:szCs w:val="24"/>
        </w:rPr>
        <w:t>basis of his treatment of Jesus Christ as God’s obedient S</w:t>
      </w:r>
      <w:r w:rsidR="000D7AE6">
        <w:rPr>
          <w:rFonts w:ascii="Arial" w:hAnsi="Arial" w:cs="Arial"/>
          <w:sz w:val="24"/>
          <w:szCs w:val="24"/>
        </w:rPr>
        <w:t xml:space="preserve">on </w:t>
      </w:r>
      <w:r>
        <w:rPr>
          <w:rFonts w:ascii="Arial" w:hAnsi="Arial" w:cs="Arial"/>
          <w:sz w:val="24"/>
          <w:szCs w:val="24"/>
        </w:rPr>
        <w:t>brought to earth to serve the purpose of atonement for humanity’</w:t>
      </w:r>
      <w:r w:rsidR="00F13C59">
        <w:rPr>
          <w:rFonts w:ascii="Arial" w:hAnsi="Arial" w:cs="Arial"/>
          <w:sz w:val="24"/>
          <w:szCs w:val="24"/>
        </w:rPr>
        <w:t>s sins.  In his exegesis Barth sought to prove that Christ was God’s equal given freedom to act and although his death was both pre-ordained and sacrificial this demonstrated his act of condescension towards mankind rather than any unfairness on his part</w:t>
      </w:r>
      <w:r w:rsidR="002050C0">
        <w:rPr>
          <w:rFonts w:ascii="Arial" w:hAnsi="Arial" w:cs="Arial"/>
          <w:sz w:val="24"/>
          <w:szCs w:val="24"/>
        </w:rPr>
        <w:t xml:space="preserve"> (Boersma 1990; </w:t>
      </w:r>
      <w:r w:rsidR="001C64D4">
        <w:rPr>
          <w:rFonts w:ascii="Arial" w:hAnsi="Arial" w:cs="Arial"/>
          <w:sz w:val="24"/>
          <w:szCs w:val="24"/>
        </w:rPr>
        <w:t>Neder</w:t>
      </w:r>
      <w:r w:rsidR="00B4542F">
        <w:rPr>
          <w:rFonts w:ascii="Arial" w:hAnsi="Arial" w:cs="Arial"/>
          <w:sz w:val="24"/>
          <w:szCs w:val="24"/>
        </w:rPr>
        <w:t xml:space="preserve"> 2009; </w:t>
      </w:r>
      <w:r w:rsidR="001C64D4">
        <w:rPr>
          <w:rFonts w:ascii="Arial" w:hAnsi="Arial" w:cs="Arial"/>
          <w:sz w:val="24"/>
          <w:szCs w:val="24"/>
        </w:rPr>
        <w:t xml:space="preserve"> </w:t>
      </w:r>
      <w:r w:rsidR="002050C0">
        <w:rPr>
          <w:rFonts w:ascii="Arial" w:hAnsi="Arial" w:cs="Arial"/>
          <w:sz w:val="24"/>
          <w:szCs w:val="24"/>
        </w:rPr>
        <w:t>Sumner 2014).</w:t>
      </w:r>
    </w:p>
    <w:p w:rsidR="00F13C59" w:rsidRDefault="00F13C59" w:rsidP="00806AB8">
      <w:pPr>
        <w:tabs>
          <w:tab w:val="left" w:pos="142"/>
        </w:tabs>
        <w:rPr>
          <w:rFonts w:ascii="Arial" w:hAnsi="Arial" w:cs="Arial"/>
          <w:sz w:val="24"/>
          <w:szCs w:val="24"/>
        </w:rPr>
      </w:pPr>
      <w:r>
        <w:rPr>
          <w:rFonts w:ascii="Arial" w:hAnsi="Arial" w:cs="Arial"/>
          <w:sz w:val="24"/>
          <w:szCs w:val="24"/>
        </w:rPr>
        <w:t xml:space="preserve">The very act of sending his Only Son incarnate in to the World </w:t>
      </w:r>
      <w:r w:rsidR="000D7AE6">
        <w:rPr>
          <w:rFonts w:ascii="Arial" w:hAnsi="Arial" w:cs="Arial"/>
          <w:sz w:val="24"/>
          <w:szCs w:val="24"/>
        </w:rPr>
        <w:t>gave voice to God’s</w:t>
      </w:r>
      <w:r w:rsidR="00E54FD4">
        <w:rPr>
          <w:rFonts w:ascii="Arial" w:hAnsi="Arial" w:cs="Arial"/>
          <w:sz w:val="24"/>
          <w:szCs w:val="24"/>
        </w:rPr>
        <w:t xml:space="preserve"> </w:t>
      </w:r>
      <w:r w:rsidR="000D7AE6">
        <w:rPr>
          <w:rFonts w:ascii="Arial" w:hAnsi="Arial" w:cs="Arial"/>
          <w:sz w:val="24"/>
          <w:szCs w:val="24"/>
        </w:rPr>
        <w:t>love for humanity and his willingness to see him suffer on the cross gave meaning to how far he was prepared to go to try to overcome human failings.</w:t>
      </w:r>
      <w:r w:rsidR="00C54FBD">
        <w:rPr>
          <w:rFonts w:ascii="Arial" w:hAnsi="Arial" w:cs="Arial"/>
          <w:sz w:val="24"/>
          <w:szCs w:val="24"/>
        </w:rPr>
        <w:t xml:space="preserve">  Barth’s doctrine was largely apophatic addressing dilemmas such as God’s impassibilism, the role of the Holy Spirit, his opposition to </w:t>
      </w:r>
      <w:r w:rsidR="00C54FBD">
        <w:rPr>
          <w:rFonts w:ascii="Arial" w:hAnsi="Arial" w:cs="Arial"/>
          <w:i/>
          <w:sz w:val="24"/>
          <w:szCs w:val="24"/>
        </w:rPr>
        <w:t xml:space="preserve">kenosis, </w:t>
      </w:r>
      <w:r w:rsidR="001C64D4">
        <w:rPr>
          <w:rFonts w:ascii="Arial" w:hAnsi="Arial" w:cs="Arial"/>
          <w:sz w:val="24"/>
          <w:szCs w:val="24"/>
        </w:rPr>
        <w:t xml:space="preserve">whether Jesus was bound to be impeccable, </w:t>
      </w:r>
      <w:r w:rsidR="003A4F32">
        <w:rPr>
          <w:rFonts w:ascii="Arial" w:hAnsi="Arial" w:cs="Arial"/>
          <w:sz w:val="24"/>
          <w:szCs w:val="24"/>
        </w:rPr>
        <w:t>the danger of an imperialistic outlook to the incarnation and why it was wrong to deny the importance of God’s covenant with Israel</w:t>
      </w:r>
      <w:r w:rsidR="001C64D4">
        <w:rPr>
          <w:rFonts w:ascii="Arial" w:hAnsi="Arial" w:cs="Arial"/>
          <w:sz w:val="24"/>
          <w:szCs w:val="24"/>
        </w:rPr>
        <w:t xml:space="preserve"> (Barth Volume 1/2; </w:t>
      </w:r>
      <w:r w:rsidR="008D3449">
        <w:rPr>
          <w:rFonts w:ascii="Arial" w:hAnsi="Arial" w:cs="Arial"/>
          <w:sz w:val="24"/>
          <w:szCs w:val="24"/>
        </w:rPr>
        <w:t xml:space="preserve">Busch 2004; </w:t>
      </w:r>
      <w:r w:rsidR="001C64D4">
        <w:rPr>
          <w:rFonts w:ascii="Arial" w:hAnsi="Arial" w:cs="Arial"/>
          <w:sz w:val="24"/>
          <w:szCs w:val="24"/>
        </w:rPr>
        <w:t>Evans 2006; Neder 2009; O’Collins 2002</w:t>
      </w:r>
      <w:r w:rsidR="008D3449">
        <w:rPr>
          <w:rFonts w:ascii="Arial" w:hAnsi="Arial" w:cs="Arial"/>
          <w:sz w:val="24"/>
          <w:szCs w:val="24"/>
        </w:rPr>
        <w:t>; Shuster 2002</w:t>
      </w:r>
      <w:r w:rsidR="00580BB5">
        <w:rPr>
          <w:rFonts w:ascii="Arial" w:hAnsi="Arial" w:cs="Arial"/>
          <w:sz w:val="24"/>
          <w:szCs w:val="24"/>
        </w:rPr>
        <w:t>; Thompson and Plantinga 2006</w:t>
      </w:r>
      <w:r w:rsidR="008D3449">
        <w:rPr>
          <w:rFonts w:ascii="Arial" w:hAnsi="Arial" w:cs="Arial"/>
          <w:sz w:val="24"/>
          <w:szCs w:val="24"/>
        </w:rPr>
        <w:t>)</w:t>
      </w:r>
      <w:r w:rsidR="003A4F32">
        <w:rPr>
          <w:rFonts w:ascii="Arial" w:hAnsi="Arial" w:cs="Arial"/>
          <w:sz w:val="24"/>
          <w:szCs w:val="24"/>
        </w:rPr>
        <w:t>.</w:t>
      </w:r>
    </w:p>
    <w:p w:rsidR="00D01A75" w:rsidRDefault="00D01A75" w:rsidP="00806AB8">
      <w:pPr>
        <w:tabs>
          <w:tab w:val="left" w:pos="142"/>
        </w:tabs>
        <w:rPr>
          <w:rFonts w:ascii="Arial" w:hAnsi="Arial" w:cs="Arial"/>
          <w:b/>
          <w:i/>
          <w:sz w:val="24"/>
          <w:szCs w:val="24"/>
        </w:rPr>
      </w:pPr>
      <w:r>
        <w:rPr>
          <w:rFonts w:ascii="Arial" w:hAnsi="Arial" w:cs="Arial"/>
          <w:b/>
          <w:i/>
          <w:sz w:val="24"/>
          <w:szCs w:val="24"/>
        </w:rPr>
        <w:t>(v)The divine and human wills and minds of Christ in their sinless harmony</w:t>
      </w:r>
    </w:p>
    <w:p w:rsidR="00B83736" w:rsidRDefault="00B4542F" w:rsidP="00806AB8">
      <w:pPr>
        <w:tabs>
          <w:tab w:val="left" w:pos="142"/>
        </w:tabs>
        <w:rPr>
          <w:rFonts w:ascii="Arial" w:hAnsi="Arial" w:cs="Arial"/>
          <w:sz w:val="24"/>
          <w:szCs w:val="24"/>
        </w:rPr>
      </w:pPr>
      <w:r>
        <w:rPr>
          <w:rFonts w:ascii="Arial" w:hAnsi="Arial" w:cs="Arial"/>
          <w:sz w:val="24"/>
          <w:szCs w:val="24"/>
        </w:rPr>
        <w:t xml:space="preserve">Barth’s actualism was both epistemically and ontologically doctrinal and had as its core the avoidance of abstraction about Christ.  Therefore the dialectical unity of Christ with God meant that as Christ became human there must be no separation of the will or mind of Christ from either his human or divine self (Sumner 2014).  Again much of the focus of Barth’s argument revolved around the election of Christ by God, how this was only possible because of the granting of free will but that in taking </w:t>
      </w:r>
      <w:r w:rsidR="004D3ACF">
        <w:rPr>
          <w:rFonts w:ascii="Arial" w:hAnsi="Arial" w:cs="Arial"/>
          <w:sz w:val="24"/>
          <w:szCs w:val="24"/>
        </w:rPr>
        <w:t xml:space="preserve">corporeal </w:t>
      </w:r>
      <w:r>
        <w:rPr>
          <w:rFonts w:ascii="Arial" w:hAnsi="Arial" w:cs="Arial"/>
          <w:sz w:val="24"/>
          <w:szCs w:val="24"/>
        </w:rPr>
        <w:t xml:space="preserve">flesh the threat of </w:t>
      </w:r>
      <w:r w:rsidR="00EF51B5">
        <w:rPr>
          <w:rFonts w:ascii="Arial" w:hAnsi="Arial" w:cs="Arial"/>
          <w:i/>
          <w:sz w:val="24"/>
          <w:szCs w:val="24"/>
        </w:rPr>
        <w:t xml:space="preserve">non passe peccare </w:t>
      </w:r>
      <w:r w:rsidR="004D3ACF">
        <w:rPr>
          <w:rFonts w:ascii="Arial" w:hAnsi="Arial" w:cs="Arial"/>
          <w:sz w:val="24"/>
          <w:szCs w:val="24"/>
        </w:rPr>
        <w:t xml:space="preserve">arose </w:t>
      </w:r>
      <w:r w:rsidR="004852B9">
        <w:rPr>
          <w:rFonts w:ascii="Arial" w:hAnsi="Arial" w:cs="Arial"/>
          <w:sz w:val="24"/>
          <w:szCs w:val="24"/>
        </w:rPr>
        <w:t>(</w:t>
      </w:r>
      <w:r w:rsidR="00EF51B5">
        <w:rPr>
          <w:rFonts w:ascii="Arial" w:hAnsi="Arial" w:cs="Arial"/>
          <w:sz w:val="24"/>
          <w:szCs w:val="24"/>
        </w:rPr>
        <w:t xml:space="preserve">Boersma 1990).  </w:t>
      </w:r>
      <w:r w:rsidR="004852B9">
        <w:rPr>
          <w:rFonts w:ascii="Arial" w:hAnsi="Arial" w:cs="Arial"/>
          <w:sz w:val="24"/>
          <w:szCs w:val="24"/>
        </w:rPr>
        <w:t>Thus</w:t>
      </w:r>
      <w:r w:rsidR="00B0431D">
        <w:rPr>
          <w:rFonts w:ascii="Arial" w:hAnsi="Arial" w:cs="Arial"/>
          <w:sz w:val="24"/>
          <w:szCs w:val="24"/>
        </w:rPr>
        <w:t xml:space="preserve"> Barth reveals a debt to Idealist Philosophy specifically Hegel and Feuerbach</w:t>
      </w:r>
      <w:r w:rsidR="007B02E4">
        <w:rPr>
          <w:rFonts w:ascii="Arial" w:hAnsi="Arial" w:cs="Arial"/>
          <w:sz w:val="24"/>
          <w:szCs w:val="24"/>
        </w:rPr>
        <w:t xml:space="preserve"> alongside his continued reference to the ideas of Plato and Kant </w:t>
      </w:r>
      <w:r w:rsidR="00B0431D">
        <w:rPr>
          <w:rFonts w:ascii="Arial" w:hAnsi="Arial" w:cs="Arial"/>
          <w:sz w:val="24"/>
          <w:szCs w:val="24"/>
        </w:rPr>
        <w:t>(Bursch 2004; Moltmann 1993b</w:t>
      </w:r>
      <w:r w:rsidR="007B02E4">
        <w:rPr>
          <w:rFonts w:ascii="Arial" w:hAnsi="Arial" w:cs="Arial"/>
          <w:sz w:val="24"/>
          <w:szCs w:val="24"/>
        </w:rPr>
        <w:t>; Thompson 1991; van Driel 2007</w:t>
      </w:r>
      <w:r w:rsidR="00B0431D">
        <w:rPr>
          <w:rFonts w:ascii="Arial" w:hAnsi="Arial" w:cs="Arial"/>
          <w:sz w:val="24"/>
          <w:szCs w:val="24"/>
        </w:rPr>
        <w:t>).</w:t>
      </w:r>
    </w:p>
    <w:p w:rsidR="004D3ACF" w:rsidRDefault="004D3ACF" w:rsidP="00806AB8">
      <w:pPr>
        <w:tabs>
          <w:tab w:val="left" w:pos="142"/>
        </w:tabs>
        <w:rPr>
          <w:rFonts w:ascii="Arial" w:hAnsi="Arial" w:cs="Arial"/>
          <w:sz w:val="24"/>
          <w:szCs w:val="24"/>
        </w:rPr>
      </w:pPr>
      <w:r>
        <w:rPr>
          <w:rFonts w:ascii="Arial" w:hAnsi="Arial" w:cs="Arial"/>
          <w:sz w:val="24"/>
          <w:szCs w:val="24"/>
        </w:rPr>
        <w:t>Crucial to this whole debate was the sequencing of Christ’s life and how that was reported biblically</w:t>
      </w:r>
      <w:r w:rsidR="007B02E4">
        <w:rPr>
          <w:rFonts w:ascii="Arial" w:hAnsi="Arial" w:cs="Arial"/>
          <w:sz w:val="24"/>
          <w:szCs w:val="24"/>
        </w:rPr>
        <w:t xml:space="preserve"> (Barth Volume 1/1)</w:t>
      </w:r>
      <w:r>
        <w:rPr>
          <w:rFonts w:ascii="Arial" w:hAnsi="Arial" w:cs="Arial"/>
          <w:sz w:val="24"/>
          <w:szCs w:val="24"/>
        </w:rPr>
        <w:t xml:space="preserve">.  Some critics advocate a standpoint that Barth was insufficiently coherent in analysing the two minds </w:t>
      </w:r>
      <w:r w:rsidR="007B02E4">
        <w:rPr>
          <w:rFonts w:ascii="Arial" w:hAnsi="Arial" w:cs="Arial"/>
          <w:sz w:val="24"/>
          <w:szCs w:val="24"/>
        </w:rPr>
        <w:t>quandary (</w:t>
      </w:r>
      <w:r w:rsidR="00F23EC1">
        <w:rPr>
          <w:rFonts w:ascii="Arial" w:hAnsi="Arial" w:cs="Arial"/>
          <w:sz w:val="24"/>
          <w:szCs w:val="24"/>
        </w:rPr>
        <w:t xml:space="preserve">Cross 2011; </w:t>
      </w:r>
      <w:r w:rsidR="007B02E4">
        <w:rPr>
          <w:rFonts w:ascii="Arial" w:hAnsi="Arial" w:cs="Arial"/>
          <w:sz w:val="24"/>
          <w:szCs w:val="24"/>
        </w:rPr>
        <w:t>O’Collins 2002).</w:t>
      </w:r>
    </w:p>
    <w:p w:rsidR="005D730D" w:rsidRDefault="005D730D" w:rsidP="00806AB8">
      <w:pPr>
        <w:tabs>
          <w:tab w:val="left" w:pos="142"/>
        </w:tabs>
        <w:rPr>
          <w:rFonts w:ascii="Arial" w:hAnsi="Arial" w:cs="Arial"/>
          <w:sz w:val="24"/>
          <w:szCs w:val="24"/>
        </w:rPr>
      </w:pPr>
    </w:p>
    <w:p w:rsidR="005D730D" w:rsidRDefault="005D730D" w:rsidP="00806AB8">
      <w:pPr>
        <w:tabs>
          <w:tab w:val="left" w:pos="142"/>
        </w:tabs>
        <w:rPr>
          <w:rFonts w:ascii="Arial" w:hAnsi="Arial" w:cs="Arial"/>
          <w:sz w:val="24"/>
          <w:szCs w:val="24"/>
        </w:rPr>
      </w:pPr>
    </w:p>
    <w:p w:rsidR="005D730D" w:rsidRPr="005D730D" w:rsidRDefault="005D730D" w:rsidP="005D730D">
      <w:pPr>
        <w:tabs>
          <w:tab w:val="left" w:pos="142"/>
        </w:tabs>
        <w:rPr>
          <w:rFonts w:ascii="Arial" w:hAnsi="Arial" w:cs="Arial"/>
          <w:b/>
          <w:i/>
          <w:sz w:val="24"/>
          <w:szCs w:val="24"/>
        </w:rPr>
      </w:pPr>
      <w:r w:rsidRPr="005D730D">
        <w:rPr>
          <w:rFonts w:ascii="Arial" w:hAnsi="Arial" w:cs="Arial"/>
          <w:b/>
          <w:i/>
          <w:sz w:val="24"/>
          <w:szCs w:val="24"/>
        </w:rPr>
        <w:t>(vi</w:t>
      </w:r>
      <w:r w:rsidRPr="005D730D">
        <w:rPr>
          <w:rFonts w:ascii="Arial" w:hAnsi="Arial" w:cs="Arial"/>
          <w:sz w:val="24"/>
          <w:szCs w:val="24"/>
        </w:rPr>
        <w:t>)</w:t>
      </w:r>
      <w:r w:rsidRPr="005D730D">
        <w:rPr>
          <w:rFonts w:ascii="Arial" w:hAnsi="Arial" w:cs="Arial"/>
          <w:b/>
          <w:i/>
          <w:sz w:val="24"/>
          <w:szCs w:val="24"/>
        </w:rPr>
        <w:t>The virginal conception as the way the incarnation actually happened</w:t>
      </w:r>
    </w:p>
    <w:p w:rsidR="00656634" w:rsidRDefault="00FF65E3" w:rsidP="00095809">
      <w:pPr>
        <w:tabs>
          <w:tab w:val="left" w:pos="142"/>
        </w:tabs>
        <w:rPr>
          <w:rFonts w:ascii="Arial" w:hAnsi="Arial" w:cs="Arial"/>
          <w:sz w:val="24"/>
          <w:szCs w:val="24"/>
        </w:rPr>
      </w:pPr>
      <w:r>
        <w:rPr>
          <w:rFonts w:ascii="Arial" w:hAnsi="Arial" w:cs="Arial"/>
          <w:sz w:val="24"/>
          <w:szCs w:val="24"/>
        </w:rPr>
        <w:t xml:space="preserve">Strongly opposed to psilanthropism, Barth saw the Virgin Birth and Mary as </w:t>
      </w:r>
      <w:r>
        <w:rPr>
          <w:rFonts w:ascii="Arial" w:hAnsi="Arial" w:cs="Arial"/>
          <w:i/>
          <w:sz w:val="24"/>
          <w:szCs w:val="24"/>
        </w:rPr>
        <w:t xml:space="preserve">Theotokos </w:t>
      </w:r>
      <w:r w:rsidR="00A17CD5" w:rsidRPr="00911DEC">
        <w:rPr>
          <w:rFonts w:ascii="Arial" w:hAnsi="Arial" w:cs="Arial"/>
          <w:sz w:val="24"/>
          <w:szCs w:val="24"/>
        </w:rPr>
        <w:t xml:space="preserve">as </w:t>
      </w:r>
      <w:r w:rsidR="00911DEC" w:rsidRPr="00911DEC">
        <w:rPr>
          <w:rFonts w:ascii="Arial" w:hAnsi="Arial" w:cs="Arial"/>
          <w:sz w:val="24"/>
          <w:szCs w:val="24"/>
        </w:rPr>
        <w:t>vital to</w:t>
      </w:r>
      <w:r w:rsidR="00911DEC">
        <w:rPr>
          <w:rFonts w:ascii="Arial" w:hAnsi="Arial" w:cs="Arial"/>
          <w:i/>
          <w:sz w:val="24"/>
          <w:szCs w:val="24"/>
        </w:rPr>
        <w:t xml:space="preserve"> </w:t>
      </w:r>
      <w:r w:rsidR="00911DEC">
        <w:rPr>
          <w:rFonts w:ascii="Arial" w:hAnsi="Arial" w:cs="Arial"/>
          <w:sz w:val="24"/>
          <w:szCs w:val="24"/>
        </w:rPr>
        <w:t>his Christology</w:t>
      </w:r>
      <w:r w:rsidR="00656634">
        <w:rPr>
          <w:rFonts w:ascii="Arial" w:hAnsi="Arial" w:cs="Arial"/>
          <w:sz w:val="24"/>
          <w:szCs w:val="24"/>
        </w:rPr>
        <w:t xml:space="preserve"> (Sumner 2014)</w:t>
      </w:r>
      <w:r w:rsidR="00911DEC">
        <w:rPr>
          <w:rFonts w:ascii="Arial" w:hAnsi="Arial" w:cs="Arial"/>
          <w:sz w:val="24"/>
          <w:szCs w:val="24"/>
        </w:rPr>
        <w:t>.  Thus both methodicall</w:t>
      </w:r>
      <w:r w:rsidR="00293057">
        <w:rPr>
          <w:rFonts w:ascii="Arial" w:hAnsi="Arial" w:cs="Arial"/>
          <w:sz w:val="24"/>
          <w:szCs w:val="24"/>
        </w:rPr>
        <w:t xml:space="preserve">y and exegetically he favoured </w:t>
      </w:r>
      <w:r w:rsidR="00911DEC">
        <w:rPr>
          <w:rFonts w:ascii="Arial" w:hAnsi="Arial" w:cs="Arial"/>
          <w:sz w:val="24"/>
          <w:szCs w:val="24"/>
        </w:rPr>
        <w:t>the literalism of th</w:t>
      </w:r>
      <w:r w:rsidR="00293057">
        <w:rPr>
          <w:rFonts w:ascii="Arial" w:hAnsi="Arial" w:cs="Arial"/>
          <w:sz w:val="24"/>
          <w:szCs w:val="24"/>
        </w:rPr>
        <w:t xml:space="preserve">e Virgin Birth and Mary’s role </w:t>
      </w:r>
      <w:r w:rsidR="00911DEC">
        <w:rPr>
          <w:rFonts w:ascii="Arial" w:hAnsi="Arial" w:cs="Arial"/>
          <w:sz w:val="24"/>
          <w:szCs w:val="24"/>
        </w:rPr>
        <w:t>whilst never succumbing to M</w:t>
      </w:r>
      <w:r w:rsidR="00293057">
        <w:rPr>
          <w:rFonts w:ascii="Arial" w:hAnsi="Arial" w:cs="Arial"/>
          <w:sz w:val="24"/>
          <w:szCs w:val="24"/>
        </w:rPr>
        <w:t xml:space="preserve">ariology because this </w:t>
      </w:r>
      <w:r w:rsidR="00911DEC">
        <w:rPr>
          <w:rFonts w:ascii="Arial" w:hAnsi="Arial" w:cs="Arial"/>
          <w:sz w:val="24"/>
          <w:szCs w:val="24"/>
        </w:rPr>
        <w:t xml:space="preserve">undermined the </w:t>
      </w:r>
      <w:r w:rsidR="00FC69DB">
        <w:rPr>
          <w:rFonts w:ascii="Arial" w:hAnsi="Arial" w:cs="Arial"/>
          <w:sz w:val="24"/>
          <w:szCs w:val="24"/>
        </w:rPr>
        <w:t xml:space="preserve">centrality of Christ (Klooster 1983; </w:t>
      </w:r>
      <w:r w:rsidR="00DA048F">
        <w:rPr>
          <w:rFonts w:ascii="Arial" w:hAnsi="Arial" w:cs="Arial"/>
          <w:sz w:val="24"/>
          <w:szCs w:val="24"/>
        </w:rPr>
        <w:t xml:space="preserve">Perry </w:t>
      </w:r>
      <w:r w:rsidR="005F70D7">
        <w:rPr>
          <w:rFonts w:ascii="Arial" w:hAnsi="Arial" w:cs="Arial"/>
          <w:sz w:val="24"/>
          <w:szCs w:val="24"/>
        </w:rPr>
        <w:t xml:space="preserve">2010; </w:t>
      </w:r>
      <w:r w:rsidR="00FC69DB">
        <w:rPr>
          <w:rFonts w:ascii="Arial" w:hAnsi="Arial" w:cs="Arial"/>
          <w:sz w:val="24"/>
          <w:szCs w:val="24"/>
        </w:rPr>
        <w:t xml:space="preserve">Resch 2012).  </w:t>
      </w:r>
    </w:p>
    <w:p w:rsidR="003D7AA9" w:rsidRDefault="00FC69DB" w:rsidP="00095809">
      <w:pPr>
        <w:tabs>
          <w:tab w:val="left" w:pos="142"/>
        </w:tabs>
        <w:rPr>
          <w:rFonts w:ascii="Arial" w:hAnsi="Arial" w:cs="Arial"/>
          <w:sz w:val="24"/>
          <w:szCs w:val="24"/>
        </w:rPr>
      </w:pPr>
      <w:r>
        <w:rPr>
          <w:rFonts w:ascii="Arial" w:hAnsi="Arial" w:cs="Arial"/>
          <w:sz w:val="24"/>
          <w:szCs w:val="24"/>
        </w:rPr>
        <w:t>Rather Mary’s vocation as the sinless virgin receiver of grace from God through the agency of the Holy Spirit must be contextualised by the miracle of the Christmas story to explain Christ’s purpose and identity (</w:t>
      </w:r>
      <w:r w:rsidR="00656634">
        <w:rPr>
          <w:rFonts w:ascii="Arial" w:hAnsi="Arial" w:cs="Arial"/>
          <w:sz w:val="24"/>
          <w:szCs w:val="24"/>
        </w:rPr>
        <w:t xml:space="preserve">Kantzer 1958; </w:t>
      </w:r>
      <w:r>
        <w:rPr>
          <w:rFonts w:ascii="Arial" w:hAnsi="Arial" w:cs="Arial"/>
          <w:sz w:val="24"/>
          <w:szCs w:val="24"/>
        </w:rPr>
        <w:t xml:space="preserve">Resch </w:t>
      </w:r>
      <w:r w:rsidR="00E06E3C">
        <w:rPr>
          <w:rFonts w:ascii="Arial" w:hAnsi="Arial" w:cs="Arial"/>
          <w:sz w:val="24"/>
          <w:szCs w:val="24"/>
        </w:rPr>
        <w:t>2012)</w:t>
      </w:r>
      <w:r>
        <w:rPr>
          <w:rFonts w:ascii="Arial" w:hAnsi="Arial" w:cs="Arial"/>
          <w:sz w:val="24"/>
          <w:szCs w:val="24"/>
        </w:rPr>
        <w:t>.</w:t>
      </w:r>
      <w:r w:rsidR="005F70D7">
        <w:rPr>
          <w:rFonts w:ascii="Arial" w:hAnsi="Arial" w:cs="Arial"/>
          <w:sz w:val="24"/>
          <w:szCs w:val="24"/>
        </w:rPr>
        <w:t xml:space="preserve">  Whilst some writers such as Pannenberg </w:t>
      </w:r>
      <w:r w:rsidR="00656634">
        <w:rPr>
          <w:rFonts w:ascii="Arial" w:hAnsi="Arial" w:cs="Arial"/>
          <w:sz w:val="24"/>
          <w:szCs w:val="24"/>
        </w:rPr>
        <w:t xml:space="preserve">(2002) </w:t>
      </w:r>
      <w:r w:rsidR="005F70D7">
        <w:rPr>
          <w:rFonts w:ascii="Arial" w:hAnsi="Arial" w:cs="Arial"/>
          <w:sz w:val="24"/>
          <w:szCs w:val="24"/>
        </w:rPr>
        <w:t>feel Barth insufficiently clear in his exegesis</w:t>
      </w:r>
      <w:r w:rsidR="00E06B83">
        <w:rPr>
          <w:rFonts w:ascii="Arial" w:hAnsi="Arial" w:cs="Arial"/>
          <w:sz w:val="24"/>
          <w:szCs w:val="24"/>
        </w:rPr>
        <w:t>,</w:t>
      </w:r>
      <w:r w:rsidR="005F70D7">
        <w:rPr>
          <w:rFonts w:ascii="Arial" w:hAnsi="Arial" w:cs="Arial"/>
          <w:sz w:val="24"/>
          <w:szCs w:val="24"/>
        </w:rPr>
        <w:t xml:space="preserve"> others point </w:t>
      </w:r>
      <w:r w:rsidR="00E06B83">
        <w:rPr>
          <w:rFonts w:ascii="Arial" w:hAnsi="Arial" w:cs="Arial"/>
          <w:sz w:val="24"/>
          <w:szCs w:val="24"/>
        </w:rPr>
        <w:t xml:space="preserve">purely </w:t>
      </w:r>
      <w:r w:rsidR="005F70D7">
        <w:rPr>
          <w:rFonts w:ascii="Arial" w:hAnsi="Arial" w:cs="Arial"/>
          <w:sz w:val="24"/>
          <w:szCs w:val="24"/>
        </w:rPr>
        <w:t xml:space="preserve">to his faith in God vitiating the logic of his argument.  Nevertheless Barth is convinced that the Virgin Birth did occur and can be historically justified </w:t>
      </w:r>
      <w:r w:rsidR="00656634">
        <w:rPr>
          <w:rFonts w:ascii="Arial" w:hAnsi="Arial" w:cs="Arial"/>
          <w:sz w:val="24"/>
          <w:szCs w:val="24"/>
        </w:rPr>
        <w:t xml:space="preserve">expressing wariness at Darwinian evolutionary theory accordingly </w:t>
      </w:r>
      <w:r w:rsidR="005F70D7">
        <w:rPr>
          <w:rFonts w:ascii="Arial" w:hAnsi="Arial" w:cs="Arial"/>
          <w:sz w:val="24"/>
          <w:szCs w:val="24"/>
        </w:rPr>
        <w:t>(Barth Volume 1/1</w:t>
      </w:r>
      <w:r w:rsidR="00656634">
        <w:rPr>
          <w:rFonts w:ascii="Arial" w:hAnsi="Arial" w:cs="Arial"/>
          <w:sz w:val="24"/>
          <w:szCs w:val="24"/>
        </w:rPr>
        <w:t>; Oakes 2012)</w:t>
      </w:r>
      <w:r w:rsidR="005F70D7">
        <w:rPr>
          <w:rFonts w:ascii="Arial" w:hAnsi="Arial" w:cs="Arial"/>
          <w:sz w:val="24"/>
          <w:szCs w:val="24"/>
        </w:rPr>
        <w:t>.</w:t>
      </w:r>
    </w:p>
    <w:p w:rsidR="00EE6E3E" w:rsidRDefault="00EE6E3E" w:rsidP="00095809">
      <w:pPr>
        <w:tabs>
          <w:tab w:val="left" w:pos="142"/>
        </w:tabs>
        <w:rPr>
          <w:rFonts w:ascii="Arial" w:hAnsi="Arial" w:cs="Arial"/>
          <w:b/>
          <w:i/>
          <w:sz w:val="24"/>
          <w:szCs w:val="24"/>
        </w:rPr>
      </w:pPr>
      <w:r>
        <w:rPr>
          <w:rFonts w:ascii="Arial" w:hAnsi="Arial" w:cs="Arial"/>
          <w:b/>
          <w:i/>
          <w:sz w:val="24"/>
          <w:szCs w:val="24"/>
        </w:rPr>
        <w:t>(vii)God’s reasons for the incarnation</w:t>
      </w:r>
    </w:p>
    <w:p w:rsidR="00EE6E3E" w:rsidRDefault="00EE6E3E" w:rsidP="00095809">
      <w:pPr>
        <w:tabs>
          <w:tab w:val="left" w:pos="142"/>
        </w:tabs>
        <w:rPr>
          <w:rFonts w:ascii="Arial" w:hAnsi="Arial" w:cs="Arial"/>
          <w:sz w:val="24"/>
          <w:szCs w:val="24"/>
        </w:rPr>
      </w:pPr>
      <w:r>
        <w:rPr>
          <w:rFonts w:ascii="Arial" w:hAnsi="Arial" w:cs="Arial"/>
          <w:sz w:val="24"/>
          <w:szCs w:val="24"/>
        </w:rPr>
        <w:t>Barth explicitly adumbrates that the rationality behind the incarnatio</w:t>
      </w:r>
      <w:r w:rsidR="00922392">
        <w:rPr>
          <w:rFonts w:ascii="Arial" w:hAnsi="Arial" w:cs="Arial"/>
          <w:sz w:val="24"/>
          <w:szCs w:val="24"/>
        </w:rPr>
        <w:t>n is God’s desire to display</w:t>
      </w:r>
      <w:r>
        <w:rPr>
          <w:rFonts w:ascii="Arial" w:hAnsi="Arial" w:cs="Arial"/>
          <w:sz w:val="24"/>
          <w:szCs w:val="24"/>
        </w:rPr>
        <w:t xml:space="preserve"> his eagerness for revelation, reconciliation </w:t>
      </w:r>
      <w:r w:rsidR="00CF0566">
        <w:rPr>
          <w:rFonts w:ascii="Arial" w:hAnsi="Arial" w:cs="Arial"/>
          <w:sz w:val="24"/>
          <w:szCs w:val="24"/>
        </w:rPr>
        <w:t xml:space="preserve">and </w:t>
      </w:r>
      <w:r>
        <w:rPr>
          <w:rFonts w:ascii="Arial" w:hAnsi="Arial" w:cs="Arial"/>
          <w:sz w:val="24"/>
          <w:szCs w:val="24"/>
        </w:rPr>
        <w:t xml:space="preserve">redemption </w:t>
      </w:r>
      <w:r w:rsidR="006D49C2">
        <w:rPr>
          <w:rFonts w:ascii="Arial" w:hAnsi="Arial" w:cs="Arial"/>
          <w:sz w:val="24"/>
          <w:szCs w:val="24"/>
        </w:rPr>
        <w:t xml:space="preserve">with humankind </w:t>
      </w:r>
      <w:r w:rsidR="00922392">
        <w:rPr>
          <w:rFonts w:ascii="Arial" w:hAnsi="Arial" w:cs="Arial"/>
          <w:sz w:val="24"/>
          <w:szCs w:val="24"/>
        </w:rPr>
        <w:t>(Sumner 2014).  This dovetailed</w:t>
      </w:r>
      <w:r>
        <w:rPr>
          <w:rFonts w:ascii="Arial" w:hAnsi="Arial" w:cs="Arial"/>
          <w:sz w:val="24"/>
          <w:szCs w:val="24"/>
        </w:rPr>
        <w:t xml:space="preserve"> with Barthian </w:t>
      </w:r>
      <w:r w:rsidR="00922392">
        <w:rPr>
          <w:rFonts w:ascii="Arial" w:hAnsi="Arial" w:cs="Arial"/>
          <w:sz w:val="24"/>
          <w:szCs w:val="24"/>
        </w:rPr>
        <w:t xml:space="preserve">doctrine </w:t>
      </w:r>
      <w:r w:rsidR="00671438">
        <w:rPr>
          <w:rFonts w:ascii="Arial" w:hAnsi="Arial" w:cs="Arial"/>
          <w:sz w:val="24"/>
          <w:szCs w:val="24"/>
        </w:rPr>
        <w:t xml:space="preserve">of the </w:t>
      </w:r>
      <w:r w:rsidR="006D49C2">
        <w:rPr>
          <w:rFonts w:ascii="Arial" w:hAnsi="Arial" w:cs="Arial"/>
          <w:sz w:val="24"/>
          <w:szCs w:val="24"/>
        </w:rPr>
        <w:t xml:space="preserve">election of Christ, the root of his Christocentrism and Jesus’ </w:t>
      </w:r>
      <w:r w:rsidR="006D49C2">
        <w:rPr>
          <w:rFonts w:ascii="Arial" w:hAnsi="Arial" w:cs="Arial"/>
          <w:i/>
          <w:sz w:val="24"/>
          <w:szCs w:val="24"/>
        </w:rPr>
        <w:t xml:space="preserve">munus triplex </w:t>
      </w:r>
      <w:r w:rsidR="006D49C2">
        <w:rPr>
          <w:rFonts w:ascii="Arial" w:hAnsi="Arial" w:cs="Arial"/>
          <w:sz w:val="24"/>
          <w:szCs w:val="24"/>
        </w:rPr>
        <w:t>as priest, king and prophet (</w:t>
      </w:r>
      <w:r w:rsidR="00B959FE">
        <w:rPr>
          <w:rFonts w:ascii="Arial" w:hAnsi="Arial" w:cs="Arial"/>
          <w:sz w:val="24"/>
          <w:szCs w:val="24"/>
        </w:rPr>
        <w:t xml:space="preserve">Cary 2015; </w:t>
      </w:r>
      <w:r w:rsidR="006D49C2">
        <w:rPr>
          <w:rFonts w:ascii="Arial" w:hAnsi="Arial" w:cs="Arial"/>
          <w:sz w:val="24"/>
          <w:szCs w:val="24"/>
        </w:rPr>
        <w:t xml:space="preserve">Hector 2012; Sumner 2014).  Sending his Son </w:t>
      </w:r>
      <w:r w:rsidR="00383E9F">
        <w:rPr>
          <w:rFonts w:ascii="Arial" w:hAnsi="Arial" w:cs="Arial"/>
          <w:sz w:val="24"/>
          <w:szCs w:val="24"/>
        </w:rPr>
        <w:t xml:space="preserve">met </w:t>
      </w:r>
      <w:r w:rsidR="00671438">
        <w:rPr>
          <w:rFonts w:ascii="Arial" w:hAnsi="Arial" w:cs="Arial"/>
          <w:sz w:val="24"/>
          <w:szCs w:val="24"/>
        </w:rPr>
        <w:t xml:space="preserve">the conditions of </w:t>
      </w:r>
      <w:r w:rsidR="00CF0566">
        <w:rPr>
          <w:rFonts w:ascii="Arial" w:hAnsi="Arial" w:cs="Arial"/>
          <w:sz w:val="24"/>
          <w:szCs w:val="24"/>
        </w:rPr>
        <w:t xml:space="preserve">God’s </w:t>
      </w:r>
      <w:r w:rsidR="00671438">
        <w:rPr>
          <w:rFonts w:ascii="Arial" w:hAnsi="Arial" w:cs="Arial"/>
          <w:sz w:val="24"/>
          <w:szCs w:val="24"/>
        </w:rPr>
        <w:t xml:space="preserve">covenant with humanity, </w:t>
      </w:r>
      <w:r w:rsidR="00671438">
        <w:rPr>
          <w:rFonts w:ascii="Arial" w:hAnsi="Arial" w:cs="Arial"/>
          <w:i/>
          <w:sz w:val="24"/>
          <w:szCs w:val="24"/>
        </w:rPr>
        <w:t>Deus pro nobis,</w:t>
      </w:r>
      <w:r w:rsidR="00CF0566">
        <w:rPr>
          <w:rFonts w:ascii="Arial" w:hAnsi="Arial" w:cs="Arial"/>
          <w:sz w:val="24"/>
          <w:szCs w:val="24"/>
        </w:rPr>
        <w:t xml:space="preserve"> what Barth</w:t>
      </w:r>
      <w:r w:rsidR="00671438">
        <w:rPr>
          <w:rFonts w:ascii="Arial" w:hAnsi="Arial" w:cs="Arial"/>
          <w:sz w:val="24"/>
          <w:szCs w:val="24"/>
        </w:rPr>
        <w:t xml:space="preserve"> came to call the </w:t>
      </w:r>
      <w:r w:rsidR="00671438">
        <w:rPr>
          <w:rFonts w:ascii="Arial" w:hAnsi="Arial" w:cs="Arial"/>
          <w:i/>
          <w:sz w:val="24"/>
          <w:szCs w:val="24"/>
        </w:rPr>
        <w:t xml:space="preserve">postlegoumenon </w:t>
      </w:r>
      <w:r w:rsidR="00671438">
        <w:rPr>
          <w:rFonts w:ascii="Arial" w:hAnsi="Arial" w:cs="Arial"/>
          <w:sz w:val="24"/>
          <w:szCs w:val="24"/>
        </w:rPr>
        <w:t>fulfilling God’</w:t>
      </w:r>
      <w:r w:rsidR="00F6566F">
        <w:rPr>
          <w:rFonts w:ascii="Arial" w:hAnsi="Arial" w:cs="Arial"/>
          <w:sz w:val="24"/>
          <w:szCs w:val="24"/>
        </w:rPr>
        <w:t xml:space="preserve">s purpose.  In so doing Christ’s incarnation </w:t>
      </w:r>
      <w:r w:rsidR="00671438">
        <w:rPr>
          <w:rFonts w:ascii="Arial" w:hAnsi="Arial" w:cs="Arial"/>
          <w:sz w:val="24"/>
          <w:szCs w:val="24"/>
        </w:rPr>
        <w:t xml:space="preserve">was the atonement </w:t>
      </w:r>
      <w:r w:rsidR="00F6566F">
        <w:rPr>
          <w:rFonts w:ascii="Arial" w:hAnsi="Arial" w:cs="Arial"/>
          <w:sz w:val="24"/>
          <w:szCs w:val="24"/>
        </w:rPr>
        <w:t>for man’s sins</w:t>
      </w:r>
      <w:r w:rsidR="00CF0566">
        <w:rPr>
          <w:rFonts w:ascii="Arial" w:hAnsi="Arial" w:cs="Arial"/>
          <w:sz w:val="24"/>
          <w:szCs w:val="24"/>
        </w:rPr>
        <w:t xml:space="preserve"> with all the soteriological consequences of being the second Adam (</w:t>
      </w:r>
      <w:r w:rsidR="00465C8A">
        <w:rPr>
          <w:rFonts w:ascii="Arial" w:hAnsi="Arial" w:cs="Arial"/>
          <w:sz w:val="24"/>
          <w:szCs w:val="24"/>
        </w:rPr>
        <w:t xml:space="preserve">McFarland 2014; </w:t>
      </w:r>
      <w:r w:rsidR="00CF0566">
        <w:rPr>
          <w:rFonts w:ascii="Arial" w:hAnsi="Arial" w:cs="Arial"/>
          <w:sz w:val="24"/>
          <w:szCs w:val="24"/>
        </w:rPr>
        <w:t>Resch 2012).</w:t>
      </w:r>
      <w:r w:rsidR="00F6566F">
        <w:rPr>
          <w:rFonts w:ascii="Arial" w:hAnsi="Arial" w:cs="Arial"/>
          <w:sz w:val="24"/>
          <w:szCs w:val="24"/>
        </w:rPr>
        <w:t xml:space="preserve"> </w:t>
      </w:r>
    </w:p>
    <w:p w:rsidR="00CF0566" w:rsidRPr="006D49C2" w:rsidRDefault="00CF0566" w:rsidP="00095809">
      <w:pPr>
        <w:tabs>
          <w:tab w:val="left" w:pos="142"/>
        </w:tabs>
        <w:rPr>
          <w:rFonts w:ascii="Arial" w:hAnsi="Arial" w:cs="Arial"/>
          <w:sz w:val="24"/>
          <w:szCs w:val="24"/>
        </w:rPr>
      </w:pPr>
      <w:r>
        <w:rPr>
          <w:rFonts w:ascii="Arial" w:hAnsi="Arial" w:cs="Arial"/>
          <w:sz w:val="24"/>
          <w:szCs w:val="24"/>
        </w:rPr>
        <w:t>This off</w:t>
      </w:r>
      <w:r w:rsidR="00621159">
        <w:rPr>
          <w:rFonts w:ascii="Arial" w:hAnsi="Arial" w:cs="Arial"/>
          <w:sz w:val="24"/>
          <w:szCs w:val="24"/>
        </w:rPr>
        <w:t xml:space="preserve">er of God was conducted via his </w:t>
      </w:r>
      <w:r>
        <w:rPr>
          <w:rFonts w:ascii="Arial" w:hAnsi="Arial" w:cs="Arial"/>
          <w:sz w:val="24"/>
          <w:szCs w:val="24"/>
        </w:rPr>
        <w:t xml:space="preserve">free volition to allow choice to humanity, through his grace and ethical consideration.  In parallel the Holy Spirit was fundamental </w:t>
      </w:r>
      <w:r w:rsidR="00612DC4">
        <w:rPr>
          <w:rFonts w:ascii="Arial" w:hAnsi="Arial" w:cs="Arial"/>
          <w:sz w:val="24"/>
          <w:szCs w:val="24"/>
        </w:rPr>
        <w:t>to the ongoin</w:t>
      </w:r>
      <w:r w:rsidR="007D5D61">
        <w:rPr>
          <w:rFonts w:ascii="Arial" w:hAnsi="Arial" w:cs="Arial"/>
          <w:sz w:val="24"/>
          <w:szCs w:val="24"/>
        </w:rPr>
        <w:t xml:space="preserve">g presence </w:t>
      </w:r>
      <w:r w:rsidR="00612DC4">
        <w:rPr>
          <w:rFonts w:ascii="Arial" w:hAnsi="Arial" w:cs="Arial"/>
          <w:sz w:val="24"/>
          <w:szCs w:val="24"/>
        </w:rPr>
        <w:t>of the Triune God both during Christ’s human existence and subsequently.</w:t>
      </w:r>
      <w:r w:rsidR="007D5D61">
        <w:rPr>
          <w:rFonts w:ascii="Arial" w:hAnsi="Arial" w:cs="Arial"/>
          <w:sz w:val="24"/>
          <w:szCs w:val="24"/>
        </w:rPr>
        <w:t xml:space="preserve">  Where Barth differed from others is in his belief that the fact o</w:t>
      </w:r>
      <w:r w:rsidR="008E58FC">
        <w:rPr>
          <w:rFonts w:ascii="Arial" w:hAnsi="Arial" w:cs="Arial"/>
          <w:sz w:val="24"/>
          <w:szCs w:val="24"/>
        </w:rPr>
        <w:t xml:space="preserve">f the incarnation was separate </w:t>
      </w:r>
      <w:r w:rsidR="007D5D61">
        <w:rPr>
          <w:rFonts w:ascii="Arial" w:hAnsi="Arial" w:cs="Arial"/>
          <w:sz w:val="24"/>
          <w:szCs w:val="24"/>
        </w:rPr>
        <w:t>to the symbolism that accompanied this event (Hennecke 2007</w:t>
      </w:r>
      <w:r w:rsidR="00465C8A">
        <w:rPr>
          <w:rFonts w:ascii="Arial" w:hAnsi="Arial" w:cs="Arial"/>
          <w:sz w:val="24"/>
          <w:szCs w:val="24"/>
        </w:rPr>
        <w:t>; Hunsinger 2008</w:t>
      </w:r>
      <w:r w:rsidR="007D5D61">
        <w:rPr>
          <w:rFonts w:ascii="Arial" w:hAnsi="Arial" w:cs="Arial"/>
          <w:sz w:val="24"/>
          <w:szCs w:val="24"/>
        </w:rPr>
        <w:t xml:space="preserve">).  </w:t>
      </w:r>
    </w:p>
    <w:p w:rsidR="00031E6D" w:rsidRDefault="00A76053" w:rsidP="00095809">
      <w:pPr>
        <w:tabs>
          <w:tab w:val="left" w:pos="142"/>
        </w:tabs>
        <w:rPr>
          <w:rFonts w:ascii="Arial" w:hAnsi="Arial" w:cs="Arial"/>
          <w:b/>
          <w:i/>
          <w:sz w:val="24"/>
          <w:szCs w:val="24"/>
        </w:rPr>
      </w:pPr>
      <w:r>
        <w:rPr>
          <w:rFonts w:ascii="Arial" w:hAnsi="Arial" w:cs="Arial"/>
          <w:b/>
          <w:i/>
          <w:sz w:val="24"/>
          <w:szCs w:val="24"/>
        </w:rPr>
        <w:t>(viii)Its revelatory and redemptive impact</w:t>
      </w:r>
    </w:p>
    <w:p w:rsidR="00A76053" w:rsidRDefault="00A76053" w:rsidP="00095809">
      <w:pPr>
        <w:tabs>
          <w:tab w:val="left" w:pos="142"/>
        </w:tabs>
        <w:rPr>
          <w:rFonts w:ascii="Arial" w:hAnsi="Arial" w:cs="Arial"/>
          <w:sz w:val="24"/>
          <w:szCs w:val="24"/>
        </w:rPr>
      </w:pPr>
      <w:r>
        <w:rPr>
          <w:rFonts w:ascii="Arial" w:hAnsi="Arial" w:cs="Arial"/>
          <w:sz w:val="24"/>
          <w:szCs w:val="24"/>
        </w:rPr>
        <w:t>Of all the issues associated with the incarnation Barth wrote most widely upon its revelatory and redemptive impact.  In particular he was strongly critical of the notion of Christology from above which he believed negated the true relationship between God and Son (</w:t>
      </w:r>
      <w:r w:rsidR="00885AD6">
        <w:rPr>
          <w:rFonts w:ascii="Arial" w:hAnsi="Arial" w:cs="Arial"/>
          <w:sz w:val="24"/>
          <w:szCs w:val="24"/>
        </w:rPr>
        <w:t xml:space="preserve">Kantzer </w:t>
      </w:r>
      <w:r w:rsidR="00382BF0">
        <w:rPr>
          <w:rFonts w:ascii="Arial" w:hAnsi="Arial" w:cs="Arial"/>
          <w:sz w:val="24"/>
          <w:szCs w:val="24"/>
        </w:rPr>
        <w:t xml:space="preserve">1958; </w:t>
      </w:r>
      <w:r>
        <w:rPr>
          <w:rFonts w:ascii="Arial" w:hAnsi="Arial" w:cs="Arial"/>
          <w:sz w:val="24"/>
          <w:szCs w:val="24"/>
        </w:rPr>
        <w:t>Moltmann 1993</w:t>
      </w:r>
      <w:r w:rsidR="008E58FC">
        <w:rPr>
          <w:rFonts w:ascii="Arial" w:hAnsi="Arial" w:cs="Arial"/>
          <w:sz w:val="24"/>
          <w:szCs w:val="24"/>
        </w:rPr>
        <w:t>b</w:t>
      </w:r>
      <w:r>
        <w:rPr>
          <w:rFonts w:ascii="Arial" w:hAnsi="Arial" w:cs="Arial"/>
          <w:sz w:val="24"/>
          <w:szCs w:val="24"/>
        </w:rPr>
        <w:t xml:space="preserve">; Sumner 2014).  Therefore to Barth the Old Testament was vital in outlining how that relationship would develop during </w:t>
      </w:r>
      <w:r>
        <w:rPr>
          <w:rFonts w:ascii="Arial" w:hAnsi="Arial" w:cs="Arial"/>
          <w:sz w:val="24"/>
          <w:szCs w:val="24"/>
        </w:rPr>
        <w:lastRenderedPageBreak/>
        <w:t>Jesus’</w:t>
      </w:r>
      <w:r w:rsidR="00885AD6">
        <w:rPr>
          <w:rFonts w:ascii="Arial" w:hAnsi="Arial" w:cs="Arial"/>
          <w:sz w:val="24"/>
          <w:szCs w:val="24"/>
        </w:rPr>
        <w:t xml:space="preserve"> earthly existence.  Jesus’ role as a mediator and reconciler with mankind had to correspond with his divinity rejecting any distinction between being and act (</w:t>
      </w:r>
      <w:r w:rsidR="00382BF0">
        <w:rPr>
          <w:rFonts w:ascii="Arial" w:hAnsi="Arial" w:cs="Arial"/>
          <w:sz w:val="24"/>
          <w:szCs w:val="24"/>
        </w:rPr>
        <w:t xml:space="preserve">Busch 2004; </w:t>
      </w:r>
      <w:r w:rsidR="00885AD6">
        <w:rPr>
          <w:rFonts w:ascii="Arial" w:hAnsi="Arial" w:cs="Arial"/>
          <w:sz w:val="24"/>
          <w:szCs w:val="24"/>
        </w:rPr>
        <w:t xml:space="preserve">Sumner 2014).  Here Barth exhibited his metaphysical tendency as a building block in his </w:t>
      </w:r>
      <w:r w:rsidR="006A034C">
        <w:rPr>
          <w:rFonts w:ascii="Arial" w:hAnsi="Arial" w:cs="Arial"/>
          <w:sz w:val="24"/>
          <w:szCs w:val="24"/>
        </w:rPr>
        <w:t xml:space="preserve">developing </w:t>
      </w:r>
      <w:r w:rsidR="00885AD6">
        <w:rPr>
          <w:rFonts w:ascii="Arial" w:hAnsi="Arial" w:cs="Arial"/>
          <w:sz w:val="24"/>
          <w:szCs w:val="24"/>
        </w:rPr>
        <w:t>theological outlook</w:t>
      </w:r>
      <w:r>
        <w:rPr>
          <w:rFonts w:ascii="Arial" w:hAnsi="Arial" w:cs="Arial"/>
          <w:sz w:val="24"/>
          <w:szCs w:val="24"/>
        </w:rPr>
        <w:t xml:space="preserve"> </w:t>
      </w:r>
      <w:r w:rsidR="00885AD6">
        <w:rPr>
          <w:rFonts w:ascii="Arial" w:hAnsi="Arial" w:cs="Arial"/>
          <w:sz w:val="24"/>
          <w:szCs w:val="24"/>
        </w:rPr>
        <w:t>whereby God had the power to reveal himself through Christ as evidence of the covenant and his role as</w:t>
      </w:r>
      <w:r w:rsidR="006A034C">
        <w:rPr>
          <w:rFonts w:ascii="Arial" w:hAnsi="Arial" w:cs="Arial"/>
          <w:sz w:val="24"/>
          <w:szCs w:val="24"/>
        </w:rPr>
        <w:t xml:space="preserve"> the creator (Gunton 1998</w:t>
      </w:r>
      <w:r w:rsidR="00885AD6">
        <w:rPr>
          <w:rFonts w:ascii="Arial" w:hAnsi="Arial" w:cs="Arial"/>
          <w:sz w:val="24"/>
          <w:szCs w:val="24"/>
        </w:rPr>
        <w:t xml:space="preserve">). </w:t>
      </w:r>
      <w:r w:rsidR="00382BF0">
        <w:rPr>
          <w:rFonts w:ascii="Arial" w:hAnsi="Arial" w:cs="Arial"/>
          <w:sz w:val="24"/>
          <w:szCs w:val="24"/>
        </w:rPr>
        <w:t xml:space="preserve"> Therefore Barth’s historical, epidemiological and ontological standpoints are brought together in terms of God’s revelation and redemption (Kirkland 2015; McFarland 2014; Shuster 2002).</w:t>
      </w:r>
    </w:p>
    <w:p w:rsidR="00851122" w:rsidRDefault="00851122" w:rsidP="00095809">
      <w:pPr>
        <w:tabs>
          <w:tab w:val="left" w:pos="142"/>
        </w:tabs>
        <w:rPr>
          <w:rFonts w:ascii="Arial" w:hAnsi="Arial" w:cs="Arial"/>
          <w:b/>
          <w:i/>
          <w:sz w:val="24"/>
          <w:szCs w:val="24"/>
        </w:rPr>
      </w:pPr>
      <w:r>
        <w:rPr>
          <w:rFonts w:ascii="Arial" w:hAnsi="Arial" w:cs="Arial"/>
          <w:b/>
          <w:i/>
          <w:sz w:val="24"/>
          <w:szCs w:val="24"/>
        </w:rPr>
        <w:t>(ix)The relationship of the incarnation to the crucifixion and resurrection</w:t>
      </w:r>
    </w:p>
    <w:p w:rsidR="00851122" w:rsidRPr="00851122" w:rsidRDefault="00851122" w:rsidP="00095809">
      <w:pPr>
        <w:tabs>
          <w:tab w:val="left" w:pos="142"/>
        </w:tabs>
        <w:rPr>
          <w:rFonts w:ascii="Arial" w:hAnsi="Arial" w:cs="Arial"/>
          <w:sz w:val="24"/>
          <w:szCs w:val="24"/>
        </w:rPr>
      </w:pPr>
      <w:r>
        <w:rPr>
          <w:rFonts w:ascii="Arial" w:hAnsi="Arial" w:cs="Arial"/>
          <w:sz w:val="24"/>
          <w:szCs w:val="24"/>
        </w:rPr>
        <w:t>As previously mentioned Barth saw the Resurrection as a paired even</w:t>
      </w:r>
      <w:r w:rsidR="00264E3A">
        <w:rPr>
          <w:rFonts w:ascii="Arial" w:hAnsi="Arial" w:cs="Arial"/>
          <w:sz w:val="24"/>
          <w:szCs w:val="24"/>
        </w:rPr>
        <w:t>t</w:t>
      </w:r>
      <w:r>
        <w:rPr>
          <w:rFonts w:ascii="Arial" w:hAnsi="Arial" w:cs="Arial"/>
          <w:sz w:val="24"/>
          <w:szCs w:val="24"/>
        </w:rPr>
        <w:t xml:space="preserve"> with the Virgin Birth.  Though he did not see himself ultimately as someone who wholly supported </w:t>
      </w:r>
      <w:r w:rsidRPr="00264E3A">
        <w:rPr>
          <w:rFonts w:ascii="Arial" w:hAnsi="Arial" w:cs="Arial"/>
          <w:i/>
          <w:sz w:val="24"/>
          <w:szCs w:val="24"/>
        </w:rPr>
        <w:t>theopaschism</w:t>
      </w:r>
      <w:r>
        <w:rPr>
          <w:rFonts w:ascii="Arial" w:hAnsi="Arial" w:cs="Arial"/>
          <w:sz w:val="24"/>
          <w:szCs w:val="24"/>
        </w:rPr>
        <w:t xml:space="preserve"> neither did he rule out the fact that God s</w:t>
      </w:r>
      <w:r w:rsidR="00264E3A">
        <w:rPr>
          <w:rFonts w:ascii="Arial" w:hAnsi="Arial" w:cs="Arial"/>
          <w:sz w:val="24"/>
          <w:szCs w:val="24"/>
        </w:rPr>
        <w:t>uffered with his Son on the C</w:t>
      </w:r>
      <w:r>
        <w:rPr>
          <w:rFonts w:ascii="Arial" w:hAnsi="Arial" w:cs="Arial"/>
          <w:sz w:val="24"/>
          <w:szCs w:val="24"/>
        </w:rPr>
        <w:t xml:space="preserve">ross.  Such as was the nature of the humiliation of God to accompany humanity’s exaltation, </w:t>
      </w:r>
      <w:r>
        <w:rPr>
          <w:rFonts w:ascii="Arial" w:hAnsi="Arial" w:cs="Arial"/>
          <w:i/>
          <w:sz w:val="24"/>
          <w:szCs w:val="24"/>
        </w:rPr>
        <w:t>status duplex</w:t>
      </w:r>
      <w:r>
        <w:rPr>
          <w:rFonts w:ascii="Arial" w:hAnsi="Arial" w:cs="Arial"/>
          <w:sz w:val="24"/>
          <w:szCs w:val="24"/>
        </w:rPr>
        <w:t xml:space="preserve"> (Barth Volume IV/2; </w:t>
      </w:r>
      <w:r w:rsidR="00532668">
        <w:rPr>
          <w:rFonts w:ascii="Arial" w:hAnsi="Arial" w:cs="Arial"/>
          <w:sz w:val="24"/>
          <w:szCs w:val="24"/>
        </w:rPr>
        <w:t xml:space="preserve">O’Collins 2002; </w:t>
      </w:r>
      <w:r w:rsidR="007D356D">
        <w:rPr>
          <w:rFonts w:ascii="Arial" w:hAnsi="Arial" w:cs="Arial"/>
          <w:sz w:val="24"/>
          <w:szCs w:val="24"/>
        </w:rPr>
        <w:t>Sumner 2014</w:t>
      </w:r>
      <w:r>
        <w:rPr>
          <w:rFonts w:ascii="Arial" w:hAnsi="Arial" w:cs="Arial"/>
          <w:sz w:val="24"/>
          <w:szCs w:val="24"/>
        </w:rPr>
        <w:t xml:space="preserve">).  </w:t>
      </w:r>
      <w:r w:rsidR="001A5AD1">
        <w:rPr>
          <w:rFonts w:ascii="Arial" w:hAnsi="Arial" w:cs="Arial"/>
          <w:sz w:val="24"/>
          <w:szCs w:val="24"/>
        </w:rPr>
        <w:t>An essential element of his thinking wa</w:t>
      </w:r>
      <w:r w:rsidR="00532668">
        <w:rPr>
          <w:rFonts w:ascii="Arial" w:hAnsi="Arial" w:cs="Arial"/>
          <w:sz w:val="24"/>
          <w:szCs w:val="24"/>
        </w:rPr>
        <w:t>s that the incarnation and the C</w:t>
      </w:r>
      <w:r w:rsidR="001A5AD1">
        <w:rPr>
          <w:rFonts w:ascii="Arial" w:hAnsi="Arial" w:cs="Arial"/>
          <w:sz w:val="24"/>
          <w:szCs w:val="24"/>
        </w:rPr>
        <w:t>rucifixion in particular justified his doctrine of actualisation (</w:t>
      </w:r>
      <w:r w:rsidR="00532668">
        <w:rPr>
          <w:rFonts w:ascii="Arial" w:hAnsi="Arial" w:cs="Arial"/>
          <w:sz w:val="24"/>
          <w:szCs w:val="24"/>
        </w:rPr>
        <w:t xml:space="preserve">Neder 2009; </w:t>
      </w:r>
      <w:r w:rsidR="001A5AD1">
        <w:rPr>
          <w:rFonts w:ascii="Arial" w:hAnsi="Arial" w:cs="Arial"/>
          <w:sz w:val="24"/>
          <w:szCs w:val="24"/>
        </w:rPr>
        <w:t>Sumner 2014).  The mystery of the empty tomb and Jesus’ re-appearances could be validated by scripture and his death was not the judgment of God (</w:t>
      </w:r>
      <w:r w:rsidR="00532668">
        <w:rPr>
          <w:rFonts w:ascii="Arial" w:hAnsi="Arial" w:cs="Arial"/>
          <w:sz w:val="24"/>
          <w:szCs w:val="24"/>
        </w:rPr>
        <w:t xml:space="preserve">Kantzer 1958; </w:t>
      </w:r>
      <w:r w:rsidR="001A5AD1">
        <w:rPr>
          <w:rFonts w:ascii="Arial" w:hAnsi="Arial" w:cs="Arial"/>
          <w:sz w:val="24"/>
          <w:szCs w:val="24"/>
        </w:rPr>
        <w:t xml:space="preserve">Thompson </w:t>
      </w:r>
      <w:r w:rsidR="003670C1">
        <w:rPr>
          <w:rFonts w:ascii="Arial" w:hAnsi="Arial" w:cs="Arial"/>
          <w:sz w:val="24"/>
          <w:szCs w:val="24"/>
        </w:rPr>
        <w:t>1971)</w:t>
      </w:r>
      <w:r w:rsidR="001A5AD1">
        <w:rPr>
          <w:rFonts w:ascii="Arial" w:hAnsi="Arial" w:cs="Arial"/>
          <w:sz w:val="24"/>
          <w:szCs w:val="24"/>
        </w:rPr>
        <w:t>.  Barth was specifically interested in what happened in the time period between his Resurrect</w:t>
      </w:r>
      <w:r w:rsidR="00646C8D">
        <w:rPr>
          <w:rFonts w:ascii="Arial" w:hAnsi="Arial" w:cs="Arial"/>
          <w:sz w:val="24"/>
          <w:szCs w:val="24"/>
        </w:rPr>
        <w:t>ion and Ascension (Moltmann 1973</w:t>
      </w:r>
      <w:r w:rsidR="001A5AD1">
        <w:rPr>
          <w:rFonts w:ascii="Arial" w:hAnsi="Arial" w:cs="Arial"/>
          <w:sz w:val="24"/>
          <w:szCs w:val="24"/>
        </w:rPr>
        <w:t>)</w:t>
      </w:r>
      <w:r w:rsidR="00532668">
        <w:rPr>
          <w:rFonts w:ascii="Arial" w:hAnsi="Arial" w:cs="Arial"/>
          <w:sz w:val="24"/>
          <w:szCs w:val="24"/>
        </w:rPr>
        <w:t xml:space="preserve">.  </w:t>
      </w:r>
    </w:p>
    <w:p w:rsidR="00C7611C" w:rsidRDefault="00532668" w:rsidP="00095809">
      <w:pPr>
        <w:tabs>
          <w:tab w:val="left" w:pos="142"/>
        </w:tabs>
        <w:rPr>
          <w:rFonts w:ascii="Arial" w:hAnsi="Arial" w:cs="Arial"/>
          <w:sz w:val="24"/>
          <w:szCs w:val="24"/>
        </w:rPr>
      </w:pPr>
      <w:r>
        <w:rPr>
          <w:rFonts w:ascii="Arial" w:hAnsi="Arial" w:cs="Arial"/>
          <w:sz w:val="24"/>
          <w:szCs w:val="24"/>
        </w:rPr>
        <w:t>Criticism of Barth’s views has often been trenchant in this respect from those who felt that he was too reliant on his own reading of scripture and putting insufficient faith in Trinitarianism to expl</w:t>
      </w:r>
      <w:r w:rsidR="00646C8D">
        <w:rPr>
          <w:rFonts w:ascii="Arial" w:hAnsi="Arial" w:cs="Arial"/>
          <w:sz w:val="24"/>
          <w:szCs w:val="24"/>
        </w:rPr>
        <w:t>ain what happened (Moltmann 1995</w:t>
      </w:r>
      <w:r>
        <w:rPr>
          <w:rFonts w:ascii="Arial" w:hAnsi="Arial" w:cs="Arial"/>
          <w:sz w:val="24"/>
          <w:szCs w:val="24"/>
        </w:rPr>
        <w:t>) to those who saw the Crucifixion and Resurrection as more of a metaphor rather than being literally reality (Hicks 2006</w:t>
      </w:r>
      <w:r w:rsidR="003916A0">
        <w:rPr>
          <w:rFonts w:ascii="Arial" w:hAnsi="Arial" w:cs="Arial"/>
          <w:sz w:val="24"/>
          <w:szCs w:val="24"/>
        </w:rPr>
        <w:t>; Hunsinger 2018</w:t>
      </w:r>
      <w:r>
        <w:rPr>
          <w:rFonts w:ascii="Arial" w:hAnsi="Arial" w:cs="Arial"/>
          <w:sz w:val="24"/>
          <w:szCs w:val="24"/>
        </w:rPr>
        <w:t>).</w:t>
      </w:r>
    </w:p>
    <w:p w:rsidR="009414E2" w:rsidRDefault="009414E2" w:rsidP="00095809">
      <w:pPr>
        <w:tabs>
          <w:tab w:val="left" w:pos="142"/>
        </w:tabs>
        <w:rPr>
          <w:rFonts w:ascii="Arial" w:hAnsi="Arial" w:cs="Arial"/>
          <w:b/>
          <w:i/>
          <w:sz w:val="24"/>
          <w:szCs w:val="24"/>
        </w:rPr>
      </w:pPr>
      <w:r>
        <w:rPr>
          <w:rFonts w:ascii="Arial" w:hAnsi="Arial" w:cs="Arial"/>
          <w:b/>
          <w:i/>
          <w:sz w:val="24"/>
          <w:szCs w:val="24"/>
        </w:rPr>
        <w:t>(x)The incarnation being possible only for the Word of God</w:t>
      </w:r>
    </w:p>
    <w:p w:rsidR="000539F0" w:rsidRDefault="00950875" w:rsidP="00095809">
      <w:pPr>
        <w:tabs>
          <w:tab w:val="left" w:pos="142"/>
        </w:tabs>
        <w:rPr>
          <w:rFonts w:ascii="Arial" w:hAnsi="Arial" w:cs="Arial"/>
          <w:sz w:val="24"/>
          <w:szCs w:val="24"/>
        </w:rPr>
      </w:pPr>
      <w:r>
        <w:rPr>
          <w:rFonts w:ascii="Arial" w:hAnsi="Arial" w:cs="Arial"/>
          <w:sz w:val="24"/>
          <w:szCs w:val="24"/>
        </w:rPr>
        <w:t xml:space="preserve">Barth wrote extensively about the relationship </w:t>
      </w:r>
      <w:r w:rsidR="00124961">
        <w:rPr>
          <w:rFonts w:ascii="Arial" w:hAnsi="Arial" w:cs="Arial"/>
          <w:sz w:val="24"/>
          <w:szCs w:val="24"/>
        </w:rPr>
        <w:t>of the Word to Jesus.  To him it</w:t>
      </w:r>
      <w:r>
        <w:rPr>
          <w:rFonts w:ascii="Arial" w:hAnsi="Arial" w:cs="Arial"/>
          <w:sz w:val="24"/>
          <w:szCs w:val="24"/>
        </w:rPr>
        <w:t xml:space="preserve"> was clear </w:t>
      </w:r>
      <w:r w:rsidR="00124961">
        <w:rPr>
          <w:rFonts w:ascii="Arial" w:hAnsi="Arial" w:cs="Arial"/>
          <w:sz w:val="24"/>
          <w:szCs w:val="24"/>
        </w:rPr>
        <w:t xml:space="preserve">that Jesus identified with the Logos but he was unwilling to go as far as the Lutheran position of the </w:t>
      </w:r>
      <w:r w:rsidR="00124961">
        <w:rPr>
          <w:rFonts w:ascii="Arial" w:hAnsi="Arial" w:cs="Arial"/>
          <w:i/>
          <w:sz w:val="24"/>
          <w:szCs w:val="24"/>
        </w:rPr>
        <w:t>communicatio idiomatum</w:t>
      </w:r>
      <w:r w:rsidR="007D356D">
        <w:rPr>
          <w:rFonts w:ascii="Arial" w:hAnsi="Arial" w:cs="Arial"/>
          <w:sz w:val="24"/>
          <w:szCs w:val="24"/>
        </w:rPr>
        <w:t xml:space="preserve"> (Sumner 2014</w:t>
      </w:r>
      <w:r w:rsidR="00124961">
        <w:rPr>
          <w:rFonts w:ascii="Arial" w:hAnsi="Arial" w:cs="Arial"/>
          <w:sz w:val="24"/>
          <w:szCs w:val="24"/>
        </w:rPr>
        <w:t>).  Nevertheless he believed that the Word had no life apart from his incarnate ex</w:t>
      </w:r>
      <w:r w:rsidR="00C9345B">
        <w:rPr>
          <w:rFonts w:ascii="Arial" w:hAnsi="Arial" w:cs="Arial"/>
          <w:sz w:val="24"/>
          <w:szCs w:val="24"/>
        </w:rPr>
        <w:t xml:space="preserve">istence as Christ, </w:t>
      </w:r>
      <w:r w:rsidR="00227D8B">
        <w:rPr>
          <w:rFonts w:ascii="Arial" w:hAnsi="Arial" w:cs="Arial"/>
          <w:sz w:val="24"/>
          <w:szCs w:val="24"/>
        </w:rPr>
        <w:t>but the Word and flesh was</w:t>
      </w:r>
      <w:r w:rsidR="00124961">
        <w:rPr>
          <w:rFonts w:ascii="Arial" w:hAnsi="Arial" w:cs="Arial"/>
          <w:sz w:val="24"/>
          <w:szCs w:val="24"/>
        </w:rPr>
        <w:t xml:space="preserve"> not nec</w:t>
      </w:r>
      <w:r w:rsidR="007D356D">
        <w:rPr>
          <w:rFonts w:ascii="Arial" w:hAnsi="Arial" w:cs="Arial"/>
          <w:sz w:val="24"/>
          <w:szCs w:val="24"/>
        </w:rPr>
        <w:t>essarily synonymous</w:t>
      </w:r>
      <w:r w:rsidR="00C9345B">
        <w:rPr>
          <w:rFonts w:ascii="Arial" w:hAnsi="Arial" w:cs="Arial"/>
          <w:sz w:val="24"/>
          <w:szCs w:val="24"/>
        </w:rPr>
        <w:t xml:space="preserve">, </w:t>
      </w:r>
      <w:r w:rsidR="00D771E5">
        <w:rPr>
          <w:rFonts w:ascii="Arial" w:hAnsi="Arial" w:cs="Arial"/>
          <w:sz w:val="24"/>
          <w:szCs w:val="24"/>
        </w:rPr>
        <w:t>one of possibility not reality</w:t>
      </w:r>
      <w:r w:rsidR="007D356D">
        <w:rPr>
          <w:rFonts w:ascii="Arial" w:hAnsi="Arial" w:cs="Arial"/>
          <w:sz w:val="24"/>
          <w:szCs w:val="24"/>
        </w:rPr>
        <w:t xml:space="preserve"> (</w:t>
      </w:r>
      <w:r w:rsidR="00D771E5">
        <w:rPr>
          <w:rFonts w:ascii="Arial" w:hAnsi="Arial" w:cs="Arial"/>
          <w:sz w:val="24"/>
          <w:szCs w:val="24"/>
        </w:rPr>
        <w:t xml:space="preserve">Oakes 2012; </w:t>
      </w:r>
      <w:r w:rsidR="007D356D">
        <w:rPr>
          <w:rFonts w:ascii="Arial" w:hAnsi="Arial" w:cs="Arial"/>
          <w:sz w:val="24"/>
          <w:szCs w:val="24"/>
        </w:rPr>
        <w:t>Sumner 2014</w:t>
      </w:r>
      <w:r w:rsidR="00D771E5">
        <w:rPr>
          <w:rFonts w:ascii="Arial" w:hAnsi="Arial" w:cs="Arial"/>
          <w:sz w:val="24"/>
          <w:szCs w:val="24"/>
        </w:rPr>
        <w:t>; Webb 2011</w:t>
      </w:r>
      <w:r w:rsidR="00124961">
        <w:rPr>
          <w:rFonts w:ascii="Arial" w:hAnsi="Arial" w:cs="Arial"/>
          <w:sz w:val="24"/>
          <w:szCs w:val="24"/>
        </w:rPr>
        <w:t>).</w:t>
      </w:r>
      <w:r w:rsidR="00227D8B">
        <w:rPr>
          <w:rFonts w:ascii="Arial" w:hAnsi="Arial" w:cs="Arial"/>
          <w:sz w:val="24"/>
          <w:szCs w:val="24"/>
        </w:rPr>
        <w:t xml:space="preserve">  </w:t>
      </w:r>
    </w:p>
    <w:p w:rsidR="00227D8B" w:rsidRDefault="00227D8B" w:rsidP="00095809">
      <w:pPr>
        <w:tabs>
          <w:tab w:val="left" w:pos="142"/>
        </w:tabs>
        <w:rPr>
          <w:rFonts w:ascii="Arial" w:hAnsi="Arial" w:cs="Arial"/>
          <w:sz w:val="24"/>
          <w:szCs w:val="24"/>
        </w:rPr>
      </w:pPr>
      <w:r>
        <w:rPr>
          <w:rFonts w:ascii="Arial" w:hAnsi="Arial" w:cs="Arial"/>
          <w:sz w:val="24"/>
          <w:szCs w:val="24"/>
        </w:rPr>
        <w:t xml:space="preserve">Barth reserved </w:t>
      </w:r>
      <w:r w:rsidR="00A01B31">
        <w:rPr>
          <w:rFonts w:ascii="Arial" w:hAnsi="Arial" w:cs="Arial"/>
          <w:sz w:val="24"/>
          <w:szCs w:val="24"/>
        </w:rPr>
        <w:t xml:space="preserve">much of his </w:t>
      </w:r>
      <w:r w:rsidR="000539F0">
        <w:rPr>
          <w:rFonts w:ascii="Arial" w:hAnsi="Arial" w:cs="Arial"/>
          <w:sz w:val="24"/>
          <w:szCs w:val="24"/>
        </w:rPr>
        <w:t xml:space="preserve">dialectical </w:t>
      </w:r>
      <w:r w:rsidR="00A01B31">
        <w:rPr>
          <w:rFonts w:ascii="Arial" w:hAnsi="Arial" w:cs="Arial"/>
          <w:sz w:val="24"/>
          <w:szCs w:val="24"/>
        </w:rPr>
        <w:t>argument regarding the Word’s role in the incarnation to the need to recognise that this was a dynamic and not a static event, which had a strongly noetic basis, indicative of God’s actions to show his sovereignty, his revelatory power and demand that there was no conflict between Jesus’ human and divine essenc</w:t>
      </w:r>
      <w:r w:rsidR="00DA4324">
        <w:rPr>
          <w:rFonts w:ascii="Arial" w:hAnsi="Arial" w:cs="Arial"/>
          <w:sz w:val="24"/>
          <w:szCs w:val="24"/>
        </w:rPr>
        <w:t xml:space="preserve">e </w:t>
      </w:r>
      <w:r w:rsidR="00A01B31">
        <w:rPr>
          <w:rFonts w:ascii="Arial" w:hAnsi="Arial" w:cs="Arial"/>
          <w:sz w:val="24"/>
          <w:szCs w:val="24"/>
        </w:rPr>
        <w:t>(</w:t>
      </w:r>
      <w:r w:rsidR="000539F0">
        <w:rPr>
          <w:rFonts w:ascii="Arial" w:hAnsi="Arial" w:cs="Arial"/>
          <w:sz w:val="24"/>
          <w:szCs w:val="24"/>
        </w:rPr>
        <w:t>Barth Volume</w:t>
      </w:r>
      <w:r w:rsidR="00DA4324">
        <w:rPr>
          <w:rFonts w:ascii="Arial" w:hAnsi="Arial" w:cs="Arial"/>
          <w:sz w:val="24"/>
          <w:szCs w:val="24"/>
        </w:rPr>
        <w:t xml:space="preserve"> I</w:t>
      </w:r>
      <w:r w:rsidR="000539F0">
        <w:rPr>
          <w:rFonts w:ascii="Arial" w:hAnsi="Arial" w:cs="Arial"/>
          <w:sz w:val="24"/>
          <w:szCs w:val="24"/>
        </w:rPr>
        <w:t xml:space="preserve">/2; </w:t>
      </w:r>
      <w:r w:rsidR="00A01B31">
        <w:rPr>
          <w:rFonts w:ascii="Arial" w:hAnsi="Arial" w:cs="Arial"/>
          <w:sz w:val="24"/>
          <w:szCs w:val="24"/>
        </w:rPr>
        <w:t>Boersma 1990</w:t>
      </w:r>
      <w:r w:rsidR="000539F0">
        <w:rPr>
          <w:rFonts w:ascii="Arial" w:hAnsi="Arial" w:cs="Arial"/>
          <w:sz w:val="24"/>
          <w:szCs w:val="24"/>
        </w:rPr>
        <w:t>; Hector 2012</w:t>
      </w:r>
      <w:r w:rsidR="00A01B31">
        <w:rPr>
          <w:rFonts w:ascii="Arial" w:hAnsi="Arial" w:cs="Arial"/>
          <w:sz w:val="24"/>
          <w:szCs w:val="24"/>
        </w:rPr>
        <w:t>).</w:t>
      </w:r>
      <w:r w:rsidR="000539F0">
        <w:rPr>
          <w:rFonts w:ascii="Arial" w:hAnsi="Arial" w:cs="Arial"/>
          <w:sz w:val="24"/>
          <w:szCs w:val="24"/>
        </w:rPr>
        <w:t xml:space="preserve">  Therefore every action of the Word was mediated </w:t>
      </w:r>
      <w:r w:rsidR="00D771E5">
        <w:rPr>
          <w:rFonts w:ascii="Arial" w:hAnsi="Arial" w:cs="Arial"/>
          <w:sz w:val="24"/>
          <w:szCs w:val="24"/>
        </w:rPr>
        <w:t>by God, whilst accepting that neither God nor the Holy Spirit could replace the Son</w:t>
      </w:r>
      <w:r w:rsidR="00913C62">
        <w:rPr>
          <w:rFonts w:ascii="Arial" w:hAnsi="Arial" w:cs="Arial"/>
          <w:sz w:val="24"/>
          <w:szCs w:val="24"/>
        </w:rPr>
        <w:t>’s role</w:t>
      </w:r>
      <w:r w:rsidR="00D771E5">
        <w:rPr>
          <w:rFonts w:ascii="Arial" w:hAnsi="Arial" w:cs="Arial"/>
          <w:sz w:val="24"/>
          <w:szCs w:val="24"/>
        </w:rPr>
        <w:t xml:space="preserve"> (Brouwer 2015; Neder 2009; O’Collins 2002).</w:t>
      </w:r>
    </w:p>
    <w:p w:rsidR="00A55361" w:rsidRDefault="00A55361" w:rsidP="00095809">
      <w:pPr>
        <w:tabs>
          <w:tab w:val="left" w:pos="142"/>
        </w:tabs>
        <w:rPr>
          <w:rFonts w:ascii="Arial" w:hAnsi="Arial" w:cs="Arial"/>
          <w:sz w:val="24"/>
          <w:szCs w:val="24"/>
        </w:rPr>
      </w:pPr>
    </w:p>
    <w:p w:rsidR="00D771E5" w:rsidRDefault="00A55361" w:rsidP="00095809">
      <w:pPr>
        <w:tabs>
          <w:tab w:val="left" w:pos="142"/>
        </w:tabs>
        <w:rPr>
          <w:rFonts w:ascii="Arial" w:hAnsi="Arial" w:cs="Arial"/>
          <w:b/>
          <w:i/>
          <w:sz w:val="24"/>
          <w:szCs w:val="24"/>
        </w:rPr>
      </w:pPr>
      <w:r>
        <w:rPr>
          <w:rFonts w:ascii="Arial" w:hAnsi="Arial" w:cs="Arial"/>
          <w:b/>
          <w:i/>
          <w:sz w:val="24"/>
          <w:szCs w:val="24"/>
        </w:rPr>
        <w:t>(xi)The incantation as a once and for all occurrence</w:t>
      </w:r>
    </w:p>
    <w:p w:rsidR="00A55361" w:rsidRDefault="00C43F90" w:rsidP="00095809">
      <w:pPr>
        <w:tabs>
          <w:tab w:val="left" w:pos="142"/>
        </w:tabs>
        <w:rPr>
          <w:rFonts w:ascii="Arial" w:hAnsi="Arial" w:cs="Arial"/>
          <w:sz w:val="24"/>
          <w:szCs w:val="24"/>
        </w:rPr>
      </w:pPr>
      <w:r>
        <w:rPr>
          <w:rFonts w:ascii="Arial" w:hAnsi="Arial" w:cs="Arial"/>
          <w:sz w:val="24"/>
          <w:szCs w:val="24"/>
        </w:rPr>
        <w:t>God’s protological purpose in the incarnation was historical reality according to Barth but in trying to explicate how this occurred inevitably met the challenge of Christ’s hu</w:t>
      </w:r>
      <w:r w:rsidR="00913C62">
        <w:rPr>
          <w:rFonts w:ascii="Arial" w:hAnsi="Arial" w:cs="Arial"/>
          <w:sz w:val="24"/>
          <w:szCs w:val="24"/>
        </w:rPr>
        <w:t xml:space="preserve">man life being a temporal event, </w:t>
      </w:r>
      <w:r>
        <w:rPr>
          <w:rFonts w:ascii="Arial" w:hAnsi="Arial" w:cs="Arial"/>
          <w:sz w:val="24"/>
          <w:szCs w:val="24"/>
        </w:rPr>
        <w:t>whilst God</w:t>
      </w:r>
      <w:r w:rsidR="00913C62">
        <w:rPr>
          <w:rFonts w:ascii="Arial" w:hAnsi="Arial" w:cs="Arial"/>
          <w:sz w:val="24"/>
          <w:szCs w:val="24"/>
        </w:rPr>
        <w:t>,</w:t>
      </w:r>
      <w:r>
        <w:rPr>
          <w:rFonts w:ascii="Arial" w:hAnsi="Arial" w:cs="Arial"/>
          <w:sz w:val="24"/>
          <w:szCs w:val="24"/>
        </w:rPr>
        <w:t xml:space="preserve"> and therefore his Son</w:t>
      </w:r>
      <w:r w:rsidR="00913C62">
        <w:rPr>
          <w:rFonts w:ascii="Arial" w:hAnsi="Arial" w:cs="Arial"/>
          <w:sz w:val="24"/>
          <w:szCs w:val="24"/>
        </w:rPr>
        <w:t>,</w:t>
      </w:r>
      <w:r>
        <w:rPr>
          <w:rFonts w:ascii="Arial" w:hAnsi="Arial" w:cs="Arial"/>
          <w:sz w:val="24"/>
          <w:szCs w:val="24"/>
        </w:rPr>
        <w:t xml:space="preserve"> were eternal (Sumner 2014).</w:t>
      </w:r>
    </w:p>
    <w:p w:rsidR="00C43F90" w:rsidRDefault="00C43F90" w:rsidP="00095809">
      <w:pPr>
        <w:tabs>
          <w:tab w:val="left" w:pos="142"/>
        </w:tabs>
        <w:rPr>
          <w:rFonts w:ascii="Arial" w:hAnsi="Arial" w:cs="Arial"/>
          <w:sz w:val="24"/>
          <w:szCs w:val="24"/>
        </w:rPr>
      </w:pPr>
      <w:r>
        <w:rPr>
          <w:rFonts w:ascii="Arial" w:hAnsi="Arial" w:cs="Arial"/>
          <w:sz w:val="24"/>
          <w:szCs w:val="24"/>
        </w:rPr>
        <w:t xml:space="preserve">It was </w:t>
      </w:r>
      <w:r w:rsidR="00E71613">
        <w:rPr>
          <w:rFonts w:ascii="Arial" w:hAnsi="Arial" w:cs="Arial"/>
          <w:sz w:val="24"/>
          <w:szCs w:val="24"/>
        </w:rPr>
        <w:t>fundamental that he addressed the issue of time and he</w:t>
      </w:r>
      <w:r w:rsidR="00913C62">
        <w:rPr>
          <w:rFonts w:ascii="Arial" w:hAnsi="Arial" w:cs="Arial"/>
          <w:sz w:val="24"/>
          <w:szCs w:val="24"/>
        </w:rPr>
        <w:t xml:space="preserve"> did so by advocating </w:t>
      </w:r>
      <w:r w:rsidR="00E71613">
        <w:rPr>
          <w:rFonts w:ascii="Arial" w:hAnsi="Arial" w:cs="Arial"/>
          <w:sz w:val="24"/>
          <w:szCs w:val="24"/>
        </w:rPr>
        <w:t>that the incarnation could be both a movement as well as an event, that Jesus’ temporality could not constrain his eternity</w:t>
      </w:r>
      <w:r w:rsidR="000828CE">
        <w:rPr>
          <w:rFonts w:ascii="Arial" w:hAnsi="Arial" w:cs="Arial"/>
          <w:sz w:val="24"/>
          <w:szCs w:val="24"/>
        </w:rPr>
        <w:t>,</w:t>
      </w:r>
      <w:r w:rsidR="00E71613">
        <w:rPr>
          <w:rFonts w:ascii="Arial" w:hAnsi="Arial" w:cs="Arial"/>
          <w:sz w:val="24"/>
          <w:szCs w:val="24"/>
        </w:rPr>
        <w:t xml:space="preserve"> and that this truth </w:t>
      </w:r>
      <w:r w:rsidR="002C7970">
        <w:rPr>
          <w:rFonts w:ascii="Arial" w:hAnsi="Arial" w:cs="Arial"/>
          <w:sz w:val="24"/>
          <w:szCs w:val="24"/>
        </w:rPr>
        <w:t xml:space="preserve">could confute sceptics by vindicating the </w:t>
      </w:r>
      <w:r w:rsidR="00913C62">
        <w:rPr>
          <w:rFonts w:ascii="Arial" w:hAnsi="Arial" w:cs="Arial"/>
          <w:sz w:val="24"/>
          <w:szCs w:val="24"/>
        </w:rPr>
        <w:t xml:space="preserve">idea that God’s time being </w:t>
      </w:r>
      <w:r w:rsidR="002C7970">
        <w:rPr>
          <w:rFonts w:ascii="Arial" w:hAnsi="Arial" w:cs="Arial"/>
          <w:sz w:val="24"/>
          <w:szCs w:val="24"/>
        </w:rPr>
        <w:t>d</w:t>
      </w:r>
      <w:r w:rsidR="00913C62">
        <w:rPr>
          <w:rFonts w:ascii="Arial" w:hAnsi="Arial" w:cs="Arial"/>
          <w:sz w:val="24"/>
          <w:szCs w:val="24"/>
        </w:rPr>
        <w:t xml:space="preserve">ifferent to that of humanity </w:t>
      </w:r>
      <w:r w:rsidR="000828CE">
        <w:rPr>
          <w:rFonts w:ascii="Arial" w:hAnsi="Arial" w:cs="Arial"/>
          <w:sz w:val="24"/>
          <w:szCs w:val="24"/>
        </w:rPr>
        <w:t xml:space="preserve"> (Sumner 2014</w:t>
      </w:r>
      <w:r w:rsidR="0094252D">
        <w:rPr>
          <w:rFonts w:ascii="Arial" w:hAnsi="Arial" w:cs="Arial"/>
          <w:sz w:val="24"/>
          <w:szCs w:val="24"/>
        </w:rPr>
        <w:t>; Weber 2004</w:t>
      </w:r>
      <w:r w:rsidR="00D67B63">
        <w:rPr>
          <w:rFonts w:ascii="Arial" w:hAnsi="Arial" w:cs="Arial"/>
          <w:sz w:val="24"/>
          <w:szCs w:val="24"/>
        </w:rPr>
        <w:t xml:space="preserve">). </w:t>
      </w:r>
      <w:r w:rsidR="000828CE">
        <w:rPr>
          <w:rFonts w:ascii="Arial" w:hAnsi="Arial" w:cs="Arial"/>
          <w:sz w:val="24"/>
          <w:szCs w:val="24"/>
        </w:rPr>
        <w:t xml:space="preserve"> This permitted Barth to explore the notion of both pre and post temporality in terms of Jesus’ human existence (Evans 2006; Hunsinger 2018; van Driel </w:t>
      </w:r>
      <w:r w:rsidR="00F23EC1">
        <w:rPr>
          <w:rFonts w:ascii="Arial" w:hAnsi="Arial" w:cs="Arial"/>
          <w:sz w:val="24"/>
          <w:szCs w:val="24"/>
        </w:rPr>
        <w:t>2007</w:t>
      </w:r>
      <w:r w:rsidR="000828CE">
        <w:rPr>
          <w:rFonts w:ascii="Arial" w:hAnsi="Arial" w:cs="Arial"/>
          <w:sz w:val="24"/>
          <w:szCs w:val="24"/>
        </w:rPr>
        <w:t>)</w:t>
      </w:r>
      <w:r w:rsidR="00D67B63">
        <w:rPr>
          <w:rFonts w:ascii="Arial" w:hAnsi="Arial" w:cs="Arial"/>
          <w:sz w:val="24"/>
          <w:szCs w:val="24"/>
        </w:rPr>
        <w:t>.</w:t>
      </w:r>
    </w:p>
    <w:p w:rsidR="00981975" w:rsidRDefault="00981975" w:rsidP="00095809">
      <w:pPr>
        <w:tabs>
          <w:tab w:val="left" w:pos="142"/>
        </w:tabs>
        <w:rPr>
          <w:rFonts w:ascii="Arial" w:hAnsi="Arial" w:cs="Arial"/>
          <w:b/>
          <w:i/>
          <w:sz w:val="24"/>
          <w:szCs w:val="24"/>
        </w:rPr>
      </w:pPr>
      <w:r>
        <w:rPr>
          <w:rFonts w:ascii="Arial" w:hAnsi="Arial" w:cs="Arial"/>
          <w:b/>
          <w:i/>
          <w:sz w:val="24"/>
          <w:szCs w:val="24"/>
        </w:rPr>
        <w:t>(xii)The credibility of the incarnation</w:t>
      </w:r>
    </w:p>
    <w:p w:rsidR="00981975" w:rsidRPr="00386BA6" w:rsidRDefault="006C4B40" w:rsidP="00095809">
      <w:pPr>
        <w:tabs>
          <w:tab w:val="left" w:pos="142"/>
        </w:tabs>
        <w:rPr>
          <w:rFonts w:ascii="Arial" w:hAnsi="Arial" w:cs="Arial"/>
          <w:sz w:val="24"/>
          <w:szCs w:val="24"/>
        </w:rPr>
      </w:pPr>
      <w:r>
        <w:rPr>
          <w:rFonts w:ascii="Arial" w:hAnsi="Arial" w:cs="Arial"/>
          <w:sz w:val="24"/>
          <w:szCs w:val="24"/>
        </w:rPr>
        <w:t xml:space="preserve">The incarnation was crucial to Barth’s Christology tying together so many of his </w:t>
      </w:r>
      <w:r w:rsidR="00386BA6">
        <w:rPr>
          <w:rFonts w:ascii="Arial" w:hAnsi="Arial" w:cs="Arial"/>
          <w:sz w:val="24"/>
          <w:szCs w:val="24"/>
        </w:rPr>
        <w:t xml:space="preserve">theological </w:t>
      </w:r>
      <w:r>
        <w:rPr>
          <w:rFonts w:ascii="Arial" w:hAnsi="Arial" w:cs="Arial"/>
          <w:sz w:val="24"/>
          <w:szCs w:val="24"/>
        </w:rPr>
        <w:t xml:space="preserve">themes.  </w:t>
      </w:r>
      <w:r>
        <w:rPr>
          <w:rFonts w:ascii="Arial" w:hAnsi="Arial" w:cs="Arial"/>
          <w:i/>
          <w:sz w:val="24"/>
          <w:szCs w:val="24"/>
        </w:rPr>
        <w:t xml:space="preserve">Status duplex, </w:t>
      </w:r>
      <w:r>
        <w:rPr>
          <w:rFonts w:ascii="Arial" w:hAnsi="Arial" w:cs="Arial"/>
          <w:sz w:val="24"/>
          <w:szCs w:val="24"/>
        </w:rPr>
        <w:t xml:space="preserve">eschatology, </w:t>
      </w:r>
      <w:r w:rsidR="00386BA6">
        <w:rPr>
          <w:rFonts w:ascii="Arial" w:hAnsi="Arial" w:cs="Arial"/>
          <w:i/>
          <w:sz w:val="24"/>
          <w:szCs w:val="24"/>
        </w:rPr>
        <w:t xml:space="preserve">Parousia, </w:t>
      </w:r>
      <w:r w:rsidR="00386BA6">
        <w:rPr>
          <w:rFonts w:ascii="Arial" w:hAnsi="Arial" w:cs="Arial"/>
          <w:sz w:val="24"/>
          <w:szCs w:val="24"/>
        </w:rPr>
        <w:t>God’s impassibilism, his rejection of Natural Theology and Classical Metaphysics are deeply shaped by his exegesis and dialectical approach to the incarnation.  In supporting the literalism of the incantation Barth opposes intellectualism and any attempt to subordinate Christ’s role confirming his faith in God through the vehicle of self-revelation</w:t>
      </w:r>
      <w:r w:rsidR="00C05E95">
        <w:rPr>
          <w:rFonts w:ascii="Arial" w:hAnsi="Arial" w:cs="Arial"/>
          <w:sz w:val="24"/>
          <w:szCs w:val="24"/>
        </w:rPr>
        <w:t xml:space="preserve"> (O’Collins 2002; Sumner 2014</w:t>
      </w:r>
      <w:r w:rsidR="008B14E8">
        <w:rPr>
          <w:rFonts w:ascii="Arial" w:hAnsi="Arial" w:cs="Arial"/>
          <w:sz w:val="24"/>
          <w:szCs w:val="24"/>
        </w:rPr>
        <w:t>; Weber 1964</w:t>
      </w:r>
      <w:r w:rsidR="00C05E95">
        <w:rPr>
          <w:rFonts w:ascii="Arial" w:hAnsi="Arial" w:cs="Arial"/>
          <w:sz w:val="24"/>
          <w:szCs w:val="24"/>
        </w:rPr>
        <w:t>)</w:t>
      </w:r>
      <w:r w:rsidR="00386BA6">
        <w:rPr>
          <w:rFonts w:ascii="Arial" w:hAnsi="Arial" w:cs="Arial"/>
          <w:sz w:val="24"/>
          <w:szCs w:val="24"/>
        </w:rPr>
        <w:t xml:space="preserve">.  He identified how in taking this stance God’s being and act were inseparable, that the Holy Spirt remained vital to the whole story </w:t>
      </w:r>
      <w:r w:rsidR="00C05E95">
        <w:rPr>
          <w:rFonts w:ascii="Arial" w:hAnsi="Arial" w:cs="Arial"/>
          <w:sz w:val="24"/>
          <w:szCs w:val="24"/>
        </w:rPr>
        <w:t xml:space="preserve">(Barth Volume 1/2; Hunsinger 2008).  As such he disagreed to the reasoning of Scheiermacher (2011) who he felt underestimated the nexus between the creation, incarnation and God’s freedom to act (Barth Volume 1/2).  </w:t>
      </w:r>
      <w:r w:rsidR="008B14E8">
        <w:rPr>
          <w:rFonts w:ascii="Arial" w:hAnsi="Arial" w:cs="Arial"/>
          <w:sz w:val="24"/>
          <w:szCs w:val="24"/>
        </w:rPr>
        <w:t xml:space="preserve">In corroborating his presentation of evidence he </w:t>
      </w:r>
      <w:r w:rsidR="00B959FE">
        <w:rPr>
          <w:rFonts w:ascii="Arial" w:hAnsi="Arial" w:cs="Arial"/>
          <w:sz w:val="24"/>
          <w:szCs w:val="24"/>
        </w:rPr>
        <w:t xml:space="preserve">asserted the need for theology to be </w:t>
      </w:r>
      <w:r w:rsidR="00F23EC1">
        <w:rPr>
          <w:rFonts w:ascii="Arial" w:hAnsi="Arial" w:cs="Arial"/>
          <w:sz w:val="24"/>
          <w:szCs w:val="24"/>
        </w:rPr>
        <w:t xml:space="preserve">treated as a science opposing </w:t>
      </w:r>
      <w:r w:rsidR="00B959FE">
        <w:rPr>
          <w:rFonts w:ascii="Arial" w:hAnsi="Arial" w:cs="Arial"/>
          <w:sz w:val="24"/>
          <w:szCs w:val="24"/>
        </w:rPr>
        <w:t>those who bel</w:t>
      </w:r>
      <w:r w:rsidR="00F23EC1">
        <w:rPr>
          <w:rFonts w:ascii="Arial" w:hAnsi="Arial" w:cs="Arial"/>
          <w:sz w:val="24"/>
          <w:szCs w:val="24"/>
        </w:rPr>
        <w:t xml:space="preserve">ieved otherwise </w:t>
      </w:r>
      <w:r w:rsidR="00B959FE">
        <w:rPr>
          <w:rFonts w:ascii="Arial" w:hAnsi="Arial" w:cs="Arial"/>
          <w:sz w:val="24"/>
          <w:szCs w:val="24"/>
        </w:rPr>
        <w:t xml:space="preserve">(Lauber 2011; Oakes 2012; Shuster 2002).  </w:t>
      </w:r>
    </w:p>
    <w:p w:rsidR="000539F0" w:rsidRDefault="00D92638" w:rsidP="00095809">
      <w:pPr>
        <w:tabs>
          <w:tab w:val="left" w:pos="142"/>
        </w:tabs>
        <w:rPr>
          <w:rFonts w:ascii="Arial" w:hAnsi="Arial" w:cs="Arial"/>
          <w:b/>
          <w:i/>
          <w:sz w:val="24"/>
          <w:szCs w:val="24"/>
        </w:rPr>
      </w:pPr>
      <w:r>
        <w:rPr>
          <w:rFonts w:ascii="Arial" w:hAnsi="Arial" w:cs="Arial"/>
          <w:b/>
          <w:i/>
          <w:sz w:val="24"/>
          <w:szCs w:val="24"/>
        </w:rPr>
        <w:t>Conclusion</w:t>
      </w:r>
    </w:p>
    <w:p w:rsidR="00D92638" w:rsidRDefault="00D92638" w:rsidP="00095809">
      <w:pPr>
        <w:tabs>
          <w:tab w:val="left" w:pos="142"/>
        </w:tabs>
        <w:rPr>
          <w:rFonts w:ascii="Arial" w:hAnsi="Arial" w:cs="Arial"/>
          <w:sz w:val="24"/>
          <w:szCs w:val="24"/>
        </w:rPr>
      </w:pPr>
      <w:r>
        <w:rPr>
          <w:rFonts w:ascii="Arial" w:hAnsi="Arial" w:cs="Arial"/>
          <w:sz w:val="24"/>
          <w:szCs w:val="24"/>
        </w:rPr>
        <w:t>Sumner (2014) sums the incarnation up as ‘the movement of God to humanity, and humanity to God</w:t>
      </w:r>
      <w:r w:rsidR="00CE52F0">
        <w:rPr>
          <w:rFonts w:ascii="Arial" w:hAnsi="Arial" w:cs="Arial"/>
          <w:sz w:val="24"/>
          <w:szCs w:val="24"/>
        </w:rPr>
        <w:t>’</w:t>
      </w:r>
      <w:r>
        <w:rPr>
          <w:rFonts w:ascii="Arial" w:hAnsi="Arial" w:cs="Arial"/>
          <w:sz w:val="24"/>
          <w:szCs w:val="24"/>
        </w:rPr>
        <w:t xml:space="preserve"> (p191).  Barth concurred strongly with this </w:t>
      </w:r>
      <w:r w:rsidR="002B3FCC">
        <w:rPr>
          <w:rFonts w:ascii="Arial" w:hAnsi="Arial" w:cs="Arial"/>
          <w:i/>
          <w:sz w:val="24"/>
          <w:szCs w:val="24"/>
        </w:rPr>
        <w:t xml:space="preserve">kerygmatic </w:t>
      </w:r>
      <w:r w:rsidR="002B3FCC">
        <w:rPr>
          <w:rFonts w:ascii="Arial" w:hAnsi="Arial" w:cs="Arial"/>
          <w:sz w:val="24"/>
          <w:szCs w:val="24"/>
        </w:rPr>
        <w:t xml:space="preserve">faith </w:t>
      </w:r>
      <w:r>
        <w:rPr>
          <w:rFonts w:ascii="Arial" w:hAnsi="Arial" w:cs="Arial"/>
          <w:sz w:val="24"/>
          <w:szCs w:val="24"/>
        </w:rPr>
        <w:t xml:space="preserve">and used scripture </w:t>
      </w:r>
      <w:r w:rsidR="00CE52F0">
        <w:rPr>
          <w:rFonts w:ascii="Arial" w:hAnsi="Arial" w:cs="Arial"/>
          <w:sz w:val="24"/>
          <w:szCs w:val="24"/>
        </w:rPr>
        <w:t xml:space="preserve">and Idealism </w:t>
      </w:r>
      <w:r>
        <w:rPr>
          <w:rFonts w:ascii="Arial" w:hAnsi="Arial" w:cs="Arial"/>
          <w:sz w:val="24"/>
          <w:szCs w:val="24"/>
        </w:rPr>
        <w:t xml:space="preserve">to explain Christ’s anthropology </w:t>
      </w:r>
      <w:r w:rsidR="00CE52F0">
        <w:rPr>
          <w:rFonts w:ascii="Arial" w:hAnsi="Arial" w:cs="Arial"/>
          <w:sz w:val="24"/>
          <w:szCs w:val="24"/>
        </w:rPr>
        <w:t xml:space="preserve">to determine how this formed the foundations of his Christological imprint.  </w:t>
      </w:r>
    </w:p>
    <w:p w:rsidR="00CE52F0" w:rsidRPr="00D92638" w:rsidRDefault="0057734C" w:rsidP="00095809">
      <w:pPr>
        <w:tabs>
          <w:tab w:val="left" w:pos="142"/>
        </w:tabs>
        <w:rPr>
          <w:rFonts w:ascii="Arial" w:hAnsi="Arial" w:cs="Arial"/>
          <w:sz w:val="24"/>
          <w:szCs w:val="24"/>
        </w:rPr>
      </w:pPr>
      <w:r>
        <w:rPr>
          <w:rFonts w:ascii="Arial" w:hAnsi="Arial" w:cs="Arial"/>
          <w:sz w:val="24"/>
          <w:szCs w:val="24"/>
        </w:rPr>
        <w:t>There are inevitably some question-marks over Barth’s direction of travel i</w:t>
      </w:r>
      <w:r w:rsidR="0031391A">
        <w:rPr>
          <w:rFonts w:ascii="Arial" w:hAnsi="Arial" w:cs="Arial"/>
          <w:sz w:val="24"/>
          <w:szCs w:val="24"/>
        </w:rPr>
        <w:t xml:space="preserve">ncluding ongoing arguments regarding </w:t>
      </w:r>
      <w:r>
        <w:rPr>
          <w:rFonts w:ascii="Arial" w:hAnsi="Arial" w:cs="Arial"/>
          <w:sz w:val="24"/>
          <w:szCs w:val="24"/>
        </w:rPr>
        <w:t xml:space="preserve">whether Barth altered his suppositions over time, whether his ideas were coherent, relied too much on Johannine and Pauline exegesis, was too wedded to Protestant Scholasticism </w:t>
      </w:r>
      <w:r w:rsidR="00467F95">
        <w:rPr>
          <w:rFonts w:ascii="Arial" w:hAnsi="Arial" w:cs="Arial"/>
          <w:sz w:val="24"/>
          <w:szCs w:val="24"/>
        </w:rPr>
        <w:t xml:space="preserve">and unfairly denied </w:t>
      </w:r>
      <w:r w:rsidR="00467F95">
        <w:rPr>
          <w:rFonts w:ascii="Arial" w:hAnsi="Arial" w:cs="Arial"/>
          <w:i/>
          <w:sz w:val="24"/>
          <w:szCs w:val="24"/>
        </w:rPr>
        <w:t xml:space="preserve">kenosis </w:t>
      </w:r>
      <w:r w:rsidR="00834887">
        <w:rPr>
          <w:rFonts w:ascii="Arial" w:hAnsi="Arial" w:cs="Arial"/>
          <w:sz w:val="24"/>
          <w:szCs w:val="24"/>
        </w:rPr>
        <w:t>(Cross 2002; Gock</w:t>
      </w:r>
      <w:r>
        <w:rPr>
          <w:rFonts w:ascii="Arial" w:hAnsi="Arial" w:cs="Arial"/>
          <w:sz w:val="24"/>
          <w:szCs w:val="24"/>
        </w:rPr>
        <w:t>el</w:t>
      </w:r>
      <w:r w:rsidR="00834887">
        <w:rPr>
          <w:rFonts w:ascii="Arial" w:hAnsi="Arial" w:cs="Arial"/>
          <w:sz w:val="24"/>
          <w:szCs w:val="24"/>
        </w:rPr>
        <w:t xml:space="preserve"> 2000</w:t>
      </w:r>
      <w:r w:rsidR="00467F95">
        <w:rPr>
          <w:rFonts w:ascii="Arial" w:hAnsi="Arial" w:cs="Arial"/>
          <w:sz w:val="24"/>
          <w:szCs w:val="24"/>
        </w:rPr>
        <w:t>; Evans 2006</w:t>
      </w:r>
      <w:r w:rsidR="002B3FCC">
        <w:rPr>
          <w:rFonts w:ascii="Arial" w:hAnsi="Arial" w:cs="Arial"/>
          <w:sz w:val="24"/>
          <w:szCs w:val="24"/>
        </w:rPr>
        <w:t xml:space="preserve">).  Nevertheless Barth’s positioning on the incarnation remains intrinsic to any investigation of this aspect of theology and his </w:t>
      </w:r>
      <w:r w:rsidR="002B3FCC">
        <w:rPr>
          <w:rFonts w:ascii="Arial" w:hAnsi="Arial" w:cs="Arial"/>
          <w:sz w:val="24"/>
          <w:szCs w:val="24"/>
        </w:rPr>
        <w:lastRenderedPageBreak/>
        <w:t xml:space="preserve">deeply reverential style belies </w:t>
      </w:r>
      <w:r w:rsidR="00004C9A">
        <w:rPr>
          <w:rFonts w:ascii="Arial" w:hAnsi="Arial" w:cs="Arial"/>
          <w:sz w:val="24"/>
          <w:szCs w:val="24"/>
        </w:rPr>
        <w:t xml:space="preserve">strong analytical cutting-edges </w:t>
      </w:r>
      <w:r w:rsidR="002B3FCC">
        <w:rPr>
          <w:rFonts w:ascii="Arial" w:hAnsi="Arial" w:cs="Arial"/>
          <w:sz w:val="24"/>
          <w:szCs w:val="24"/>
        </w:rPr>
        <w:t>knitting his Christology, theology,</w:t>
      </w:r>
      <w:r w:rsidR="00004C9A">
        <w:rPr>
          <w:rFonts w:ascii="Arial" w:hAnsi="Arial" w:cs="Arial"/>
          <w:sz w:val="24"/>
          <w:szCs w:val="24"/>
        </w:rPr>
        <w:t xml:space="preserve"> hermeneutics and ethics </w:t>
      </w:r>
      <w:r w:rsidR="002B3FCC">
        <w:rPr>
          <w:rFonts w:ascii="Arial" w:hAnsi="Arial" w:cs="Arial"/>
          <w:sz w:val="24"/>
          <w:szCs w:val="24"/>
        </w:rPr>
        <w:t xml:space="preserve">cleverly </w:t>
      </w:r>
      <w:r w:rsidR="00834887">
        <w:rPr>
          <w:rFonts w:ascii="Arial" w:hAnsi="Arial" w:cs="Arial"/>
          <w:sz w:val="24"/>
          <w:szCs w:val="24"/>
        </w:rPr>
        <w:t>together (Hunsinger 2018; Moltmann 1993; Oakes 2012)</w:t>
      </w:r>
      <w:r w:rsidR="002B3FCC">
        <w:rPr>
          <w:rFonts w:ascii="Arial" w:hAnsi="Arial" w:cs="Arial"/>
          <w:sz w:val="24"/>
          <w:szCs w:val="24"/>
        </w:rPr>
        <w:t xml:space="preserve">.  </w:t>
      </w:r>
    </w:p>
    <w:p w:rsidR="00B17C99" w:rsidRDefault="00834887" w:rsidP="00095809">
      <w:pPr>
        <w:tabs>
          <w:tab w:val="left" w:pos="142"/>
        </w:tabs>
        <w:rPr>
          <w:rFonts w:ascii="Arial" w:hAnsi="Arial" w:cs="Arial"/>
          <w:sz w:val="24"/>
          <w:szCs w:val="24"/>
        </w:rPr>
      </w:pPr>
      <w:r>
        <w:rPr>
          <w:rFonts w:ascii="Arial" w:hAnsi="Arial" w:cs="Arial"/>
          <w:sz w:val="24"/>
          <w:szCs w:val="24"/>
        </w:rPr>
        <w:t>Given the amount that Barth has contributed this essay can only provide a synopsis of his beliefs.  However it is still possible to ascertain just how important his considerations are in more fully grasping the significance of the incarnation (Sumner 2014).</w:t>
      </w:r>
    </w:p>
    <w:p w:rsidR="00834887" w:rsidRDefault="00834887" w:rsidP="00095809">
      <w:pPr>
        <w:tabs>
          <w:tab w:val="left" w:pos="142"/>
        </w:tabs>
        <w:rPr>
          <w:rFonts w:ascii="Arial" w:hAnsi="Arial" w:cs="Arial"/>
          <w:b/>
          <w:i/>
          <w:sz w:val="24"/>
          <w:szCs w:val="24"/>
        </w:rPr>
      </w:pPr>
      <w:r>
        <w:rPr>
          <w:rFonts w:ascii="Arial" w:hAnsi="Arial" w:cs="Arial"/>
          <w:b/>
          <w:i/>
          <w:sz w:val="24"/>
          <w:szCs w:val="24"/>
        </w:rPr>
        <w:t>References</w:t>
      </w:r>
    </w:p>
    <w:p w:rsidR="00D555C3" w:rsidRDefault="00D555C3" w:rsidP="00095809">
      <w:pPr>
        <w:tabs>
          <w:tab w:val="left" w:pos="142"/>
        </w:tabs>
        <w:rPr>
          <w:rFonts w:ascii="Arial" w:hAnsi="Arial" w:cs="Arial"/>
          <w:sz w:val="24"/>
          <w:szCs w:val="24"/>
        </w:rPr>
      </w:pPr>
      <w:r>
        <w:rPr>
          <w:rFonts w:ascii="Arial" w:hAnsi="Arial" w:cs="Arial"/>
          <w:sz w:val="24"/>
          <w:szCs w:val="24"/>
        </w:rPr>
        <w:t xml:space="preserve">Anselm (2016) ‘Cur Deus Home: Why God became Man’. First published 1094 – 98. London: Pantianos Classics. </w:t>
      </w:r>
    </w:p>
    <w:p w:rsidR="002722FA" w:rsidRDefault="002722FA" w:rsidP="00095809">
      <w:pPr>
        <w:tabs>
          <w:tab w:val="left" w:pos="142"/>
        </w:tabs>
        <w:rPr>
          <w:rFonts w:ascii="Arial" w:hAnsi="Arial" w:cs="Arial"/>
          <w:sz w:val="24"/>
          <w:szCs w:val="24"/>
        </w:rPr>
      </w:pPr>
      <w:r>
        <w:rPr>
          <w:rFonts w:ascii="Arial" w:hAnsi="Arial" w:cs="Arial"/>
          <w:sz w:val="24"/>
          <w:szCs w:val="24"/>
        </w:rPr>
        <w:t>Barth K (2010) ‘Church Dogmatics’. Volume I</w:t>
      </w:r>
      <w:r>
        <w:rPr>
          <w:rFonts w:ascii="Arial" w:hAnsi="Arial" w:cs="Arial"/>
          <w:sz w:val="24"/>
          <w:szCs w:val="24"/>
        </w:rPr>
        <w:t>/1</w:t>
      </w:r>
      <w:r>
        <w:rPr>
          <w:rFonts w:ascii="Arial" w:hAnsi="Arial" w:cs="Arial"/>
          <w:sz w:val="24"/>
          <w:szCs w:val="24"/>
        </w:rPr>
        <w:t>. ‘The Doctrine of the Word of God’ First published 1936. London: T &amp; T Clark.</w:t>
      </w:r>
    </w:p>
    <w:p w:rsidR="00F4206F" w:rsidRDefault="00F4206F" w:rsidP="00095809">
      <w:pPr>
        <w:tabs>
          <w:tab w:val="left" w:pos="142"/>
        </w:tabs>
        <w:rPr>
          <w:rFonts w:ascii="Arial" w:hAnsi="Arial" w:cs="Arial"/>
          <w:sz w:val="24"/>
          <w:szCs w:val="24"/>
        </w:rPr>
      </w:pPr>
      <w:r>
        <w:rPr>
          <w:rFonts w:ascii="Arial" w:hAnsi="Arial" w:cs="Arial"/>
          <w:sz w:val="24"/>
          <w:szCs w:val="24"/>
        </w:rPr>
        <w:t xml:space="preserve">Barth K (2010) ‘Church Dogmatics’. Volume </w:t>
      </w:r>
      <w:r w:rsidR="00FD413A">
        <w:rPr>
          <w:rFonts w:ascii="Arial" w:hAnsi="Arial" w:cs="Arial"/>
          <w:sz w:val="24"/>
          <w:szCs w:val="24"/>
        </w:rPr>
        <w:t>I</w:t>
      </w:r>
      <w:r>
        <w:rPr>
          <w:rFonts w:ascii="Arial" w:hAnsi="Arial" w:cs="Arial"/>
          <w:sz w:val="24"/>
          <w:szCs w:val="24"/>
        </w:rPr>
        <w:t>/2. ‘The Doctrine of the Word of God’ First published 1936. London: T &amp; T Clark.</w:t>
      </w:r>
    </w:p>
    <w:p w:rsidR="00FD413A" w:rsidRDefault="00FD413A" w:rsidP="00095809">
      <w:pPr>
        <w:tabs>
          <w:tab w:val="left" w:pos="142"/>
        </w:tabs>
        <w:rPr>
          <w:rFonts w:ascii="Arial" w:hAnsi="Arial" w:cs="Arial"/>
          <w:sz w:val="24"/>
          <w:szCs w:val="24"/>
        </w:rPr>
      </w:pPr>
      <w:r>
        <w:rPr>
          <w:rFonts w:ascii="Arial" w:hAnsi="Arial" w:cs="Arial"/>
          <w:sz w:val="24"/>
          <w:szCs w:val="24"/>
        </w:rPr>
        <w:t xml:space="preserve">Barth K (2010) ‘Church Dogmatics’. Volume </w:t>
      </w:r>
      <w:r>
        <w:rPr>
          <w:rFonts w:ascii="Arial" w:hAnsi="Arial" w:cs="Arial"/>
          <w:sz w:val="24"/>
          <w:szCs w:val="24"/>
        </w:rPr>
        <w:t>IV</w:t>
      </w:r>
      <w:r>
        <w:rPr>
          <w:rFonts w:ascii="Arial" w:hAnsi="Arial" w:cs="Arial"/>
          <w:sz w:val="24"/>
          <w:szCs w:val="24"/>
        </w:rPr>
        <w:t>/2. ‘</w:t>
      </w:r>
      <w:r>
        <w:rPr>
          <w:rFonts w:ascii="Arial" w:hAnsi="Arial" w:cs="Arial"/>
          <w:sz w:val="24"/>
          <w:szCs w:val="24"/>
        </w:rPr>
        <w:t>The Doctrine of Reconciliation</w:t>
      </w:r>
      <w:r>
        <w:rPr>
          <w:rFonts w:ascii="Arial" w:hAnsi="Arial" w:cs="Arial"/>
          <w:sz w:val="24"/>
          <w:szCs w:val="24"/>
        </w:rPr>
        <w:t>’ First published 1936. London: T &amp; T Clark.</w:t>
      </w:r>
    </w:p>
    <w:p w:rsidR="00E841C3" w:rsidRDefault="00E841C3" w:rsidP="00095809">
      <w:pPr>
        <w:tabs>
          <w:tab w:val="left" w:pos="142"/>
        </w:tabs>
        <w:rPr>
          <w:rFonts w:ascii="Arial" w:hAnsi="Arial" w:cs="Arial"/>
          <w:sz w:val="24"/>
          <w:szCs w:val="24"/>
        </w:rPr>
      </w:pPr>
      <w:r>
        <w:rPr>
          <w:rFonts w:ascii="Arial" w:hAnsi="Arial" w:cs="Arial"/>
          <w:sz w:val="24"/>
          <w:szCs w:val="24"/>
        </w:rPr>
        <w:t xml:space="preserve">Boersma H (1990) ‘Alexandrian or Antiochene? A dilemma in Karl Barth’s Christology’. </w:t>
      </w:r>
      <w:r>
        <w:rPr>
          <w:rFonts w:ascii="Arial" w:hAnsi="Arial" w:cs="Arial"/>
          <w:i/>
          <w:sz w:val="24"/>
          <w:szCs w:val="24"/>
        </w:rPr>
        <w:t xml:space="preserve">Westminster Theological Journal </w:t>
      </w:r>
      <w:r>
        <w:rPr>
          <w:rFonts w:ascii="Arial" w:hAnsi="Arial" w:cs="Arial"/>
          <w:sz w:val="24"/>
          <w:szCs w:val="24"/>
        </w:rPr>
        <w:t>Vol 52 (2) pp 263 – 80.</w:t>
      </w:r>
    </w:p>
    <w:p w:rsidR="00913C62" w:rsidRPr="00E841C3" w:rsidRDefault="00913C62" w:rsidP="00095809">
      <w:pPr>
        <w:tabs>
          <w:tab w:val="left" w:pos="142"/>
        </w:tabs>
        <w:rPr>
          <w:rFonts w:ascii="Arial" w:hAnsi="Arial" w:cs="Arial"/>
          <w:sz w:val="24"/>
          <w:szCs w:val="24"/>
        </w:rPr>
      </w:pPr>
      <w:r>
        <w:rPr>
          <w:rFonts w:ascii="Arial" w:hAnsi="Arial" w:cs="Arial"/>
          <w:sz w:val="24"/>
          <w:szCs w:val="24"/>
        </w:rPr>
        <w:t>Brouwer RR (2015) ‘Karl Barth and the Post-Reformation Orthodoxy’. London: Routledge.</w:t>
      </w:r>
    </w:p>
    <w:p w:rsidR="00E03B01" w:rsidRDefault="00E03B01" w:rsidP="00095809">
      <w:pPr>
        <w:tabs>
          <w:tab w:val="left" w:pos="142"/>
        </w:tabs>
        <w:rPr>
          <w:rFonts w:ascii="Arial" w:hAnsi="Arial" w:cs="Arial"/>
          <w:sz w:val="24"/>
          <w:szCs w:val="24"/>
        </w:rPr>
      </w:pPr>
      <w:r>
        <w:rPr>
          <w:rFonts w:ascii="Arial" w:hAnsi="Arial" w:cs="Arial"/>
          <w:sz w:val="24"/>
          <w:szCs w:val="24"/>
        </w:rPr>
        <w:t xml:space="preserve">Buckley J (1986) ‘Christological Inquiry: Barth, Rahner and the Identity of Jesus Christ’. </w:t>
      </w:r>
      <w:r>
        <w:rPr>
          <w:rFonts w:ascii="Arial" w:hAnsi="Arial" w:cs="Arial"/>
          <w:i/>
          <w:sz w:val="24"/>
          <w:szCs w:val="24"/>
        </w:rPr>
        <w:t xml:space="preserve">Speculative Quarterly Review </w:t>
      </w:r>
      <w:r>
        <w:rPr>
          <w:rFonts w:ascii="Arial" w:hAnsi="Arial" w:cs="Arial"/>
          <w:sz w:val="24"/>
          <w:szCs w:val="24"/>
        </w:rPr>
        <w:t>Vol 50 (4) pp 568 – 98.</w:t>
      </w:r>
    </w:p>
    <w:p w:rsidR="00580BB5" w:rsidRDefault="00580BB5" w:rsidP="00095809">
      <w:pPr>
        <w:tabs>
          <w:tab w:val="left" w:pos="142"/>
        </w:tabs>
        <w:rPr>
          <w:rFonts w:ascii="Arial" w:hAnsi="Arial" w:cs="Arial"/>
          <w:sz w:val="24"/>
          <w:szCs w:val="24"/>
        </w:rPr>
      </w:pPr>
      <w:r>
        <w:rPr>
          <w:rFonts w:ascii="Arial" w:hAnsi="Arial" w:cs="Arial"/>
          <w:sz w:val="24"/>
          <w:szCs w:val="24"/>
        </w:rPr>
        <w:t>Busch E (2010) ‘The Great Passion: An introduction to Karl Barth’s Theology’. Cambridge: Eerdmans Publishing.</w:t>
      </w:r>
    </w:p>
    <w:p w:rsidR="00E06B83" w:rsidRPr="00E06B83" w:rsidRDefault="00E06B83" w:rsidP="00095809">
      <w:pPr>
        <w:tabs>
          <w:tab w:val="left" w:pos="142"/>
        </w:tabs>
        <w:rPr>
          <w:rFonts w:ascii="Arial" w:hAnsi="Arial" w:cs="Arial"/>
          <w:sz w:val="24"/>
          <w:szCs w:val="24"/>
        </w:rPr>
      </w:pPr>
      <w:r>
        <w:rPr>
          <w:rFonts w:ascii="Arial" w:hAnsi="Arial" w:cs="Arial"/>
          <w:sz w:val="24"/>
          <w:szCs w:val="24"/>
        </w:rPr>
        <w:t xml:space="preserve">Cary P (2015) ‘Barth Wars’. </w:t>
      </w:r>
      <w:r>
        <w:rPr>
          <w:rFonts w:ascii="Arial" w:hAnsi="Arial" w:cs="Arial"/>
          <w:i/>
          <w:sz w:val="24"/>
          <w:szCs w:val="24"/>
        </w:rPr>
        <w:t xml:space="preserve">First Things: A Monthly Journal of Religion and Public Life </w:t>
      </w:r>
      <w:r>
        <w:rPr>
          <w:rFonts w:ascii="Arial" w:hAnsi="Arial" w:cs="Arial"/>
          <w:sz w:val="24"/>
          <w:szCs w:val="24"/>
        </w:rPr>
        <w:t>Issue 252, April pp 49 – 53.</w:t>
      </w:r>
    </w:p>
    <w:p w:rsidR="00A65866" w:rsidRDefault="00A65866" w:rsidP="00095809">
      <w:pPr>
        <w:tabs>
          <w:tab w:val="left" w:pos="142"/>
        </w:tabs>
        <w:rPr>
          <w:rFonts w:ascii="Arial" w:hAnsi="Arial" w:cs="Arial"/>
          <w:sz w:val="24"/>
          <w:szCs w:val="24"/>
        </w:rPr>
      </w:pPr>
      <w:r>
        <w:rPr>
          <w:rFonts w:ascii="Arial" w:hAnsi="Arial" w:cs="Arial"/>
          <w:sz w:val="24"/>
          <w:szCs w:val="24"/>
        </w:rPr>
        <w:t xml:space="preserve">Cassidy JJ (2017) ‘Review of Karl Barth and the Incarnation, by Darren O Sumner’. </w:t>
      </w:r>
      <w:r>
        <w:rPr>
          <w:rFonts w:ascii="Arial" w:hAnsi="Arial" w:cs="Arial"/>
          <w:i/>
          <w:sz w:val="24"/>
          <w:szCs w:val="24"/>
        </w:rPr>
        <w:t xml:space="preserve">WTJ </w:t>
      </w:r>
      <w:r>
        <w:rPr>
          <w:rFonts w:ascii="Arial" w:hAnsi="Arial" w:cs="Arial"/>
          <w:sz w:val="24"/>
          <w:szCs w:val="24"/>
        </w:rPr>
        <w:t>Vol 79 pp 365 – 81.</w:t>
      </w:r>
    </w:p>
    <w:p w:rsidR="00F23EC1" w:rsidRDefault="00F23EC1" w:rsidP="00095809">
      <w:pPr>
        <w:tabs>
          <w:tab w:val="left" w:pos="142"/>
        </w:tabs>
        <w:rPr>
          <w:rFonts w:ascii="Arial" w:hAnsi="Arial" w:cs="Arial"/>
          <w:sz w:val="24"/>
          <w:szCs w:val="24"/>
        </w:rPr>
      </w:pPr>
      <w:r>
        <w:rPr>
          <w:rFonts w:ascii="Arial" w:hAnsi="Arial" w:cs="Arial"/>
          <w:sz w:val="24"/>
          <w:szCs w:val="24"/>
        </w:rPr>
        <w:t>Cross P (2002) ‘The Metaphysics of the Incarnation: From Thomas Aquinas to Duns Scotus’. Oxford: Oxford University Press.</w:t>
      </w:r>
    </w:p>
    <w:p w:rsidR="00580BB5" w:rsidRDefault="00580BB5" w:rsidP="00095809">
      <w:pPr>
        <w:tabs>
          <w:tab w:val="left" w:pos="142"/>
        </w:tabs>
        <w:rPr>
          <w:rFonts w:ascii="Arial" w:hAnsi="Arial" w:cs="Arial"/>
          <w:sz w:val="24"/>
          <w:szCs w:val="24"/>
        </w:rPr>
      </w:pPr>
      <w:r>
        <w:rPr>
          <w:rFonts w:ascii="Arial" w:hAnsi="Arial" w:cs="Arial"/>
          <w:sz w:val="24"/>
          <w:szCs w:val="24"/>
        </w:rPr>
        <w:t>Evans CS (2006) ‘Introduction: Understanding Jesus the Christ as Human and Divine’ in Evans CS (ed) ‘</w:t>
      </w:r>
      <w:r w:rsidRPr="00580BB5">
        <w:rPr>
          <w:rFonts w:ascii="Arial" w:hAnsi="Arial" w:cs="Arial"/>
          <w:i/>
          <w:sz w:val="24"/>
          <w:szCs w:val="24"/>
        </w:rPr>
        <w:t>Explaining Kenotic Christology: The Self-Emptying of God’</w:t>
      </w:r>
      <w:r>
        <w:rPr>
          <w:rFonts w:ascii="Arial" w:hAnsi="Arial" w:cs="Arial"/>
          <w:sz w:val="24"/>
          <w:szCs w:val="24"/>
        </w:rPr>
        <w:t xml:space="preserve"> Oxford: Oxford University Press pp 1 – 24.</w:t>
      </w:r>
    </w:p>
    <w:p w:rsidR="006B3BB1" w:rsidRDefault="006B3BB1" w:rsidP="00095809">
      <w:pPr>
        <w:tabs>
          <w:tab w:val="left" w:pos="142"/>
        </w:tabs>
        <w:rPr>
          <w:rFonts w:ascii="Arial" w:hAnsi="Arial" w:cs="Arial"/>
          <w:sz w:val="24"/>
          <w:szCs w:val="24"/>
        </w:rPr>
      </w:pPr>
      <w:r>
        <w:rPr>
          <w:rFonts w:ascii="Arial" w:hAnsi="Arial" w:cs="Arial"/>
          <w:sz w:val="24"/>
          <w:szCs w:val="24"/>
        </w:rPr>
        <w:lastRenderedPageBreak/>
        <w:t xml:space="preserve">Giles K (2011) ‘Barth and Subordinationism’. </w:t>
      </w:r>
      <w:r w:rsidR="00914824">
        <w:rPr>
          <w:rFonts w:ascii="Arial" w:hAnsi="Arial" w:cs="Arial"/>
          <w:i/>
          <w:sz w:val="24"/>
          <w:szCs w:val="24"/>
        </w:rPr>
        <w:t>Scottis</w:t>
      </w:r>
      <w:r>
        <w:rPr>
          <w:rFonts w:ascii="Arial" w:hAnsi="Arial" w:cs="Arial"/>
          <w:i/>
          <w:sz w:val="24"/>
          <w:szCs w:val="24"/>
        </w:rPr>
        <w:t xml:space="preserve">h Journal of Theology </w:t>
      </w:r>
      <w:r w:rsidR="00914824">
        <w:rPr>
          <w:rFonts w:ascii="Arial" w:hAnsi="Arial" w:cs="Arial"/>
          <w:sz w:val="24"/>
          <w:szCs w:val="24"/>
        </w:rPr>
        <w:t>Vol 64 (3) pp 327 – 46.</w:t>
      </w:r>
    </w:p>
    <w:p w:rsidR="0031391A" w:rsidRPr="0031391A" w:rsidRDefault="0031391A" w:rsidP="00095809">
      <w:pPr>
        <w:tabs>
          <w:tab w:val="left" w:pos="142"/>
        </w:tabs>
        <w:rPr>
          <w:rFonts w:ascii="Arial" w:hAnsi="Arial" w:cs="Arial"/>
          <w:sz w:val="24"/>
          <w:szCs w:val="24"/>
        </w:rPr>
      </w:pPr>
      <w:r>
        <w:rPr>
          <w:rFonts w:ascii="Arial" w:hAnsi="Arial" w:cs="Arial"/>
          <w:sz w:val="24"/>
          <w:szCs w:val="24"/>
        </w:rPr>
        <w:t xml:space="preserve">Gockel M (2000) ‘A dubious Christological formula? Leontius of Byzantium and the anhypostasis-enhypostasis theory’. </w:t>
      </w:r>
      <w:r>
        <w:rPr>
          <w:rFonts w:ascii="Arial" w:hAnsi="Arial" w:cs="Arial"/>
          <w:i/>
          <w:sz w:val="24"/>
          <w:szCs w:val="24"/>
        </w:rPr>
        <w:t xml:space="preserve">Journal of Theological Studies </w:t>
      </w:r>
      <w:r w:rsidR="00B0735E">
        <w:rPr>
          <w:rFonts w:ascii="Arial" w:hAnsi="Arial" w:cs="Arial"/>
          <w:sz w:val="24"/>
          <w:szCs w:val="24"/>
        </w:rPr>
        <w:t>Vol 5</w:t>
      </w:r>
      <w:r w:rsidR="00F07229">
        <w:rPr>
          <w:rFonts w:ascii="Arial" w:hAnsi="Arial" w:cs="Arial"/>
          <w:sz w:val="24"/>
          <w:szCs w:val="24"/>
        </w:rPr>
        <w:t>1 (2)</w:t>
      </w:r>
      <w:bookmarkStart w:id="0" w:name="_GoBack"/>
      <w:bookmarkEnd w:id="0"/>
      <w:r>
        <w:rPr>
          <w:rFonts w:ascii="Arial" w:hAnsi="Arial" w:cs="Arial"/>
          <w:sz w:val="24"/>
          <w:szCs w:val="24"/>
        </w:rPr>
        <w:t xml:space="preserve"> pp 515 – 32.</w:t>
      </w:r>
    </w:p>
    <w:p w:rsidR="006A034C" w:rsidRDefault="006A034C" w:rsidP="00095809">
      <w:pPr>
        <w:tabs>
          <w:tab w:val="left" w:pos="142"/>
        </w:tabs>
        <w:rPr>
          <w:rFonts w:ascii="Arial" w:hAnsi="Arial" w:cs="Arial"/>
          <w:sz w:val="24"/>
          <w:szCs w:val="24"/>
        </w:rPr>
      </w:pPr>
      <w:r>
        <w:rPr>
          <w:rFonts w:ascii="Arial" w:hAnsi="Arial" w:cs="Arial"/>
          <w:sz w:val="24"/>
          <w:szCs w:val="24"/>
        </w:rPr>
        <w:t>Gunton C E (1998) ‘The Trine Creator: A Historical and Systematic Study’. Cambridge: Eerdmans Publishing.</w:t>
      </w:r>
    </w:p>
    <w:p w:rsidR="00FD413A" w:rsidRPr="00FD413A" w:rsidRDefault="00FD413A" w:rsidP="00095809">
      <w:pPr>
        <w:tabs>
          <w:tab w:val="left" w:pos="142"/>
        </w:tabs>
        <w:rPr>
          <w:rFonts w:ascii="Arial" w:hAnsi="Arial" w:cs="Arial"/>
          <w:sz w:val="24"/>
          <w:szCs w:val="24"/>
        </w:rPr>
      </w:pPr>
      <w:r>
        <w:rPr>
          <w:rFonts w:ascii="Arial" w:hAnsi="Arial" w:cs="Arial"/>
          <w:sz w:val="24"/>
          <w:szCs w:val="24"/>
        </w:rPr>
        <w:t xml:space="preserve">Hector K (2012) ‘Immutability, Necessity and Trinity: Towards a Resolution of the Trinity and Election Controversy’. </w:t>
      </w:r>
      <w:r>
        <w:rPr>
          <w:rFonts w:ascii="Arial" w:hAnsi="Arial" w:cs="Arial"/>
          <w:i/>
          <w:sz w:val="24"/>
          <w:szCs w:val="24"/>
        </w:rPr>
        <w:t xml:space="preserve">Scottish Journal of Theology </w:t>
      </w:r>
      <w:r>
        <w:rPr>
          <w:rFonts w:ascii="Arial" w:hAnsi="Arial" w:cs="Arial"/>
          <w:sz w:val="24"/>
          <w:szCs w:val="24"/>
        </w:rPr>
        <w:t>Vol 65 (1) pp 64 – 81.</w:t>
      </w:r>
    </w:p>
    <w:p w:rsidR="00834887" w:rsidRDefault="00E55EA1" w:rsidP="00095809">
      <w:pPr>
        <w:tabs>
          <w:tab w:val="left" w:pos="142"/>
        </w:tabs>
        <w:rPr>
          <w:rFonts w:ascii="Arial" w:hAnsi="Arial" w:cs="Arial"/>
          <w:sz w:val="24"/>
          <w:szCs w:val="24"/>
        </w:rPr>
      </w:pPr>
      <w:r>
        <w:rPr>
          <w:rFonts w:ascii="Arial" w:hAnsi="Arial" w:cs="Arial"/>
          <w:sz w:val="24"/>
          <w:szCs w:val="24"/>
        </w:rPr>
        <w:t xml:space="preserve">Hendry GS (1956) ‘The Dogmatic Form of Barth’s Theology’. </w:t>
      </w:r>
      <w:r>
        <w:rPr>
          <w:rFonts w:ascii="Arial" w:hAnsi="Arial" w:cs="Arial"/>
          <w:i/>
          <w:sz w:val="24"/>
          <w:szCs w:val="24"/>
        </w:rPr>
        <w:t>Theology Today</w:t>
      </w:r>
      <w:r>
        <w:rPr>
          <w:rFonts w:ascii="Arial" w:hAnsi="Arial" w:cs="Arial"/>
          <w:sz w:val="24"/>
          <w:szCs w:val="24"/>
        </w:rPr>
        <w:t xml:space="preserve"> Vol 13 pp 300 – 14.</w:t>
      </w:r>
    </w:p>
    <w:p w:rsidR="00621159" w:rsidRPr="00621159" w:rsidRDefault="00621159" w:rsidP="00095809">
      <w:pPr>
        <w:tabs>
          <w:tab w:val="left" w:pos="142"/>
        </w:tabs>
        <w:rPr>
          <w:rFonts w:ascii="Arial" w:hAnsi="Arial" w:cs="Arial"/>
          <w:sz w:val="24"/>
          <w:szCs w:val="24"/>
        </w:rPr>
      </w:pPr>
      <w:r>
        <w:rPr>
          <w:rFonts w:ascii="Arial" w:hAnsi="Arial" w:cs="Arial"/>
          <w:sz w:val="24"/>
          <w:szCs w:val="24"/>
        </w:rPr>
        <w:t xml:space="preserve">Hennecke S (2007) ‘Incarnation as Awakening: Katsumi Takizawa reading Karl Barth’. </w:t>
      </w:r>
      <w:r>
        <w:rPr>
          <w:rFonts w:ascii="Arial" w:hAnsi="Arial" w:cs="Arial"/>
          <w:i/>
          <w:sz w:val="24"/>
          <w:szCs w:val="24"/>
        </w:rPr>
        <w:t xml:space="preserve">Exchange </w:t>
      </w:r>
      <w:r>
        <w:rPr>
          <w:rFonts w:ascii="Arial" w:hAnsi="Arial" w:cs="Arial"/>
          <w:sz w:val="24"/>
          <w:szCs w:val="24"/>
        </w:rPr>
        <w:t>Vol 36 pp 144 – 55.</w:t>
      </w:r>
    </w:p>
    <w:p w:rsidR="006F6C4F" w:rsidRDefault="006F6C4F" w:rsidP="00095809">
      <w:pPr>
        <w:tabs>
          <w:tab w:val="left" w:pos="142"/>
        </w:tabs>
        <w:rPr>
          <w:rFonts w:ascii="Arial" w:hAnsi="Arial" w:cs="Arial"/>
          <w:sz w:val="24"/>
          <w:szCs w:val="24"/>
        </w:rPr>
      </w:pPr>
      <w:r>
        <w:rPr>
          <w:rFonts w:ascii="Arial" w:hAnsi="Arial" w:cs="Arial"/>
          <w:sz w:val="24"/>
          <w:szCs w:val="24"/>
        </w:rPr>
        <w:t xml:space="preserve">Hensley J (2008) ‘Article Review: Trinity and Freedom’. </w:t>
      </w:r>
      <w:r>
        <w:rPr>
          <w:rFonts w:ascii="Arial" w:hAnsi="Arial" w:cs="Arial"/>
          <w:i/>
          <w:sz w:val="24"/>
          <w:szCs w:val="24"/>
        </w:rPr>
        <w:t xml:space="preserve">Scottish Journal of Theology </w:t>
      </w:r>
      <w:r>
        <w:rPr>
          <w:rFonts w:ascii="Arial" w:hAnsi="Arial" w:cs="Arial"/>
          <w:sz w:val="24"/>
          <w:szCs w:val="24"/>
        </w:rPr>
        <w:t>Vol 61 (1) pp 83 – 95.</w:t>
      </w:r>
    </w:p>
    <w:p w:rsidR="00CC0430" w:rsidRDefault="00CC0430" w:rsidP="00095809">
      <w:pPr>
        <w:tabs>
          <w:tab w:val="left" w:pos="142"/>
        </w:tabs>
        <w:rPr>
          <w:rFonts w:ascii="Arial" w:hAnsi="Arial" w:cs="Arial"/>
          <w:sz w:val="24"/>
          <w:szCs w:val="24"/>
        </w:rPr>
      </w:pPr>
      <w:r>
        <w:rPr>
          <w:rFonts w:ascii="Arial" w:hAnsi="Arial" w:cs="Arial"/>
          <w:sz w:val="24"/>
          <w:szCs w:val="24"/>
        </w:rPr>
        <w:t>Hick J (2006) ‘The Metaphor of God Incarnate: Christology in a Pluralistic Age’. London: Westminster John Knox Press.</w:t>
      </w:r>
    </w:p>
    <w:p w:rsidR="00E841C3" w:rsidRPr="00E841C3" w:rsidRDefault="00E841C3" w:rsidP="00095809">
      <w:pPr>
        <w:tabs>
          <w:tab w:val="left" w:pos="142"/>
        </w:tabs>
        <w:rPr>
          <w:rFonts w:ascii="Arial" w:hAnsi="Arial" w:cs="Arial"/>
          <w:sz w:val="24"/>
          <w:szCs w:val="24"/>
        </w:rPr>
      </w:pPr>
      <w:r>
        <w:rPr>
          <w:rFonts w:ascii="Arial" w:hAnsi="Arial" w:cs="Arial"/>
          <w:sz w:val="24"/>
          <w:szCs w:val="24"/>
        </w:rPr>
        <w:t xml:space="preserve">Hunsinger G (2008) ‘Election and the Trinity: 25 Theses on the Theology of Karl Barth’. </w:t>
      </w:r>
      <w:r>
        <w:rPr>
          <w:rFonts w:ascii="Arial" w:hAnsi="Arial" w:cs="Arial"/>
          <w:i/>
          <w:sz w:val="24"/>
          <w:szCs w:val="24"/>
        </w:rPr>
        <w:t>Modern Theology</w:t>
      </w:r>
      <w:r>
        <w:rPr>
          <w:rFonts w:ascii="Arial" w:hAnsi="Arial" w:cs="Arial"/>
          <w:sz w:val="24"/>
          <w:szCs w:val="24"/>
        </w:rPr>
        <w:t xml:space="preserve"> Vol 25 (2) pp 179 – 98.</w:t>
      </w:r>
    </w:p>
    <w:p w:rsidR="00062715" w:rsidRDefault="00062715" w:rsidP="00095809">
      <w:pPr>
        <w:tabs>
          <w:tab w:val="left" w:pos="142"/>
        </w:tabs>
        <w:rPr>
          <w:rFonts w:ascii="Arial" w:hAnsi="Arial" w:cs="Arial"/>
          <w:sz w:val="24"/>
          <w:szCs w:val="24"/>
        </w:rPr>
      </w:pPr>
      <w:r>
        <w:rPr>
          <w:rFonts w:ascii="Arial" w:hAnsi="Arial" w:cs="Arial"/>
          <w:sz w:val="24"/>
          <w:szCs w:val="24"/>
        </w:rPr>
        <w:t xml:space="preserve">Hunsinger G (2018) ‘Karl Barth and Paul Tillich’. </w:t>
      </w:r>
      <w:r>
        <w:rPr>
          <w:rFonts w:ascii="Arial" w:hAnsi="Arial" w:cs="Arial"/>
          <w:i/>
          <w:sz w:val="24"/>
          <w:szCs w:val="24"/>
        </w:rPr>
        <w:t xml:space="preserve">Theology Today </w:t>
      </w:r>
      <w:r>
        <w:rPr>
          <w:rFonts w:ascii="Arial" w:hAnsi="Arial" w:cs="Arial"/>
          <w:sz w:val="24"/>
          <w:szCs w:val="24"/>
        </w:rPr>
        <w:t>Vol 75 (2) pp 123 – 38.</w:t>
      </w:r>
    </w:p>
    <w:p w:rsidR="00F63E9A" w:rsidRPr="00062715" w:rsidRDefault="00F63E9A" w:rsidP="00095809">
      <w:pPr>
        <w:tabs>
          <w:tab w:val="left" w:pos="142"/>
        </w:tabs>
        <w:rPr>
          <w:rFonts w:ascii="Arial" w:hAnsi="Arial" w:cs="Arial"/>
          <w:sz w:val="24"/>
          <w:szCs w:val="24"/>
        </w:rPr>
      </w:pPr>
      <w:r>
        <w:rPr>
          <w:rFonts w:ascii="Arial" w:hAnsi="Arial" w:cs="Arial"/>
          <w:sz w:val="24"/>
          <w:szCs w:val="24"/>
        </w:rPr>
        <w:t xml:space="preserve">Kantzer K S (1958) ‘The Christology of Karl Barth’. </w:t>
      </w:r>
      <w:r w:rsidR="00D97F83">
        <w:rPr>
          <w:rFonts w:ascii="Arial" w:hAnsi="Arial" w:cs="Arial"/>
          <w:i/>
          <w:sz w:val="24"/>
          <w:szCs w:val="24"/>
        </w:rPr>
        <w:t xml:space="preserve">Bulletin of the Evangelical Theological Society </w:t>
      </w:r>
      <w:r w:rsidR="00D97F83">
        <w:rPr>
          <w:rFonts w:ascii="Arial" w:hAnsi="Arial" w:cs="Arial"/>
          <w:sz w:val="24"/>
          <w:szCs w:val="24"/>
        </w:rPr>
        <w:t>Vol 1 (2) pp 25 – 28.</w:t>
      </w:r>
    </w:p>
    <w:p w:rsidR="006F6C4F" w:rsidRPr="006F6C4F" w:rsidRDefault="006F6C4F" w:rsidP="00095809">
      <w:pPr>
        <w:tabs>
          <w:tab w:val="left" w:pos="142"/>
        </w:tabs>
        <w:rPr>
          <w:rFonts w:ascii="Arial" w:hAnsi="Arial" w:cs="Arial"/>
          <w:sz w:val="24"/>
          <w:szCs w:val="24"/>
        </w:rPr>
      </w:pPr>
      <w:r>
        <w:rPr>
          <w:rFonts w:ascii="Arial" w:hAnsi="Arial" w:cs="Arial"/>
          <w:sz w:val="24"/>
          <w:szCs w:val="24"/>
        </w:rPr>
        <w:t xml:space="preserve">Kirkland S A (2015) ‘Particularity regained: Kenotically recovering a Theological Pedogogy in Karl Barth and Donald MacKinnon’. </w:t>
      </w:r>
      <w:r>
        <w:rPr>
          <w:rFonts w:ascii="Arial" w:hAnsi="Arial" w:cs="Arial"/>
          <w:i/>
          <w:sz w:val="24"/>
          <w:szCs w:val="24"/>
        </w:rPr>
        <w:t xml:space="preserve">Irish Theological Quarterly </w:t>
      </w:r>
      <w:r>
        <w:rPr>
          <w:rFonts w:ascii="Arial" w:hAnsi="Arial" w:cs="Arial"/>
          <w:sz w:val="24"/>
          <w:szCs w:val="24"/>
        </w:rPr>
        <w:t>Vol 80 (1) pp 56 – 82.</w:t>
      </w:r>
    </w:p>
    <w:p w:rsidR="00CB3EE7" w:rsidRDefault="00CB3EE7" w:rsidP="00095809">
      <w:pPr>
        <w:tabs>
          <w:tab w:val="left" w:pos="142"/>
        </w:tabs>
        <w:rPr>
          <w:rFonts w:ascii="Arial" w:hAnsi="Arial" w:cs="Arial"/>
          <w:sz w:val="24"/>
          <w:szCs w:val="24"/>
        </w:rPr>
      </w:pPr>
      <w:r>
        <w:rPr>
          <w:rFonts w:ascii="Arial" w:hAnsi="Arial" w:cs="Arial"/>
          <w:sz w:val="24"/>
          <w:szCs w:val="24"/>
        </w:rPr>
        <w:t xml:space="preserve">Klooster FH (1985) Barth and the failure of Evangelical Theology’. </w:t>
      </w:r>
      <w:r>
        <w:rPr>
          <w:rFonts w:ascii="Arial" w:hAnsi="Arial" w:cs="Arial"/>
          <w:i/>
          <w:sz w:val="24"/>
          <w:szCs w:val="24"/>
        </w:rPr>
        <w:t xml:space="preserve">Westminster Theology Journal </w:t>
      </w:r>
      <w:r>
        <w:rPr>
          <w:rFonts w:ascii="Arial" w:hAnsi="Arial" w:cs="Arial"/>
          <w:sz w:val="24"/>
          <w:szCs w:val="24"/>
        </w:rPr>
        <w:t>Vol 47(2) pp 301 -17.</w:t>
      </w:r>
    </w:p>
    <w:p w:rsidR="00A65866" w:rsidRDefault="00A65866" w:rsidP="00095809">
      <w:pPr>
        <w:tabs>
          <w:tab w:val="left" w:pos="142"/>
        </w:tabs>
        <w:rPr>
          <w:rFonts w:ascii="Arial" w:hAnsi="Arial" w:cs="Arial"/>
          <w:sz w:val="24"/>
          <w:szCs w:val="24"/>
        </w:rPr>
      </w:pPr>
      <w:r>
        <w:rPr>
          <w:rFonts w:ascii="Arial" w:hAnsi="Arial" w:cs="Arial"/>
          <w:sz w:val="24"/>
          <w:szCs w:val="24"/>
        </w:rPr>
        <w:t xml:space="preserve">Lang UM (1998) ‘Anhypostasis-Enhypostasis: Church Fathers, Protestant Orthodoxy and Karl Barth’. </w:t>
      </w:r>
      <w:r>
        <w:rPr>
          <w:rFonts w:ascii="Arial" w:hAnsi="Arial" w:cs="Arial"/>
          <w:i/>
          <w:sz w:val="24"/>
          <w:szCs w:val="24"/>
        </w:rPr>
        <w:t xml:space="preserve">Journal of Theological Studies </w:t>
      </w:r>
      <w:r>
        <w:rPr>
          <w:rFonts w:ascii="Arial" w:hAnsi="Arial" w:cs="Arial"/>
          <w:sz w:val="24"/>
          <w:szCs w:val="24"/>
        </w:rPr>
        <w:t>Vol 49 (2) pp 630 – 57.</w:t>
      </w:r>
    </w:p>
    <w:p w:rsidR="00F23EC1" w:rsidRPr="00F23EC1" w:rsidRDefault="00F23EC1" w:rsidP="00095809">
      <w:pPr>
        <w:tabs>
          <w:tab w:val="left" w:pos="142"/>
        </w:tabs>
        <w:rPr>
          <w:rFonts w:ascii="Arial" w:hAnsi="Arial" w:cs="Arial"/>
          <w:sz w:val="24"/>
          <w:szCs w:val="24"/>
        </w:rPr>
      </w:pPr>
      <w:r>
        <w:rPr>
          <w:rFonts w:ascii="Arial" w:hAnsi="Arial" w:cs="Arial"/>
          <w:sz w:val="24"/>
          <w:szCs w:val="24"/>
        </w:rPr>
        <w:t xml:space="preserve">Lauber D (2011) ‘For the sake of this One, God has patience with the Many: Czeslaw Milosz and Karl Barth on God’s patience, the Incarnation and the Possibility of Belief’. </w:t>
      </w:r>
      <w:r>
        <w:rPr>
          <w:rFonts w:ascii="Arial" w:hAnsi="Arial" w:cs="Arial"/>
          <w:i/>
          <w:sz w:val="24"/>
          <w:szCs w:val="24"/>
        </w:rPr>
        <w:t>Christian Scholar’s Review: Holland</w:t>
      </w:r>
      <w:r>
        <w:rPr>
          <w:rFonts w:ascii="Arial" w:hAnsi="Arial" w:cs="Arial"/>
          <w:sz w:val="24"/>
          <w:szCs w:val="24"/>
        </w:rPr>
        <w:t xml:space="preserve"> Vol 40 (2) pp 155 – 71.</w:t>
      </w:r>
    </w:p>
    <w:p w:rsidR="00E841C3" w:rsidRPr="00E841C3" w:rsidRDefault="00E841C3" w:rsidP="00095809">
      <w:pPr>
        <w:tabs>
          <w:tab w:val="left" w:pos="142"/>
        </w:tabs>
        <w:rPr>
          <w:rFonts w:ascii="Arial" w:hAnsi="Arial" w:cs="Arial"/>
          <w:sz w:val="24"/>
          <w:szCs w:val="24"/>
        </w:rPr>
      </w:pPr>
      <w:r>
        <w:rPr>
          <w:rFonts w:ascii="Arial" w:hAnsi="Arial" w:cs="Arial"/>
          <w:sz w:val="24"/>
          <w:szCs w:val="24"/>
        </w:rPr>
        <w:lastRenderedPageBreak/>
        <w:t xml:space="preserve">Mangina JL (2003) ‘Mediating Theologies: Karl Barthe between radical and neo-orthodoxy’. </w:t>
      </w:r>
      <w:r>
        <w:rPr>
          <w:rFonts w:ascii="Arial" w:hAnsi="Arial" w:cs="Arial"/>
          <w:i/>
          <w:sz w:val="24"/>
          <w:szCs w:val="24"/>
        </w:rPr>
        <w:t>Scottish Journal of Theology</w:t>
      </w:r>
      <w:r>
        <w:rPr>
          <w:rFonts w:ascii="Arial" w:hAnsi="Arial" w:cs="Arial"/>
          <w:sz w:val="24"/>
          <w:szCs w:val="24"/>
        </w:rPr>
        <w:t xml:space="preserve"> Vol 56 (4) pp 427 – 43.</w:t>
      </w:r>
    </w:p>
    <w:p w:rsidR="00445BBA" w:rsidRDefault="00445BBA" w:rsidP="00095809">
      <w:pPr>
        <w:tabs>
          <w:tab w:val="left" w:pos="142"/>
        </w:tabs>
        <w:rPr>
          <w:rFonts w:ascii="Arial" w:hAnsi="Arial" w:cs="Arial"/>
          <w:sz w:val="24"/>
          <w:szCs w:val="24"/>
        </w:rPr>
      </w:pPr>
      <w:r>
        <w:rPr>
          <w:rFonts w:ascii="Arial" w:hAnsi="Arial" w:cs="Arial"/>
          <w:sz w:val="24"/>
          <w:szCs w:val="24"/>
        </w:rPr>
        <w:t xml:space="preserve">McCormack B (2016) ‘We have ‘actualised’ the doctrine of incarnation…..Musings on Karl Barth’s Actualistic Theological Ontology.’ </w:t>
      </w:r>
      <w:r>
        <w:rPr>
          <w:rFonts w:ascii="Arial" w:hAnsi="Arial" w:cs="Arial"/>
          <w:i/>
          <w:sz w:val="24"/>
          <w:szCs w:val="24"/>
        </w:rPr>
        <w:t xml:space="preserve">Zeitschrift fur Dialekische Theologie </w:t>
      </w:r>
      <w:r>
        <w:rPr>
          <w:rFonts w:ascii="Arial" w:hAnsi="Arial" w:cs="Arial"/>
          <w:sz w:val="24"/>
          <w:szCs w:val="24"/>
        </w:rPr>
        <w:t>Vol 32(1) pp 179 – 98.</w:t>
      </w:r>
    </w:p>
    <w:p w:rsidR="00922392" w:rsidRPr="00922392" w:rsidRDefault="00922392" w:rsidP="00095809">
      <w:pPr>
        <w:tabs>
          <w:tab w:val="left" w:pos="142"/>
        </w:tabs>
        <w:rPr>
          <w:rFonts w:ascii="Arial" w:hAnsi="Arial" w:cs="Arial"/>
          <w:sz w:val="24"/>
          <w:szCs w:val="24"/>
        </w:rPr>
      </w:pPr>
      <w:r>
        <w:rPr>
          <w:rFonts w:ascii="Arial" w:hAnsi="Arial" w:cs="Arial"/>
          <w:sz w:val="24"/>
          <w:szCs w:val="24"/>
        </w:rPr>
        <w:t xml:space="preserve">McFarland O (2014) ‘The One Jesus Christ: Romans 5:12 – 21 and the development of Karl Barth’s Christology’. </w:t>
      </w:r>
      <w:r>
        <w:rPr>
          <w:rFonts w:ascii="Arial" w:hAnsi="Arial" w:cs="Arial"/>
          <w:i/>
          <w:sz w:val="24"/>
          <w:szCs w:val="24"/>
        </w:rPr>
        <w:t xml:space="preserve">Scottish Journal of Theology </w:t>
      </w:r>
      <w:r>
        <w:rPr>
          <w:rFonts w:ascii="Arial" w:hAnsi="Arial" w:cs="Arial"/>
          <w:sz w:val="24"/>
          <w:szCs w:val="24"/>
        </w:rPr>
        <w:t>Vol 67 (3) pp 265 – 84.</w:t>
      </w:r>
    </w:p>
    <w:p w:rsidR="00E03B01" w:rsidRDefault="00E03B01" w:rsidP="00095809">
      <w:pPr>
        <w:tabs>
          <w:tab w:val="left" w:pos="142"/>
        </w:tabs>
        <w:rPr>
          <w:rFonts w:ascii="Arial" w:hAnsi="Arial" w:cs="Arial"/>
          <w:sz w:val="24"/>
          <w:szCs w:val="24"/>
        </w:rPr>
      </w:pPr>
      <w:r>
        <w:rPr>
          <w:rFonts w:ascii="Arial" w:hAnsi="Arial" w:cs="Arial"/>
          <w:sz w:val="24"/>
          <w:szCs w:val="24"/>
        </w:rPr>
        <w:t>Molnar P D (2007) ‘Incarnation and Resurrection: Towards a Contemporary Understanding’. Cambridge: Eerdmans Publishing Co.</w:t>
      </w:r>
    </w:p>
    <w:p w:rsidR="00646C8D" w:rsidRDefault="00646C8D" w:rsidP="00095809">
      <w:pPr>
        <w:tabs>
          <w:tab w:val="left" w:pos="142"/>
        </w:tabs>
        <w:rPr>
          <w:rFonts w:ascii="Arial" w:hAnsi="Arial" w:cs="Arial"/>
          <w:sz w:val="24"/>
          <w:szCs w:val="24"/>
        </w:rPr>
      </w:pPr>
      <w:r>
        <w:rPr>
          <w:rFonts w:ascii="Arial" w:hAnsi="Arial" w:cs="Arial"/>
          <w:sz w:val="24"/>
          <w:szCs w:val="24"/>
        </w:rPr>
        <w:t>Moltmann J (1973) ‘The Crucified God’. London SCM Press.</w:t>
      </w:r>
    </w:p>
    <w:p w:rsidR="00642F7E" w:rsidRDefault="00642F7E" w:rsidP="00095809">
      <w:pPr>
        <w:tabs>
          <w:tab w:val="left" w:pos="142"/>
        </w:tabs>
        <w:rPr>
          <w:rFonts w:ascii="Arial" w:hAnsi="Arial" w:cs="Arial"/>
          <w:sz w:val="24"/>
          <w:szCs w:val="24"/>
        </w:rPr>
      </w:pPr>
      <w:r>
        <w:rPr>
          <w:rFonts w:ascii="Arial" w:hAnsi="Arial" w:cs="Arial"/>
          <w:sz w:val="24"/>
          <w:szCs w:val="24"/>
        </w:rPr>
        <w:t>Moltmann J (1993a) ‘The Coming of God: Christian Eschatology’. London: SCM Press.</w:t>
      </w:r>
    </w:p>
    <w:p w:rsidR="00642F7E" w:rsidRDefault="00642F7E" w:rsidP="00095809">
      <w:pPr>
        <w:tabs>
          <w:tab w:val="left" w:pos="142"/>
        </w:tabs>
        <w:rPr>
          <w:rFonts w:ascii="Arial" w:hAnsi="Arial" w:cs="Arial"/>
          <w:sz w:val="24"/>
          <w:szCs w:val="24"/>
        </w:rPr>
      </w:pPr>
      <w:r>
        <w:rPr>
          <w:rFonts w:ascii="Arial" w:hAnsi="Arial" w:cs="Arial"/>
          <w:sz w:val="24"/>
          <w:szCs w:val="24"/>
        </w:rPr>
        <w:t>Moltmann J (1993b) ‘</w:t>
      </w:r>
      <w:r w:rsidR="00E7097E">
        <w:rPr>
          <w:rFonts w:ascii="Arial" w:hAnsi="Arial" w:cs="Arial"/>
          <w:sz w:val="24"/>
          <w:szCs w:val="24"/>
        </w:rPr>
        <w:t>Theology of Hope’. Minneapolis: Harper Collins.</w:t>
      </w:r>
    </w:p>
    <w:p w:rsidR="00264E3A" w:rsidRDefault="00264E3A" w:rsidP="00095809">
      <w:pPr>
        <w:tabs>
          <w:tab w:val="left" w:pos="142"/>
        </w:tabs>
        <w:rPr>
          <w:rFonts w:ascii="Arial" w:hAnsi="Arial" w:cs="Arial"/>
          <w:sz w:val="24"/>
          <w:szCs w:val="24"/>
        </w:rPr>
      </w:pPr>
      <w:r>
        <w:rPr>
          <w:rFonts w:ascii="Arial" w:hAnsi="Arial" w:cs="Arial"/>
          <w:sz w:val="24"/>
          <w:szCs w:val="24"/>
        </w:rPr>
        <w:t>Moltmann J (1995) ‘The Coming of God: Christian Eschatology’</w:t>
      </w:r>
      <w:r w:rsidR="00646C8D">
        <w:rPr>
          <w:rFonts w:ascii="Arial" w:hAnsi="Arial" w:cs="Arial"/>
          <w:sz w:val="24"/>
          <w:szCs w:val="24"/>
        </w:rPr>
        <w:t>. London: SCM Press.</w:t>
      </w:r>
      <w:r>
        <w:rPr>
          <w:rFonts w:ascii="Arial" w:hAnsi="Arial" w:cs="Arial"/>
          <w:sz w:val="24"/>
          <w:szCs w:val="24"/>
        </w:rPr>
        <w:t>‘</w:t>
      </w:r>
    </w:p>
    <w:p w:rsidR="00894B9A" w:rsidRDefault="00921535" w:rsidP="00095809">
      <w:pPr>
        <w:tabs>
          <w:tab w:val="left" w:pos="142"/>
        </w:tabs>
        <w:rPr>
          <w:rFonts w:ascii="Arial" w:hAnsi="Arial" w:cs="Arial"/>
          <w:sz w:val="24"/>
          <w:szCs w:val="24"/>
        </w:rPr>
      </w:pPr>
      <w:r>
        <w:rPr>
          <w:rFonts w:ascii="Arial" w:hAnsi="Arial" w:cs="Arial"/>
          <w:sz w:val="24"/>
          <w:szCs w:val="24"/>
        </w:rPr>
        <w:t>Neder A (</w:t>
      </w:r>
      <w:r w:rsidR="00894B9A">
        <w:rPr>
          <w:rFonts w:ascii="Arial" w:hAnsi="Arial" w:cs="Arial"/>
          <w:sz w:val="24"/>
          <w:szCs w:val="24"/>
        </w:rPr>
        <w:t>2009) ‘Participation in Christ: An entry into Karl Barth’s Church Dogmatics’. Louisville: Westminster John Know Press.</w:t>
      </w:r>
    </w:p>
    <w:p w:rsidR="00414D2C" w:rsidRDefault="00414D2C" w:rsidP="00095809">
      <w:pPr>
        <w:tabs>
          <w:tab w:val="left" w:pos="142"/>
        </w:tabs>
        <w:rPr>
          <w:rFonts w:ascii="Arial" w:hAnsi="Arial" w:cs="Arial"/>
          <w:sz w:val="24"/>
          <w:szCs w:val="24"/>
        </w:rPr>
      </w:pPr>
      <w:r>
        <w:rPr>
          <w:rFonts w:ascii="Arial" w:hAnsi="Arial" w:cs="Arial"/>
          <w:sz w:val="24"/>
          <w:szCs w:val="24"/>
        </w:rPr>
        <w:t>Oakes K (2012) ‘Karl Barth on Theology and Philosophy’. Oxford: Oxford University Press.</w:t>
      </w:r>
    </w:p>
    <w:p w:rsidR="00B47598" w:rsidRDefault="00B47598" w:rsidP="00095809">
      <w:pPr>
        <w:tabs>
          <w:tab w:val="left" w:pos="142"/>
        </w:tabs>
        <w:rPr>
          <w:rFonts w:ascii="Arial" w:hAnsi="Arial" w:cs="Arial"/>
          <w:sz w:val="24"/>
          <w:szCs w:val="24"/>
        </w:rPr>
      </w:pPr>
      <w:r>
        <w:rPr>
          <w:rFonts w:ascii="Arial" w:hAnsi="Arial" w:cs="Arial"/>
          <w:sz w:val="24"/>
          <w:szCs w:val="24"/>
        </w:rPr>
        <w:t>O’Collins G (2002) ‘</w:t>
      </w:r>
      <w:r>
        <w:rPr>
          <w:rFonts w:ascii="Arial" w:hAnsi="Arial" w:cs="Arial"/>
          <w:i/>
          <w:sz w:val="24"/>
          <w:szCs w:val="24"/>
        </w:rPr>
        <w:t xml:space="preserve">The Incarnation: The critical issues’ </w:t>
      </w:r>
      <w:r>
        <w:rPr>
          <w:rFonts w:ascii="Arial" w:hAnsi="Arial" w:cs="Arial"/>
          <w:sz w:val="24"/>
          <w:szCs w:val="24"/>
        </w:rPr>
        <w:t>in ‘The Incarnation: An interdisciplinary symposium on the Incarnation of the Son of God’. (eds) Davis ST Kendall D &amp; O’Collins G. Oxford: Oxford University Press</w:t>
      </w:r>
      <w:r w:rsidR="00CC0430">
        <w:rPr>
          <w:rFonts w:ascii="Arial" w:hAnsi="Arial" w:cs="Arial"/>
          <w:sz w:val="24"/>
          <w:szCs w:val="24"/>
        </w:rPr>
        <w:t xml:space="preserve"> pp 1 - 25</w:t>
      </w:r>
      <w:r>
        <w:rPr>
          <w:rFonts w:ascii="Arial" w:hAnsi="Arial" w:cs="Arial"/>
          <w:sz w:val="24"/>
          <w:szCs w:val="24"/>
        </w:rPr>
        <w:t>.</w:t>
      </w:r>
    </w:p>
    <w:p w:rsidR="00921535" w:rsidRDefault="00E06B83" w:rsidP="00095809">
      <w:pPr>
        <w:tabs>
          <w:tab w:val="left" w:pos="142"/>
        </w:tabs>
        <w:rPr>
          <w:rFonts w:ascii="Arial" w:hAnsi="Arial" w:cs="Arial"/>
          <w:sz w:val="24"/>
          <w:szCs w:val="24"/>
        </w:rPr>
      </w:pPr>
      <w:r>
        <w:rPr>
          <w:rFonts w:ascii="Arial" w:hAnsi="Arial" w:cs="Arial"/>
          <w:sz w:val="24"/>
          <w:szCs w:val="24"/>
        </w:rPr>
        <w:t>Pannenberg (2002) ‘Jesus – God and Man’. London: SCM Press.</w:t>
      </w:r>
    </w:p>
    <w:p w:rsidR="007700B7" w:rsidRDefault="007700B7" w:rsidP="00095809">
      <w:pPr>
        <w:tabs>
          <w:tab w:val="left" w:pos="142"/>
        </w:tabs>
        <w:rPr>
          <w:rFonts w:ascii="Arial" w:hAnsi="Arial" w:cs="Arial"/>
          <w:sz w:val="24"/>
          <w:szCs w:val="24"/>
        </w:rPr>
      </w:pPr>
      <w:r>
        <w:rPr>
          <w:rFonts w:ascii="Arial" w:hAnsi="Arial" w:cs="Arial"/>
          <w:sz w:val="24"/>
          <w:szCs w:val="24"/>
        </w:rPr>
        <w:t>Perry T (2010) ‘</w:t>
      </w:r>
      <w:r w:rsidR="00784352">
        <w:rPr>
          <w:rFonts w:ascii="Arial" w:hAnsi="Arial" w:cs="Arial"/>
          <w:sz w:val="24"/>
          <w:szCs w:val="24"/>
        </w:rPr>
        <w:t xml:space="preserve">What is Little Mary here for?’ Barth, Mary, and Election.’ </w:t>
      </w:r>
      <w:r w:rsidR="00784352">
        <w:rPr>
          <w:rFonts w:ascii="Arial" w:hAnsi="Arial" w:cs="Arial"/>
          <w:i/>
          <w:sz w:val="24"/>
          <w:szCs w:val="24"/>
        </w:rPr>
        <w:t xml:space="preserve">Pro Ecclesia </w:t>
      </w:r>
      <w:r w:rsidR="00784352">
        <w:rPr>
          <w:rFonts w:ascii="Arial" w:hAnsi="Arial" w:cs="Arial"/>
          <w:sz w:val="24"/>
          <w:szCs w:val="24"/>
        </w:rPr>
        <w:t>Vol XIX (1) pp 46 – 68.</w:t>
      </w:r>
    </w:p>
    <w:p w:rsidR="00E03B01" w:rsidRDefault="00E03B01" w:rsidP="00095809">
      <w:pPr>
        <w:tabs>
          <w:tab w:val="left" w:pos="142"/>
        </w:tabs>
        <w:rPr>
          <w:rFonts w:ascii="Arial" w:hAnsi="Arial" w:cs="Arial"/>
          <w:sz w:val="24"/>
          <w:szCs w:val="24"/>
        </w:rPr>
      </w:pPr>
      <w:r>
        <w:rPr>
          <w:rFonts w:ascii="Arial" w:hAnsi="Arial" w:cs="Arial"/>
          <w:sz w:val="24"/>
          <w:szCs w:val="24"/>
        </w:rPr>
        <w:t>Rahner K ( 2004) ‘Foundations of Christian Faith: An introduction to the idea of Christianity’</w:t>
      </w:r>
      <w:r w:rsidR="00FD413A">
        <w:rPr>
          <w:rFonts w:ascii="Arial" w:hAnsi="Arial" w:cs="Arial"/>
          <w:sz w:val="24"/>
          <w:szCs w:val="24"/>
        </w:rPr>
        <w:t>. First published 1908. New York: Crossroad Publication.</w:t>
      </w:r>
    </w:p>
    <w:p w:rsidR="00414D2C" w:rsidRDefault="00414D2C" w:rsidP="00095809">
      <w:pPr>
        <w:tabs>
          <w:tab w:val="left" w:pos="142"/>
        </w:tabs>
        <w:rPr>
          <w:rFonts w:ascii="Arial" w:hAnsi="Arial" w:cs="Arial"/>
          <w:sz w:val="24"/>
          <w:szCs w:val="24"/>
        </w:rPr>
      </w:pPr>
      <w:r>
        <w:rPr>
          <w:rFonts w:ascii="Arial" w:hAnsi="Arial" w:cs="Arial"/>
          <w:sz w:val="24"/>
          <w:szCs w:val="24"/>
        </w:rPr>
        <w:t>Resch D (2012) ‘Barth’s interpretation of the Virgin Birth: A sign of mystery’. London: Routledge.</w:t>
      </w:r>
    </w:p>
    <w:p w:rsidR="00F4206F" w:rsidRDefault="00F4206F" w:rsidP="00095809">
      <w:pPr>
        <w:tabs>
          <w:tab w:val="left" w:pos="142"/>
        </w:tabs>
        <w:rPr>
          <w:rFonts w:ascii="Arial" w:hAnsi="Arial" w:cs="Arial"/>
          <w:sz w:val="24"/>
          <w:szCs w:val="24"/>
        </w:rPr>
      </w:pPr>
      <w:r>
        <w:rPr>
          <w:rFonts w:ascii="Arial" w:hAnsi="Arial" w:cs="Arial"/>
          <w:sz w:val="24"/>
          <w:szCs w:val="24"/>
        </w:rPr>
        <w:t xml:space="preserve">Shults F (1996) ‘A dubious Christological formula: From Leontius of Byzantium to Karl Barth’. </w:t>
      </w:r>
      <w:r>
        <w:rPr>
          <w:rFonts w:ascii="Arial" w:hAnsi="Arial" w:cs="Arial"/>
          <w:i/>
          <w:sz w:val="24"/>
          <w:szCs w:val="24"/>
        </w:rPr>
        <w:t xml:space="preserve">Theological Studies </w:t>
      </w:r>
      <w:r w:rsidR="00F07229">
        <w:rPr>
          <w:rFonts w:ascii="Arial" w:hAnsi="Arial" w:cs="Arial"/>
          <w:sz w:val="24"/>
          <w:szCs w:val="24"/>
        </w:rPr>
        <w:t xml:space="preserve">Vol 57 (3) </w:t>
      </w:r>
      <w:r>
        <w:rPr>
          <w:rFonts w:ascii="Arial" w:hAnsi="Arial" w:cs="Arial"/>
          <w:sz w:val="24"/>
          <w:szCs w:val="24"/>
        </w:rPr>
        <w:t xml:space="preserve"> pp 431 – 46.</w:t>
      </w:r>
    </w:p>
    <w:p w:rsidR="00CC0430" w:rsidRDefault="00CC0430" w:rsidP="00CC0430">
      <w:pPr>
        <w:tabs>
          <w:tab w:val="left" w:pos="142"/>
        </w:tabs>
        <w:rPr>
          <w:rFonts w:ascii="Arial" w:hAnsi="Arial" w:cs="Arial"/>
          <w:sz w:val="24"/>
          <w:szCs w:val="24"/>
        </w:rPr>
      </w:pPr>
      <w:r>
        <w:rPr>
          <w:rFonts w:ascii="Arial" w:hAnsi="Arial" w:cs="Arial"/>
          <w:sz w:val="24"/>
          <w:szCs w:val="24"/>
        </w:rPr>
        <w:t>Shuster M (2012) ‘</w:t>
      </w:r>
      <w:r w:rsidRPr="00CC0430">
        <w:rPr>
          <w:rFonts w:ascii="Arial" w:hAnsi="Arial" w:cs="Arial"/>
          <w:i/>
          <w:sz w:val="24"/>
          <w:szCs w:val="24"/>
        </w:rPr>
        <w:t>The Incarnation in Selected Christmas Sermons’</w:t>
      </w:r>
      <w:r>
        <w:rPr>
          <w:rFonts w:ascii="Arial" w:hAnsi="Arial" w:cs="Arial"/>
          <w:sz w:val="24"/>
          <w:szCs w:val="24"/>
        </w:rPr>
        <w:t xml:space="preserve"> in </w:t>
      </w:r>
      <w:r>
        <w:rPr>
          <w:rFonts w:ascii="Arial" w:hAnsi="Arial" w:cs="Arial"/>
          <w:sz w:val="24"/>
          <w:szCs w:val="24"/>
        </w:rPr>
        <w:t xml:space="preserve">‘The Incarnation: An interdisciplinary symposium on the Incarnation of the Son of God’. </w:t>
      </w:r>
      <w:r>
        <w:rPr>
          <w:rFonts w:ascii="Arial" w:hAnsi="Arial" w:cs="Arial"/>
          <w:sz w:val="24"/>
          <w:szCs w:val="24"/>
        </w:rPr>
        <w:lastRenderedPageBreak/>
        <w:t>(eds) Davis ST Kendall D &amp; O’Collins G. Oxford: Oxford University Press</w:t>
      </w:r>
      <w:r>
        <w:rPr>
          <w:rFonts w:ascii="Arial" w:hAnsi="Arial" w:cs="Arial"/>
          <w:sz w:val="24"/>
          <w:szCs w:val="24"/>
        </w:rPr>
        <w:t xml:space="preserve"> pp 377 - 396</w:t>
      </w:r>
      <w:r>
        <w:rPr>
          <w:rFonts w:ascii="Arial" w:hAnsi="Arial" w:cs="Arial"/>
          <w:sz w:val="24"/>
          <w:szCs w:val="24"/>
        </w:rPr>
        <w:t>.</w:t>
      </w:r>
    </w:p>
    <w:p w:rsidR="00E7097E" w:rsidRDefault="00E7097E" w:rsidP="00095809">
      <w:pPr>
        <w:tabs>
          <w:tab w:val="left" w:pos="142"/>
        </w:tabs>
        <w:rPr>
          <w:rFonts w:ascii="Arial" w:hAnsi="Arial" w:cs="Arial"/>
          <w:sz w:val="24"/>
          <w:szCs w:val="24"/>
        </w:rPr>
      </w:pPr>
      <w:r>
        <w:rPr>
          <w:rFonts w:ascii="Arial" w:hAnsi="Arial" w:cs="Arial"/>
          <w:sz w:val="24"/>
          <w:szCs w:val="24"/>
        </w:rPr>
        <w:t>Sumner D O (2014) ‘Karl Barth and the Incarnation: Christology and the Humility of God’. London: T &amp; T Clark.</w:t>
      </w:r>
    </w:p>
    <w:p w:rsidR="004852B9" w:rsidRDefault="004852B9" w:rsidP="00095809">
      <w:pPr>
        <w:tabs>
          <w:tab w:val="left" w:pos="142"/>
        </w:tabs>
        <w:rPr>
          <w:rFonts w:ascii="Arial" w:hAnsi="Arial" w:cs="Arial"/>
          <w:sz w:val="24"/>
          <w:szCs w:val="24"/>
        </w:rPr>
      </w:pPr>
      <w:r>
        <w:rPr>
          <w:rFonts w:ascii="Arial" w:hAnsi="Arial" w:cs="Arial"/>
          <w:sz w:val="24"/>
          <w:szCs w:val="24"/>
        </w:rPr>
        <w:t xml:space="preserve">Thompson J (1991) ‘The Holy Spirit in the Theology of Karl Barth’. Oregon: </w:t>
      </w:r>
      <w:r w:rsidR="002722FA">
        <w:rPr>
          <w:rFonts w:ascii="Arial" w:hAnsi="Arial" w:cs="Arial"/>
          <w:sz w:val="24"/>
          <w:szCs w:val="24"/>
        </w:rPr>
        <w:t>Pickwick Publications.</w:t>
      </w:r>
    </w:p>
    <w:p w:rsidR="00730C62" w:rsidRDefault="004852B9" w:rsidP="00095809">
      <w:pPr>
        <w:tabs>
          <w:tab w:val="left" w:pos="142"/>
        </w:tabs>
        <w:rPr>
          <w:rFonts w:ascii="Arial" w:hAnsi="Arial" w:cs="Arial"/>
          <w:sz w:val="24"/>
          <w:szCs w:val="24"/>
        </w:rPr>
      </w:pPr>
      <w:r>
        <w:rPr>
          <w:rFonts w:ascii="Arial" w:hAnsi="Arial" w:cs="Arial"/>
          <w:sz w:val="24"/>
          <w:szCs w:val="24"/>
        </w:rPr>
        <w:t xml:space="preserve">Thompson </w:t>
      </w:r>
      <w:r w:rsidR="001F169E">
        <w:rPr>
          <w:rFonts w:ascii="Arial" w:hAnsi="Arial" w:cs="Arial"/>
          <w:sz w:val="24"/>
          <w:szCs w:val="24"/>
        </w:rPr>
        <w:t xml:space="preserve">TR &amp; Plantinga C (2006) ‘Trinity and Kenosis’ </w:t>
      </w:r>
      <w:r w:rsidR="001F169E">
        <w:rPr>
          <w:rFonts w:ascii="Arial" w:hAnsi="Arial" w:cs="Arial"/>
          <w:sz w:val="24"/>
          <w:szCs w:val="24"/>
        </w:rPr>
        <w:t>in Evans CS (ed) ‘</w:t>
      </w:r>
      <w:r w:rsidR="001F169E" w:rsidRPr="00580BB5">
        <w:rPr>
          <w:rFonts w:ascii="Arial" w:hAnsi="Arial" w:cs="Arial"/>
          <w:i/>
          <w:sz w:val="24"/>
          <w:szCs w:val="24"/>
        </w:rPr>
        <w:t>Explaining Kenotic Christology: The Self-Emptying of God’</w:t>
      </w:r>
      <w:r w:rsidR="001F169E">
        <w:rPr>
          <w:rFonts w:ascii="Arial" w:hAnsi="Arial" w:cs="Arial"/>
          <w:sz w:val="24"/>
          <w:szCs w:val="24"/>
        </w:rPr>
        <w:t xml:space="preserve"> Oxford: Oxford University Press</w:t>
      </w:r>
      <w:r w:rsidR="001F169E">
        <w:rPr>
          <w:rFonts w:ascii="Arial" w:hAnsi="Arial" w:cs="Arial"/>
          <w:sz w:val="24"/>
          <w:szCs w:val="24"/>
        </w:rPr>
        <w:t xml:space="preserve"> pp 165 – 89.</w:t>
      </w:r>
    </w:p>
    <w:p w:rsidR="00DA4324" w:rsidRPr="00F4206F" w:rsidRDefault="00DA4324" w:rsidP="00095809">
      <w:pPr>
        <w:tabs>
          <w:tab w:val="left" w:pos="142"/>
        </w:tabs>
        <w:rPr>
          <w:rFonts w:ascii="Arial" w:hAnsi="Arial" w:cs="Arial"/>
          <w:sz w:val="24"/>
          <w:szCs w:val="24"/>
        </w:rPr>
      </w:pPr>
      <w:r>
        <w:rPr>
          <w:rFonts w:ascii="Arial" w:hAnsi="Arial" w:cs="Arial"/>
          <w:sz w:val="24"/>
          <w:szCs w:val="24"/>
        </w:rPr>
        <w:t xml:space="preserve">Van Driel EC (2007) ‘Karl Barth on the Eternal Existence’. </w:t>
      </w:r>
      <w:r>
        <w:rPr>
          <w:rFonts w:ascii="Arial" w:hAnsi="Arial" w:cs="Arial"/>
          <w:i/>
          <w:sz w:val="24"/>
          <w:szCs w:val="24"/>
        </w:rPr>
        <w:t xml:space="preserve">Scottish Journal of Theology </w:t>
      </w:r>
      <w:r>
        <w:rPr>
          <w:rFonts w:ascii="Arial" w:hAnsi="Arial" w:cs="Arial"/>
          <w:sz w:val="24"/>
          <w:szCs w:val="24"/>
        </w:rPr>
        <w:t>Vol 60 (1) pp 45 – 61.</w:t>
      </w:r>
    </w:p>
    <w:p w:rsidR="00B47598" w:rsidRDefault="00B47598" w:rsidP="00095809">
      <w:pPr>
        <w:tabs>
          <w:tab w:val="left" w:pos="142"/>
        </w:tabs>
        <w:rPr>
          <w:rFonts w:ascii="Arial" w:hAnsi="Arial" w:cs="Arial"/>
          <w:sz w:val="24"/>
          <w:szCs w:val="24"/>
        </w:rPr>
      </w:pPr>
      <w:r>
        <w:rPr>
          <w:rFonts w:ascii="Arial" w:hAnsi="Arial" w:cs="Arial"/>
          <w:sz w:val="24"/>
          <w:szCs w:val="24"/>
        </w:rPr>
        <w:t>Webb SH (2011) ‘Jesus Christ God: Heavenly Flesh and the Metaphysics of Matter’. Oxford: Oxford University Press.</w:t>
      </w:r>
    </w:p>
    <w:p w:rsidR="009355AF" w:rsidRPr="00252309" w:rsidRDefault="009355AF" w:rsidP="00095809">
      <w:pPr>
        <w:tabs>
          <w:tab w:val="left" w:pos="142"/>
        </w:tabs>
        <w:rPr>
          <w:rFonts w:ascii="Arial" w:hAnsi="Arial" w:cs="Arial"/>
          <w:sz w:val="24"/>
          <w:szCs w:val="24"/>
        </w:rPr>
      </w:pPr>
      <w:r>
        <w:rPr>
          <w:rFonts w:ascii="Arial" w:hAnsi="Arial" w:cs="Arial"/>
          <w:sz w:val="24"/>
          <w:szCs w:val="24"/>
        </w:rPr>
        <w:t xml:space="preserve">Weber JC (1964) ‘Karl Barth and the Historical Jesus’ </w:t>
      </w:r>
      <w:r w:rsidR="00252309">
        <w:rPr>
          <w:rFonts w:ascii="Arial" w:hAnsi="Arial" w:cs="Arial"/>
          <w:i/>
          <w:sz w:val="24"/>
          <w:szCs w:val="24"/>
        </w:rPr>
        <w:t xml:space="preserve">Journal of Bible and Religion </w:t>
      </w:r>
      <w:r w:rsidR="00252309">
        <w:rPr>
          <w:rFonts w:ascii="Arial" w:hAnsi="Arial" w:cs="Arial"/>
          <w:sz w:val="24"/>
          <w:szCs w:val="24"/>
        </w:rPr>
        <w:t>Vol 32 (4) pp 350 – 4.</w:t>
      </w:r>
    </w:p>
    <w:p w:rsidR="00FD1DA6" w:rsidRPr="00095809" w:rsidRDefault="00FD1DA6" w:rsidP="00095809">
      <w:pPr>
        <w:tabs>
          <w:tab w:val="left" w:pos="142"/>
        </w:tabs>
        <w:rPr>
          <w:rFonts w:ascii="Arial" w:hAnsi="Arial" w:cs="Arial"/>
          <w:sz w:val="24"/>
          <w:szCs w:val="24"/>
        </w:rPr>
      </w:pPr>
    </w:p>
    <w:sectPr w:rsidR="00FD1DA6" w:rsidRPr="0009580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6D7" w:rsidRDefault="009666D7" w:rsidP="009666D7">
      <w:pPr>
        <w:spacing w:after="0" w:line="240" w:lineRule="auto"/>
      </w:pPr>
      <w:r>
        <w:separator/>
      </w:r>
    </w:p>
  </w:endnote>
  <w:endnote w:type="continuationSeparator" w:id="0">
    <w:p w:rsidR="009666D7" w:rsidRDefault="009666D7" w:rsidP="00966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559302"/>
      <w:docPartObj>
        <w:docPartGallery w:val="Page Numbers (Bottom of Page)"/>
        <w:docPartUnique/>
      </w:docPartObj>
    </w:sdtPr>
    <w:sdtEndPr>
      <w:rPr>
        <w:noProof/>
      </w:rPr>
    </w:sdtEndPr>
    <w:sdtContent>
      <w:p w:rsidR="009666D7" w:rsidRDefault="009666D7">
        <w:pPr>
          <w:pStyle w:val="Footer"/>
          <w:jc w:val="right"/>
        </w:pPr>
        <w:r>
          <w:fldChar w:fldCharType="begin"/>
        </w:r>
        <w:r>
          <w:instrText xml:space="preserve"> PAGE   \* MERGEFORMAT </w:instrText>
        </w:r>
        <w:r>
          <w:fldChar w:fldCharType="separate"/>
        </w:r>
        <w:r w:rsidR="00A20F4C">
          <w:rPr>
            <w:noProof/>
          </w:rPr>
          <w:t>8</w:t>
        </w:r>
        <w:r>
          <w:rPr>
            <w:noProof/>
          </w:rPr>
          <w:fldChar w:fldCharType="end"/>
        </w:r>
      </w:p>
    </w:sdtContent>
  </w:sdt>
  <w:p w:rsidR="009666D7" w:rsidRDefault="009666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6D7" w:rsidRDefault="009666D7" w:rsidP="009666D7">
      <w:pPr>
        <w:spacing w:after="0" w:line="240" w:lineRule="auto"/>
      </w:pPr>
      <w:r>
        <w:separator/>
      </w:r>
    </w:p>
  </w:footnote>
  <w:footnote w:type="continuationSeparator" w:id="0">
    <w:p w:rsidR="009666D7" w:rsidRDefault="009666D7" w:rsidP="00966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0BAB"/>
    <w:multiLevelType w:val="hybridMultilevel"/>
    <w:tmpl w:val="F8D4A476"/>
    <w:lvl w:ilvl="0" w:tplc="4E72F7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103D40"/>
    <w:multiLevelType w:val="hybridMultilevel"/>
    <w:tmpl w:val="33B4FD48"/>
    <w:lvl w:ilvl="0" w:tplc="4DBC7E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FC37AF"/>
    <w:multiLevelType w:val="hybridMultilevel"/>
    <w:tmpl w:val="6E400024"/>
    <w:lvl w:ilvl="0" w:tplc="EEA84E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8866DC1"/>
    <w:multiLevelType w:val="hybridMultilevel"/>
    <w:tmpl w:val="86AC0EA4"/>
    <w:lvl w:ilvl="0" w:tplc="4F3041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823729"/>
    <w:multiLevelType w:val="hybridMultilevel"/>
    <w:tmpl w:val="6E400024"/>
    <w:lvl w:ilvl="0" w:tplc="EEA84E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EAB3A39"/>
    <w:multiLevelType w:val="hybridMultilevel"/>
    <w:tmpl w:val="6E400024"/>
    <w:lvl w:ilvl="0" w:tplc="EEA84E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DDD"/>
    <w:rsid w:val="00004C9A"/>
    <w:rsid w:val="00031E6D"/>
    <w:rsid w:val="00042697"/>
    <w:rsid w:val="000539F0"/>
    <w:rsid w:val="00062715"/>
    <w:rsid w:val="000828CE"/>
    <w:rsid w:val="00095809"/>
    <w:rsid w:val="000D7AE6"/>
    <w:rsid w:val="00106429"/>
    <w:rsid w:val="00124961"/>
    <w:rsid w:val="001253DC"/>
    <w:rsid w:val="001A3FF6"/>
    <w:rsid w:val="001A5AD1"/>
    <w:rsid w:val="001C64D4"/>
    <w:rsid w:val="001E200D"/>
    <w:rsid w:val="001F169E"/>
    <w:rsid w:val="002050C0"/>
    <w:rsid w:val="00227D8B"/>
    <w:rsid w:val="00227DDD"/>
    <w:rsid w:val="00252309"/>
    <w:rsid w:val="00264E3A"/>
    <w:rsid w:val="002722FA"/>
    <w:rsid w:val="00293057"/>
    <w:rsid w:val="002A064F"/>
    <w:rsid w:val="002B3FCC"/>
    <w:rsid w:val="002C7970"/>
    <w:rsid w:val="0031391A"/>
    <w:rsid w:val="003670C1"/>
    <w:rsid w:val="00382BF0"/>
    <w:rsid w:val="00383E9F"/>
    <w:rsid w:val="00386BA6"/>
    <w:rsid w:val="003916A0"/>
    <w:rsid w:val="003A4F32"/>
    <w:rsid w:val="003D7AA9"/>
    <w:rsid w:val="004122BD"/>
    <w:rsid w:val="00414D2C"/>
    <w:rsid w:val="00431B4B"/>
    <w:rsid w:val="00445BBA"/>
    <w:rsid w:val="00465C8A"/>
    <w:rsid w:val="00467F95"/>
    <w:rsid w:val="004852B9"/>
    <w:rsid w:val="004C3834"/>
    <w:rsid w:val="004D3ACF"/>
    <w:rsid w:val="00531ECA"/>
    <w:rsid w:val="00532668"/>
    <w:rsid w:val="0057734C"/>
    <w:rsid w:val="00580BB5"/>
    <w:rsid w:val="005D730D"/>
    <w:rsid w:val="005F70D7"/>
    <w:rsid w:val="00612DC4"/>
    <w:rsid w:val="00615F9F"/>
    <w:rsid w:val="00621159"/>
    <w:rsid w:val="00627DC6"/>
    <w:rsid w:val="00642F7E"/>
    <w:rsid w:val="00646C8D"/>
    <w:rsid w:val="00656634"/>
    <w:rsid w:val="00671438"/>
    <w:rsid w:val="006949C0"/>
    <w:rsid w:val="006A034C"/>
    <w:rsid w:val="006B3BB1"/>
    <w:rsid w:val="006C4B40"/>
    <w:rsid w:val="006D49C2"/>
    <w:rsid w:val="006F6C4F"/>
    <w:rsid w:val="00730C62"/>
    <w:rsid w:val="007700B7"/>
    <w:rsid w:val="00784352"/>
    <w:rsid w:val="007B02E4"/>
    <w:rsid w:val="007D356D"/>
    <w:rsid w:val="007D5D61"/>
    <w:rsid w:val="00806AB8"/>
    <w:rsid w:val="00825F1D"/>
    <w:rsid w:val="00834887"/>
    <w:rsid w:val="00840972"/>
    <w:rsid w:val="00851122"/>
    <w:rsid w:val="00862D91"/>
    <w:rsid w:val="00880AA0"/>
    <w:rsid w:val="00885AD6"/>
    <w:rsid w:val="00894B9A"/>
    <w:rsid w:val="008A5FAA"/>
    <w:rsid w:val="008A67FB"/>
    <w:rsid w:val="008B14E8"/>
    <w:rsid w:val="008D3449"/>
    <w:rsid w:val="008E58FC"/>
    <w:rsid w:val="00907AB2"/>
    <w:rsid w:val="00911DEC"/>
    <w:rsid w:val="00913C62"/>
    <w:rsid w:val="00914824"/>
    <w:rsid w:val="00921535"/>
    <w:rsid w:val="00922392"/>
    <w:rsid w:val="00931C67"/>
    <w:rsid w:val="009355AF"/>
    <w:rsid w:val="009414E2"/>
    <w:rsid w:val="0094252D"/>
    <w:rsid w:val="00950875"/>
    <w:rsid w:val="009573B0"/>
    <w:rsid w:val="009666D7"/>
    <w:rsid w:val="00981975"/>
    <w:rsid w:val="009821C6"/>
    <w:rsid w:val="009A57CE"/>
    <w:rsid w:val="009D7684"/>
    <w:rsid w:val="00A01B31"/>
    <w:rsid w:val="00A17CD5"/>
    <w:rsid w:val="00A20F4C"/>
    <w:rsid w:val="00A21320"/>
    <w:rsid w:val="00A55361"/>
    <w:rsid w:val="00A65866"/>
    <w:rsid w:val="00A76053"/>
    <w:rsid w:val="00AB1744"/>
    <w:rsid w:val="00B0431D"/>
    <w:rsid w:val="00B0735E"/>
    <w:rsid w:val="00B17C99"/>
    <w:rsid w:val="00B4542F"/>
    <w:rsid w:val="00B47598"/>
    <w:rsid w:val="00B71CA0"/>
    <w:rsid w:val="00B83736"/>
    <w:rsid w:val="00B959FE"/>
    <w:rsid w:val="00BB353A"/>
    <w:rsid w:val="00BF6F93"/>
    <w:rsid w:val="00C05E95"/>
    <w:rsid w:val="00C17F2D"/>
    <w:rsid w:val="00C211E5"/>
    <w:rsid w:val="00C43F90"/>
    <w:rsid w:val="00C4742A"/>
    <w:rsid w:val="00C54FBD"/>
    <w:rsid w:val="00C635F6"/>
    <w:rsid w:val="00C7611C"/>
    <w:rsid w:val="00C9345B"/>
    <w:rsid w:val="00CB3EE7"/>
    <w:rsid w:val="00CC0430"/>
    <w:rsid w:val="00CE52F0"/>
    <w:rsid w:val="00CF0566"/>
    <w:rsid w:val="00CF6054"/>
    <w:rsid w:val="00D01A75"/>
    <w:rsid w:val="00D32E4F"/>
    <w:rsid w:val="00D555C3"/>
    <w:rsid w:val="00D57534"/>
    <w:rsid w:val="00D67B63"/>
    <w:rsid w:val="00D771E5"/>
    <w:rsid w:val="00D92638"/>
    <w:rsid w:val="00D97F83"/>
    <w:rsid w:val="00DA048F"/>
    <w:rsid w:val="00DA4324"/>
    <w:rsid w:val="00DA4D5E"/>
    <w:rsid w:val="00E03B01"/>
    <w:rsid w:val="00E06B83"/>
    <w:rsid w:val="00E06E3C"/>
    <w:rsid w:val="00E12C88"/>
    <w:rsid w:val="00E54FD4"/>
    <w:rsid w:val="00E55EA1"/>
    <w:rsid w:val="00E7097E"/>
    <w:rsid w:val="00E71613"/>
    <w:rsid w:val="00E841C3"/>
    <w:rsid w:val="00E84ED4"/>
    <w:rsid w:val="00EB30FB"/>
    <w:rsid w:val="00EE6E3E"/>
    <w:rsid w:val="00EF51B5"/>
    <w:rsid w:val="00F07229"/>
    <w:rsid w:val="00F13C59"/>
    <w:rsid w:val="00F23EC1"/>
    <w:rsid w:val="00F4206F"/>
    <w:rsid w:val="00F54D93"/>
    <w:rsid w:val="00F57339"/>
    <w:rsid w:val="00F63E9A"/>
    <w:rsid w:val="00F6566F"/>
    <w:rsid w:val="00FB2389"/>
    <w:rsid w:val="00FC69DB"/>
    <w:rsid w:val="00FD1DA6"/>
    <w:rsid w:val="00FD413A"/>
    <w:rsid w:val="00FD460C"/>
    <w:rsid w:val="00FF6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1C6"/>
    <w:pPr>
      <w:ind w:left="720"/>
      <w:contextualSpacing/>
    </w:pPr>
  </w:style>
  <w:style w:type="paragraph" w:styleId="Header">
    <w:name w:val="header"/>
    <w:basedOn w:val="Normal"/>
    <w:link w:val="HeaderChar"/>
    <w:uiPriority w:val="99"/>
    <w:unhideWhenUsed/>
    <w:rsid w:val="00966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6D7"/>
  </w:style>
  <w:style w:type="paragraph" w:styleId="Footer">
    <w:name w:val="footer"/>
    <w:basedOn w:val="Normal"/>
    <w:link w:val="FooterChar"/>
    <w:uiPriority w:val="99"/>
    <w:unhideWhenUsed/>
    <w:rsid w:val="00966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6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1C6"/>
    <w:pPr>
      <w:ind w:left="720"/>
      <w:contextualSpacing/>
    </w:pPr>
  </w:style>
  <w:style w:type="paragraph" w:styleId="Header">
    <w:name w:val="header"/>
    <w:basedOn w:val="Normal"/>
    <w:link w:val="HeaderChar"/>
    <w:uiPriority w:val="99"/>
    <w:unhideWhenUsed/>
    <w:rsid w:val="00966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6D7"/>
  </w:style>
  <w:style w:type="paragraph" w:styleId="Footer">
    <w:name w:val="footer"/>
    <w:basedOn w:val="Normal"/>
    <w:link w:val="FooterChar"/>
    <w:uiPriority w:val="99"/>
    <w:unhideWhenUsed/>
    <w:rsid w:val="00966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3448</Words>
  <Characters>19660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2</cp:revision>
  <dcterms:created xsi:type="dcterms:W3CDTF">2020-06-04T15:10:00Z</dcterms:created>
  <dcterms:modified xsi:type="dcterms:W3CDTF">2020-06-04T15:10:00Z</dcterms:modified>
</cp:coreProperties>
</file>