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1A3D" w:rsidRDefault="007D1A3D" w:rsidP="00790E6F">
      <w:pPr>
        <w:spacing w:line="360" w:lineRule="auto"/>
        <w:jc w:val="both"/>
      </w:pPr>
    </w:p>
    <w:p w:rsidR="007D1A3D" w:rsidRDefault="007D1A3D" w:rsidP="00790E6F">
      <w:pPr>
        <w:spacing w:line="360" w:lineRule="auto"/>
        <w:jc w:val="both"/>
      </w:pPr>
    </w:p>
    <w:p w:rsidR="007D1A3D" w:rsidRPr="007D1A3D" w:rsidRDefault="007D1A3D" w:rsidP="00790E6F">
      <w:pPr>
        <w:pStyle w:val="Heading1"/>
        <w:spacing w:line="360" w:lineRule="auto"/>
        <w:jc w:val="center"/>
        <w:rPr>
          <w:rFonts w:ascii="Times New Roman" w:hAnsi="Times New Roman" w:cs="Times New Roman"/>
          <w:color w:val="000000" w:themeColor="text1"/>
        </w:rPr>
      </w:pPr>
      <w:r w:rsidRPr="007D1A3D">
        <w:rPr>
          <w:rFonts w:ascii="Times New Roman" w:hAnsi="Times New Roman" w:cs="Times New Roman"/>
          <w:color w:val="000000" w:themeColor="text1"/>
        </w:rPr>
        <w:t>An investigation into the relationship between Inflammatory Bowel Disease activity and psychological well-being</w:t>
      </w:r>
    </w:p>
    <w:p w:rsidR="007D1A3D" w:rsidRPr="007D1A3D" w:rsidRDefault="007D1A3D" w:rsidP="00790E6F">
      <w:pPr>
        <w:pStyle w:val="Heading1"/>
        <w:spacing w:line="360" w:lineRule="auto"/>
        <w:jc w:val="center"/>
        <w:rPr>
          <w:rFonts w:ascii="Times New Roman" w:hAnsi="Times New Roman" w:cs="Times New Roman"/>
          <w:color w:val="000000" w:themeColor="text1"/>
        </w:rPr>
      </w:pPr>
    </w:p>
    <w:p w:rsidR="007D1A3D" w:rsidRPr="007D1A3D" w:rsidRDefault="007D1A3D" w:rsidP="00790E6F">
      <w:pPr>
        <w:pStyle w:val="Heading1"/>
        <w:spacing w:line="360" w:lineRule="auto"/>
        <w:jc w:val="center"/>
        <w:rPr>
          <w:rFonts w:ascii="Times New Roman" w:hAnsi="Times New Roman" w:cs="Times New Roman"/>
          <w:color w:val="000000" w:themeColor="text1"/>
        </w:rPr>
      </w:pPr>
    </w:p>
    <w:p w:rsidR="007D1A3D" w:rsidRPr="007D1A3D" w:rsidRDefault="007D1A3D" w:rsidP="00790E6F">
      <w:pPr>
        <w:pStyle w:val="Heading1"/>
        <w:spacing w:line="360" w:lineRule="auto"/>
        <w:jc w:val="center"/>
        <w:rPr>
          <w:rFonts w:ascii="Times New Roman" w:hAnsi="Times New Roman" w:cs="Times New Roman"/>
          <w:color w:val="000000" w:themeColor="text1"/>
        </w:rPr>
      </w:pPr>
      <w:r w:rsidRPr="007D1A3D">
        <w:rPr>
          <w:rFonts w:ascii="Times New Roman" w:hAnsi="Times New Roman" w:cs="Times New Roman"/>
          <w:color w:val="000000" w:themeColor="text1"/>
        </w:rPr>
        <w:t>BSc Applied Psychology</w:t>
      </w:r>
    </w:p>
    <w:p w:rsidR="007D1A3D" w:rsidRPr="007D1A3D" w:rsidRDefault="007D1A3D" w:rsidP="00790E6F">
      <w:pPr>
        <w:pStyle w:val="Heading1"/>
        <w:spacing w:line="360" w:lineRule="auto"/>
        <w:jc w:val="center"/>
        <w:rPr>
          <w:rFonts w:ascii="Times New Roman" w:hAnsi="Times New Roman" w:cs="Times New Roman"/>
          <w:color w:val="000000" w:themeColor="text1"/>
        </w:rPr>
      </w:pPr>
      <w:r w:rsidRPr="007D1A3D">
        <w:rPr>
          <w:rFonts w:ascii="Times New Roman" w:hAnsi="Times New Roman" w:cs="Times New Roman"/>
          <w:color w:val="000000" w:themeColor="text1"/>
        </w:rPr>
        <w:t>1502343</w:t>
      </w:r>
    </w:p>
    <w:p w:rsidR="007D1A3D" w:rsidRDefault="007D1A3D" w:rsidP="00790E6F">
      <w:pPr>
        <w:pStyle w:val="Heading1"/>
        <w:spacing w:line="360" w:lineRule="auto"/>
        <w:jc w:val="center"/>
        <w:rPr>
          <w:rFonts w:ascii="Times New Roman" w:hAnsi="Times New Roman" w:cs="Times New Roman"/>
          <w:color w:val="000000" w:themeColor="text1"/>
        </w:rPr>
      </w:pPr>
      <w:r w:rsidRPr="007D1A3D">
        <w:rPr>
          <w:rFonts w:ascii="Times New Roman" w:hAnsi="Times New Roman" w:cs="Times New Roman"/>
          <w:color w:val="000000" w:themeColor="text1"/>
        </w:rPr>
        <w:t>Dissertation in Psychology 201</w:t>
      </w:r>
      <w:r w:rsidR="000A02B1">
        <w:rPr>
          <w:rFonts w:ascii="Times New Roman" w:hAnsi="Times New Roman" w:cs="Times New Roman"/>
          <w:color w:val="000000" w:themeColor="text1"/>
        </w:rPr>
        <w:t>8</w:t>
      </w: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7D1A3D" w:rsidRDefault="007D1A3D" w:rsidP="00790E6F">
      <w:pPr>
        <w:spacing w:line="360" w:lineRule="auto"/>
        <w:jc w:val="both"/>
      </w:pPr>
    </w:p>
    <w:p w:rsidR="00B67CC1" w:rsidRDefault="00B67CC1" w:rsidP="00790E6F">
      <w:pPr>
        <w:spacing w:line="360" w:lineRule="auto"/>
        <w:jc w:val="both"/>
      </w:pPr>
    </w:p>
    <w:p w:rsidR="00940212" w:rsidRDefault="00940212" w:rsidP="00790E6F">
      <w:pPr>
        <w:pStyle w:val="Heading2"/>
        <w:spacing w:line="360" w:lineRule="auto"/>
        <w:jc w:val="both"/>
        <w:rPr>
          <w:rFonts w:ascii="Times New Roman" w:hAnsi="Times New Roman" w:cs="Times New Roman"/>
          <w:color w:val="auto"/>
        </w:rPr>
        <w:sectPr w:rsidR="00940212" w:rsidSect="00940212">
          <w:footerReference w:type="default" r:id="rId8"/>
          <w:pgSz w:w="11906" w:h="16838" w:code="9"/>
          <w:pgMar w:top="1440" w:right="1440" w:bottom="1440" w:left="2160" w:header="709" w:footer="709" w:gutter="0"/>
          <w:pgNumType w:start="1"/>
          <w:cols w:space="708"/>
          <w:titlePg/>
          <w:docGrid w:linePitch="360"/>
        </w:sectPr>
      </w:pPr>
    </w:p>
    <w:p w:rsidR="00F63C52" w:rsidRDefault="00F63C52" w:rsidP="00790E6F">
      <w:pPr>
        <w:pStyle w:val="Heading2"/>
        <w:spacing w:line="360" w:lineRule="auto"/>
        <w:jc w:val="both"/>
        <w:rPr>
          <w:rFonts w:ascii="Times New Roman" w:hAnsi="Times New Roman" w:cs="Times New Roman"/>
          <w:color w:val="auto"/>
        </w:rPr>
      </w:pPr>
      <w:r w:rsidRPr="00F63C52">
        <w:rPr>
          <w:rFonts w:ascii="Times New Roman" w:hAnsi="Times New Roman" w:cs="Times New Roman"/>
          <w:color w:val="auto"/>
        </w:rPr>
        <w:lastRenderedPageBreak/>
        <w:t xml:space="preserve"> </w:t>
      </w:r>
      <w:r w:rsidR="000A346D" w:rsidRPr="000A346D">
        <w:drawing>
          <wp:inline distT="0" distB="0" distL="0" distR="0">
            <wp:extent cx="5274310" cy="8317383"/>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310" cy="8317383"/>
                    </a:xfrm>
                    <a:prstGeom prst="rect">
                      <a:avLst/>
                    </a:prstGeom>
                    <a:noFill/>
                    <a:ln>
                      <a:noFill/>
                    </a:ln>
                  </pic:spPr>
                </pic:pic>
              </a:graphicData>
            </a:graphic>
          </wp:inline>
        </w:drawing>
      </w:r>
    </w:p>
    <w:p w:rsidR="00F63C52" w:rsidRDefault="00FC1571" w:rsidP="00790E6F">
      <w:pPr>
        <w:pStyle w:val="Heading2"/>
        <w:spacing w:line="360" w:lineRule="auto"/>
        <w:jc w:val="both"/>
        <w:rPr>
          <w:rFonts w:ascii="Times New Roman" w:hAnsi="Times New Roman" w:cs="Times New Roman"/>
        </w:rPr>
      </w:pPr>
      <w:r w:rsidRPr="00FC1571">
        <w:lastRenderedPageBreak/>
        <w:drawing>
          <wp:inline distT="0" distB="0" distL="0" distR="0">
            <wp:extent cx="5274310" cy="3180356"/>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3180356"/>
                    </a:xfrm>
                    <a:prstGeom prst="rect">
                      <a:avLst/>
                    </a:prstGeom>
                    <a:noFill/>
                    <a:ln>
                      <a:noFill/>
                    </a:ln>
                  </pic:spPr>
                </pic:pic>
              </a:graphicData>
            </a:graphic>
          </wp:inline>
        </w:drawing>
      </w: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pPr>
    </w:p>
    <w:p w:rsidR="00F63C52" w:rsidRDefault="00F63C52" w:rsidP="00790E6F">
      <w:pPr>
        <w:pStyle w:val="Heading2"/>
        <w:spacing w:line="360" w:lineRule="auto"/>
        <w:jc w:val="both"/>
        <w:rPr>
          <w:rFonts w:ascii="Times New Roman" w:hAnsi="Times New Roman" w:cs="Times New Roman"/>
        </w:rPr>
        <w:sectPr w:rsidR="00F63C52" w:rsidSect="00940212">
          <w:pgSz w:w="11906" w:h="16838" w:code="9"/>
          <w:pgMar w:top="1440" w:right="1440" w:bottom="1440" w:left="2160" w:header="709" w:footer="709" w:gutter="0"/>
          <w:pgNumType w:start="1"/>
          <w:cols w:space="708"/>
          <w:titlePg/>
          <w:docGrid w:linePitch="360"/>
        </w:sectPr>
      </w:pPr>
    </w:p>
    <w:p w:rsidR="00B67CC1" w:rsidRPr="00B67CC1" w:rsidRDefault="00B67CC1" w:rsidP="00790E6F">
      <w:pPr>
        <w:pStyle w:val="Heading2"/>
        <w:spacing w:line="360" w:lineRule="auto"/>
        <w:jc w:val="both"/>
        <w:rPr>
          <w:rFonts w:ascii="Times New Roman" w:hAnsi="Times New Roman" w:cs="Times New Roman"/>
        </w:rPr>
      </w:pPr>
      <w:r w:rsidRPr="00B67CC1">
        <w:rPr>
          <w:rFonts w:ascii="Times New Roman" w:hAnsi="Times New Roman" w:cs="Times New Roman"/>
        </w:rPr>
        <w:lastRenderedPageBreak/>
        <w:t>List of Abbreviations</w:t>
      </w:r>
    </w:p>
    <w:p w:rsidR="00B67CC1" w:rsidRPr="00B67CC1" w:rsidRDefault="00B67CC1" w:rsidP="00790E6F">
      <w:pPr>
        <w:spacing w:line="360" w:lineRule="auto"/>
        <w:jc w:val="both"/>
        <w:rPr>
          <w:rFonts w:ascii="Times New Roman" w:hAnsi="Times New Roman" w:cs="Times New Roman"/>
          <w:sz w:val="24"/>
          <w:szCs w:val="24"/>
        </w:rPr>
      </w:pP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ANOVA </w:t>
      </w:r>
      <w:r w:rsidRPr="00B67CC1">
        <w:rPr>
          <w:rFonts w:ascii="Times New Roman" w:hAnsi="Times New Roman" w:cs="Times New Roman"/>
          <w:sz w:val="24"/>
          <w:szCs w:val="24"/>
        </w:rPr>
        <w:tab/>
        <w:t>Analysis of Variance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CD</w:t>
      </w:r>
      <w:r w:rsidRPr="00B67CC1">
        <w:rPr>
          <w:rFonts w:ascii="Times New Roman" w:hAnsi="Times New Roman" w:cs="Times New Roman"/>
          <w:sz w:val="24"/>
          <w:szCs w:val="24"/>
        </w:rPr>
        <w:tab/>
      </w:r>
      <w:r w:rsidRPr="00B67CC1">
        <w:rPr>
          <w:rFonts w:ascii="Times New Roman" w:hAnsi="Times New Roman" w:cs="Times New Roman"/>
          <w:sz w:val="24"/>
          <w:szCs w:val="24"/>
        </w:rPr>
        <w:tab/>
        <w:t>Crohn’s Disease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DASS-21</w:t>
      </w:r>
      <w:r w:rsidRPr="00B67CC1">
        <w:rPr>
          <w:rFonts w:ascii="Times New Roman" w:hAnsi="Times New Roman" w:cs="Times New Roman"/>
          <w:sz w:val="24"/>
          <w:szCs w:val="24"/>
        </w:rPr>
        <w:tab/>
        <w:t>The Depression, Anxiety and Stress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HADS</w:t>
      </w:r>
      <w:r w:rsidRPr="00B67CC1">
        <w:rPr>
          <w:rFonts w:ascii="Times New Roman" w:hAnsi="Times New Roman" w:cs="Times New Roman"/>
          <w:sz w:val="24"/>
          <w:szCs w:val="24"/>
        </w:rPr>
        <w:tab/>
      </w:r>
      <w:r w:rsidRPr="00B67CC1">
        <w:rPr>
          <w:rFonts w:ascii="Times New Roman" w:hAnsi="Times New Roman" w:cs="Times New Roman"/>
          <w:sz w:val="24"/>
          <w:szCs w:val="24"/>
        </w:rPr>
        <w:tab/>
        <w:t>The Hospital Anxiety and Depression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HCV</w:t>
      </w:r>
      <w:r w:rsidRPr="00B67CC1">
        <w:rPr>
          <w:rFonts w:ascii="Times New Roman" w:hAnsi="Times New Roman" w:cs="Times New Roman"/>
          <w:sz w:val="24"/>
          <w:szCs w:val="24"/>
        </w:rPr>
        <w:tab/>
      </w:r>
      <w:r w:rsidRPr="00B67CC1">
        <w:rPr>
          <w:rFonts w:ascii="Times New Roman" w:hAnsi="Times New Roman" w:cs="Times New Roman"/>
          <w:sz w:val="24"/>
          <w:szCs w:val="24"/>
        </w:rPr>
        <w:tab/>
        <w:t>Hepatitis C</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HRQoL</w:t>
      </w:r>
      <w:r w:rsidRPr="00B67CC1">
        <w:rPr>
          <w:rFonts w:ascii="Times New Roman" w:hAnsi="Times New Roman" w:cs="Times New Roman"/>
          <w:sz w:val="24"/>
          <w:szCs w:val="24"/>
        </w:rPr>
        <w:tab/>
        <w:t>Health Related Quality of Life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IBD</w:t>
      </w:r>
      <w:r w:rsidRPr="00B67CC1">
        <w:rPr>
          <w:rFonts w:ascii="Times New Roman" w:hAnsi="Times New Roman" w:cs="Times New Roman"/>
          <w:sz w:val="24"/>
          <w:szCs w:val="24"/>
        </w:rPr>
        <w:tab/>
      </w:r>
      <w:r w:rsidRPr="00B67CC1">
        <w:rPr>
          <w:rFonts w:ascii="Times New Roman" w:hAnsi="Times New Roman" w:cs="Times New Roman"/>
          <w:sz w:val="24"/>
          <w:szCs w:val="24"/>
        </w:rPr>
        <w:tab/>
        <w:t>Inflammatory Bowel Disease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IBS</w:t>
      </w:r>
      <w:r w:rsidRPr="00B67CC1">
        <w:rPr>
          <w:rFonts w:ascii="Times New Roman" w:hAnsi="Times New Roman" w:cs="Times New Roman"/>
          <w:sz w:val="24"/>
          <w:szCs w:val="24"/>
        </w:rPr>
        <w:tab/>
      </w:r>
      <w:r w:rsidRPr="00B67CC1">
        <w:rPr>
          <w:rFonts w:ascii="Times New Roman" w:hAnsi="Times New Roman" w:cs="Times New Roman"/>
          <w:sz w:val="24"/>
          <w:szCs w:val="24"/>
        </w:rPr>
        <w:tab/>
        <w:t>Irritable Bowel Syndrome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ITIA </w:t>
      </w:r>
      <w:r w:rsidRPr="00B67CC1">
        <w:rPr>
          <w:rFonts w:ascii="Times New Roman" w:hAnsi="Times New Roman" w:cs="Times New Roman"/>
          <w:sz w:val="24"/>
          <w:szCs w:val="24"/>
        </w:rPr>
        <w:tab/>
      </w:r>
      <w:r w:rsidRPr="00B67CC1">
        <w:rPr>
          <w:rFonts w:ascii="Times New Roman" w:hAnsi="Times New Roman" w:cs="Times New Roman"/>
          <w:sz w:val="24"/>
          <w:szCs w:val="24"/>
        </w:rPr>
        <w:tab/>
        <w:t>I think I am Scale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 xml:space="preserve">MSPSS </w:t>
      </w:r>
      <w:r w:rsidRPr="00B67CC1">
        <w:rPr>
          <w:rFonts w:ascii="Times New Roman" w:hAnsi="Times New Roman" w:cs="Times New Roman"/>
          <w:sz w:val="24"/>
          <w:szCs w:val="24"/>
        </w:rPr>
        <w:tab/>
        <w:t>The Multidimensional Scale of Perceived Social Support</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PSQI</w:t>
      </w:r>
      <w:r w:rsidRPr="00B67CC1">
        <w:rPr>
          <w:rFonts w:ascii="Times New Roman" w:hAnsi="Times New Roman" w:cs="Times New Roman"/>
          <w:sz w:val="24"/>
          <w:szCs w:val="24"/>
        </w:rPr>
        <w:tab/>
      </w:r>
      <w:r w:rsidRPr="00B67CC1">
        <w:rPr>
          <w:rFonts w:ascii="Times New Roman" w:hAnsi="Times New Roman" w:cs="Times New Roman"/>
          <w:sz w:val="24"/>
          <w:szCs w:val="24"/>
        </w:rPr>
        <w:tab/>
        <w:t>Pittsburgh Sleep Quality Index</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QoL</w:t>
      </w:r>
      <w:r w:rsidRPr="00B67CC1">
        <w:rPr>
          <w:rFonts w:ascii="Times New Roman" w:hAnsi="Times New Roman" w:cs="Times New Roman"/>
          <w:sz w:val="24"/>
          <w:szCs w:val="24"/>
        </w:rPr>
        <w:tab/>
      </w:r>
      <w:r w:rsidRPr="00B67CC1">
        <w:rPr>
          <w:rFonts w:ascii="Times New Roman" w:hAnsi="Times New Roman" w:cs="Times New Roman"/>
          <w:sz w:val="24"/>
          <w:szCs w:val="24"/>
        </w:rPr>
        <w:tab/>
        <w:t>Quality of Life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SSM</w:t>
      </w:r>
      <w:r w:rsidRPr="00B67CC1">
        <w:rPr>
          <w:rFonts w:ascii="Times New Roman" w:hAnsi="Times New Roman" w:cs="Times New Roman"/>
          <w:sz w:val="24"/>
          <w:szCs w:val="24"/>
        </w:rPr>
        <w:tab/>
      </w:r>
      <w:r w:rsidRPr="00B67CC1">
        <w:rPr>
          <w:rFonts w:ascii="Times New Roman" w:hAnsi="Times New Roman" w:cs="Times New Roman"/>
          <w:sz w:val="24"/>
          <w:szCs w:val="24"/>
        </w:rPr>
        <w:tab/>
        <w:t>The Social Support Measure</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STAI</w:t>
      </w:r>
      <w:r w:rsidRPr="00B67CC1">
        <w:rPr>
          <w:rFonts w:ascii="Times New Roman" w:hAnsi="Times New Roman" w:cs="Times New Roman"/>
          <w:sz w:val="24"/>
          <w:szCs w:val="24"/>
        </w:rPr>
        <w:tab/>
      </w:r>
      <w:r w:rsidRPr="00B67CC1">
        <w:rPr>
          <w:rFonts w:ascii="Times New Roman" w:hAnsi="Times New Roman" w:cs="Times New Roman"/>
          <w:sz w:val="24"/>
          <w:szCs w:val="24"/>
        </w:rPr>
        <w:tab/>
        <w:t>State and Trait Anxiety Inventory</w:t>
      </w:r>
    </w:p>
    <w:p w:rsidR="002E02AA" w:rsidRPr="00B67CC1" w:rsidRDefault="002E02AA" w:rsidP="00790E6F">
      <w:pPr>
        <w:spacing w:line="360" w:lineRule="auto"/>
        <w:jc w:val="both"/>
        <w:rPr>
          <w:rFonts w:ascii="Times New Roman" w:hAnsi="Times New Roman" w:cs="Times New Roman"/>
          <w:sz w:val="24"/>
          <w:szCs w:val="24"/>
        </w:rPr>
      </w:pPr>
      <w:r w:rsidRPr="00B67CC1">
        <w:rPr>
          <w:rFonts w:ascii="Times New Roman" w:hAnsi="Times New Roman" w:cs="Times New Roman"/>
          <w:sz w:val="24"/>
          <w:szCs w:val="24"/>
        </w:rPr>
        <w:t>UC</w:t>
      </w:r>
      <w:r w:rsidRPr="00B67CC1">
        <w:rPr>
          <w:rFonts w:ascii="Times New Roman" w:hAnsi="Times New Roman" w:cs="Times New Roman"/>
          <w:sz w:val="24"/>
          <w:szCs w:val="24"/>
        </w:rPr>
        <w:tab/>
      </w:r>
      <w:r w:rsidRPr="00B67CC1">
        <w:rPr>
          <w:rFonts w:ascii="Times New Roman" w:hAnsi="Times New Roman" w:cs="Times New Roman"/>
          <w:sz w:val="24"/>
          <w:szCs w:val="24"/>
        </w:rPr>
        <w:tab/>
        <w:t>Ulcerative Colitis</w:t>
      </w:r>
    </w:p>
    <w:p w:rsidR="00B67CC1" w:rsidRDefault="00B67CC1" w:rsidP="00790E6F">
      <w:pPr>
        <w:spacing w:line="360" w:lineRule="auto"/>
        <w:jc w:val="both"/>
      </w:pPr>
    </w:p>
    <w:p w:rsidR="007D1A3D" w:rsidRDefault="007D1A3D"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9018A" w:rsidRDefault="00F9018A" w:rsidP="00790E6F">
      <w:pPr>
        <w:spacing w:line="360" w:lineRule="auto"/>
        <w:jc w:val="both"/>
      </w:pPr>
    </w:p>
    <w:p w:rsidR="00FB5194" w:rsidRDefault="00FB5194" w:rsidP="00FB5194">
      <w:pPr>
        <w:pStyle w:val="Heading2"/>
        <w:spacing w:line="360" w:lineRule="auto"/>
        <w:jc w:val="center"/>
        <w:rPr>
          <w:rFonts w:ascii="Times New Roman" w:hAnsi="Times New Roman" w:cs="Times New Roman"/>
        </w:rPr>
        <w:sectPr w:rsidR="00FB5194" w:rsidSect="00F63C52">
          <w:footerReference w:type="first" r:id="rId11"/>
          <w:pgSz w:w="11906" w:h="16838" w:code="9"/>
          <w:pgMar w:top="1440" w:right="1440" w:bottom="1440" w:left="2160" w:header="709" w:footer="709" w:gutter="0"/>
          <w:pgNumType w:start="1"/>
          <w:cols w:space="708"/>
          <w:titlePg/>
          <w:docGrid w:linePitch="360"/>
        </w:sectPr>
      </w:pPr>
      <w:bookmarkStart w:id="0" w:name="_GoBack"/>
      <w:bookmarkEnd w:id="0"/>
    </w:p>
    <w:p w:rsidR="007D1A3D" w:rsidRDefault="007D1A3D" w:rsidP="007E233D">
      <w:pPr>
        <w:pStyle w:val="Heading2"/>
        <w:spacing w:line="360" w:lineRule="auto"/>
        <w:jc w:val="center"/>
        <w:rPr>
          <w:rFonts w:ascii="Times New Roman" w:hAnsi="Times New Roman" w:cs="Times New Roman"/>
        </w:rPr>
      </w:pPr>
      <w:r w:rsidRPr="001F0916">
        <w:rPr>
          <w:rFonts w:ascii="Times New Roman" w:hAnsi="Times New Roman" w:cs="Times New Roman"/>
        </w:rPr>
        <w:lastRenderedPageBreak/>
        <w:t>Abstract</w:t>
      </w:r>
    </w:p>
    <w:p w:rsidR="007E233D" w:rsidRPr="007E233D" w:rsidRDefault="007E233D" w:rsidP="007E233D"/>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Aim: The aims of this study </w:t>
      </w:r>
      <w:r w:rsidR="002E02AA">
        <w:rPr>
          <w:rFonts w:ascii="Times New Roman" w:hAnsi="Times New Roman" w:cs="Times New Roman"/>
          <w:sz w:val="24"/>
          <w:szCs w:val="24"/>
        </w:rPr>
        <w:t>are</w:t>
      </w:r>
      <w:r w:rsidRPr="007D1A3D">
        <w:rPr>
          <w:rFonts w:ascii="Times New Roman" w:hAnsi="Times New Roman" w:cs="Times New Roman"/>
          <w:sz w:val="24"/>
          <w:szCs w:val="24"/>
        </w:rPr>
        <w:t xml:space="preserve"> to investigate the relationship between Inflammatory Bowel Disease (IBD) and Quality of life (QoL), perceived social support and sleep quality.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Method: This quantitative study included 224 IBD patients (CD=123; UC=101) who were recruited via an online health forum on a popular social media platform. QoL was measured as a combination of negative psychological functions using the Depression, anxiety and stress scale (DASS-21) and Rosenberg</w:t>
      </w:r>
      <w:r w:rsidR="003268A1">
        <w:rPr>
          <w:rFonts w:ascii="Times New Roman" w:hAnsi="Times New Roman" w:cs="Times New Roman"/>
          <w:sz w:val="24"/>
          <w:szCs w:val="24"/>
        </w:rPr>
        <w:t>’</w:t>
      </w:r>
      <w:r w:rsidRPr="007D1A3D">
        <w:rPr>
          <w:rFonts w:ascii="Times New Roman" w:hAnsi="Times New Roman" w:cs="Times New Roman"/>
          <w:sz w:val="24"/>
          <w:szCs w:val="24"/>
        </w:rPr>
        <w:t xml:space="preserve">s self-esteem scale. Disease activity and severity was measured using the Harvey Bradshaw Index. </w:t>
      </w:r>
      <w:r w:rsidR="003268A1" w:rsidRPr="007D1A3D">
        <w:rPr>
          <w:rFonts w:ascii="Times New Roman" w:hAnsi="Times New Roman" w:cs="Times New Roman"/>
          <w:sz w:val="24"/>
          <w:szCs w:val="24"/>
        </w:rPr>
        <w:t>Perceived</w:t>
      </w:r>
      <w:r w:rsidRPr="007D1A3D">
        <w:rPr>
          <w:rFonts w:ascii="Times New Roman" w:hAnsi="Times New Roman" w:cs="Times New Roman"/>
          <w:sz w:val="24"/>
          <w:szCs w:val="24"/>
        </w:rPr>
        <w:t xml:space="preserve"> social support was measured using the Multidimensional Scale of </w:t>
      </w:r>
      <w:r w:rsidR="003268A1" w:rsidRPr="007D1A3D">
        <w:rPr>
          <w:rFonts w:ascii="Times New Roman" w:hAnsi="Times New Roman" w:cs="Times New Roman"/>
          <w:sz w:val="24"/>
          <w:szCs w:val="24"/>
        </w:rPr>
        <w:t>Perceived</w:t>
      </w:r>
      <w:r w:rsidRPr="007D1A3D">
        <w:rPr>
          <w:rFonts w:ascii="Times New Roman" w:hAnsi="Times New Roman" w:cs="Times New Roman"/>
          <w:sz w:val="24"/>
          <w:szCs w:val="24"/>
        </w:rPr>
        <w:t xml:space="preserve"> Social Support and sleep quality was measured using Pittsburgh’s Sleep Quality Index.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Results: No significant relationships were found </w:t>
      </w:r>
      <w:r w:rsidR="002E02AA">
        <w:rPr>
          <w:rFonts w:ascii="Times New Roman" w:hAnsi="Times New Roman" w:cs="Times New Roman"/>
          <w:sz w:val="24"/>
          <w:szCs w:val="24"/>
        </w:rPr>
        <w:t>regarding</w:t>
      </w:r>
      <w:r w:rsidRPr="007D1A3D">
        <w:rPr>
          <w:rFonts w:ascii="Times New Roman" w:hAnsi="Times New Roman" w:cs="Times New Roman"/>
          <w:sz w:val="24"/>
          <w:szCs w:val="24"/>
        </w:rPr>
        <w:t xml:space="preserve"> the effects of anxiety and depression on disease severity. However, the results of the ANOVAs showed a significant relationship between both sleep quality and disease severity on self-esteem</w:t>
      </w:r>
      <w:r w:rsidR="002E02AA">
        <w:rPr>
          <w:rFonts w:ascii="Times New Roman" w:hAnsi="Times New Roman" w:cs="Times New Roman"/>
          <w:sz w:val="24"/>
          <w:szCs w:val="24"/>
        </w:rPr>
        <w:t>, w</w:t>
      </w:r>
      <w:r w:rsidRPr="007D1A3D">
        <w:rPr>
          <w:rFonts w:ascii="Times New Roman" w:hAnsi="Times New Roman" w:cs="Times New Roman"/>
          <w:sz w:val="24"/>
          <w:szCs w:val="24"/>
        </w:rPr>
        <w:t xml:space="preserve">ith the main differences found between moderate and remission and severe and remission. </w:t>
      </w:r>
    </w:p>
    <w:p w:rsid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Conclusions: These findings suggest levels of self-esteem are increased in individuals with higher perceived social support. Also, individuals in remission have increased levels of self-esteem compared to those in relapse. This indicates that the evaluation and treatment of perceived social support and self-esteem levels will decrease the frequencies of relapse episodes and in turn, increase QoL.</w:t>
      </w:r>
    </w:p>
    <w:p w:rsidR="007D1A3D" w:rsidRDefault="007D1A3D"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7D1A3D" w:rsidRDefault="007D1A3D" w:rsidP="000F633D">
      <w:pPr>
        <w:pStyle w:val="Heading2"/>
        <w:spacing w:line="360" w:lineRule="auto"/>
        <w:jc w:val="center"/>
        <w:rPr>
          <w:rFonts w:ascii="Times New Roman" w:hAnsi="Times New Roman" w:cs="Times New Roman"/>
        </w:rPr>
      </w:pPr>
      <w:r w:rsidRPr="007D1A3D">
        <w:rPr>
          <w:rFonts w:ascii="Times New Roman" w:hAnsi="Times New Roman" w:cs="Times New Roman"/>
        </w:rPr>
        <w:lastRenderedPageBreak/>
        <w:t>Literature Review</w:t>
      </w:r>
    </w:p>
    <w:p w:rsidR="000F633D" w:rsidRDefault="000F633D" w:rsidP="000F633D"/>
    <w:p w:rsidR="000F633D" w:rsidRPr="000F633D" w:rsidRDefault="000F633D" w:rsidP="000F633D">
      <w:pPr>
        <w:pStyle w:val="Heading2"/>
        <w:rPr>
          <w:rFonts w:ascii="Times New Roman" w:hAnsi="Times New Roman" w:cs="Times New Roman"/>
        </w:rPr>
      </w:pPr>
      <w:r w:rsidRPr="000F633D">
        <w:rPr>
          <w:rFonts w:ascii="Times New Roman" w:hAnsi="Times New Roman" w:cs="Times New Roman"/>
        </w:rPr>
        <w:t>Inflammatory Bowel Disease Overview</w:t>
      </w:r>
    </w:p>
    <w:p w:rsidR="007D1A3D" w:rsidRPr="007D1A3D" w:rsidRDefault="007D1A3D" w:rsidP="00790E6F">
      <w:pPr>
        <w:spacing w:line="240" w:lineRule="auto"/>
        <w:jc w:val="both"/>
      </w:pP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Inflammatory Bowel disease (IBD) is a chronic disorder including both Ulcerative Colitis (UC) and Crohn</w:t>
      </w:r>
      <w:r w:rsidR="003268A1">
        <w:rPr>
          <w:rFonts w:ascii="Times New Roman" w:hAnsi="Times New Roman" w:cs="Times New Roman"/>
          <w:sz w:val="24"/>
          <w:szCs w:val="24"/>
        </w:rPr>
        <w:t>’</w:t>
      </w:r>
      <w:r w:rsidRPr="007D1A3D">
        <w:rPr>
          <w:rFonts w:ascii="Times New Roman" w:hAnsi="Times New Roman" w:cs="Times New Roman"/>
          <w:sz w:val="24"/>
          <w:szCs w:val="24"/>
        </w:rPr>
        <w:t>s Disease (CD). It is characterised by episodes of relapses and remissions. Over 300,000 people in the UK have been diagnosed with the disease (Crohn</w:t>
      </w:r>
      <w:r w:rsidR="003268A1">
        <w:rPr>
          <w:rFonts w:ascii="Times New Roman" w:hAnsi="Times New Roman" w:cs="Times New Roman"/>
          <w:sz w:val="24"/>
          <w:szCs w:val="24"/>
        </w:rPr>
        <w:t>’</w:t>
      </w:r>
      <w:r w:rsidRPr="007D1A3D">
        <w:rPr>
          <w:rFonts w:ascii="Times New Roman" w:hAnsi="Times New Roman" w:cs="Times New Roman"/>
          <w:sz w:val="24"/>
          <w:szCs w:val="24"/>
        </w:rPr>
        <w:t>s and Colitis UK, 2013; 2016). However, it is thought that the number could be greater as individuals may avoid seeking medical advice due to the negative stigma, isolation and fear that often coincides with IBD (Crohn</w:t>
      </w:r>
      <w:r w:rsidR="003268A1">
        <w:rPr>
          <w:rFonts w:ascii="Times New Roman" w:hAnsi="Times New Roman" w:cs="Times New Roman"/>
          <w:sz w:val="24"/>
          <w:szCs w:val="24"/>
        </w:rPr>
        <w:t>’</w:t>
      </w:r>
      <w:r w:rsidRPr="007D1A3D">
        <w:rPr>
          <w:rFonts w:ascii="Times New Roman" w:hAnsi="Times New Roman" w:cs="Times New Roman"/>
          <w:sz w:val="24"/>
          <w:szCs w:val="24"/>
        </w:rPr>
        <w:t>s and Colitis UK, 2013; 2016). UC is characterized by ulceration and inflammation of the large bowel whereas, CD is characterized by inflammation of the digestive system. Both CD and UC are subject to individual differences with the occurrence of relapse and remission varying in severity and frequency in each patient. The most common symptoms for UC and CD are similar and include: pain in the abdomen; fatigue; decline in general well-being; diarrhoea; anaemia; and loss of appetite and weight (Crohn</w:t>
      </w:r>
      <w:r w:rsidR="00B056D6">
        <w:rPr>
          <w:rFonts w:ascii="Times New Roman" w:hAnsi="Times New Roman" w:cs="Times New Roman"/>
          <w:sz w:val="24"/>
          <w:szCs w:val="24"/>
        </w:rPr>
        <w:t>’</w:t>
      </w:r>
      <w:r w:rsidRPr="007D1A3D">
        <w:rPr>
          <w:rFonts w:ascii="Times New Roman" w:hAnsi="Times New Roman" w:cs="Times New Roman"/>
          <w:sz w:val="24"/>
          <w:szCs w:val="24"/>
        </w:rPr>
        <w:t xml:space="preserve">s and Colitis UK, 2013; 2016). The causes of UC and CD are still to be identified. However, extensive research of the aetiologies of the diseases have identified both possible environmental and biological causes (Baumgart &amp; Carding, 2007; Gearry et al., 2006). Baumgart and Carding (2007) found that westernised diets, smoking and problems during breastfeeding are all environmental contributing factors to the onset of IBD. Gearry et al (2006) also highlighted that exposure to mental health illnesses including anxiety and depression are also factors in the development of IBD.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Due to its incurability, treatment must alternatively focus on the prevention of relapses, maintenance of remission, and improvement of quality of life (Mittermaier et al., 2004). It has been found that IBD is mainly diagnosed in young people and therefore focussing on quality of life and developing coping strategies for acceptance and living with the disease are important (Mittermaier et al., 2004). The diagnosis of IBD can often cause psychological and personal worries to the patient including: fatigue; social isolation; feelings of poor hygiene; loss of bowel control; and dependency on others. (Cited by Sajadinejad et al., 2012). Incontinence and loss of bowel control often coincides with negative stigmatisation from others, triggering feelings of self-consciousness and low self-esteem in the patient (Cooper et al., 2010).  These factors combined contribute to </w:t>
      </w:r>
      <w:r w:rsidRPr="007D1A3D">
        <w:rPr>
          <w:rFonts w:ascii="Times New Roman" w:hAnsi="Times New Roman" w:cs="Times New Roman"/>
          <w:sz w:val="24"/>
          <w:szCs w:val="24"/>
        </w:rPr>
        <w:lastRenderedPageBreak/>
        <w:t>psychological distress, poor adjustment to the disease and poor quality</w:t>
      </w:r>
      <w:r w:rsidR="00B67CC1">
        <w:rPr>
          <w:rFonts w:ascii="Times New Roman" w:hAnsi="Times New Roman" w:cs="Times New Roman"/>
          <w:sz w:val="24"/>
          <w:szCs w:val="24"/>
        </w:rPr>
        <w:t xml:space="preserve"> of life (Crane &amp; Martin, 2004)</w:t>
      </w:r>
    </w:p>
    <w:p w:rsidR="00B67CC1"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Anxiety and Depression</w:t>
      </w:r>
    </w:p>
    <w:p w:rsidR="003B25FA" w:rsidRPr="003B25FA" w:rsidRDefault="003B25FA" w:rsidP="003B25FA"/>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IBD has been associated with a significantly increased risk of psychological health issues such as depression and anxiety and decreased quality of life compared to the general population (Mikocka-Walus et al., 2008; Patten, 2010). Patients’ awareness of its incurability and unpredictability may contribute to the development of depression in IBD patients (Graff et al., 2010). The fear of surgery or development of cancer are likely to induce feelings of anxiety in a patient (Graff et al., 2010). When first diagnosed with IBD, patients often develop adaptive coping strategies to aid in the acceptance of the disease (Graff et al., 2009; Mittermaier et al., 2004). However, factors such as lack of social support and a predisposed sensitivity to mental illness may affect an individual’s ability to develop strong coping strategies. These weak coping methods may increase a patients’ vulnerability to anxiety and depression (Graff et al., 2009). According to Seligman’s theory, incurable and unpredictable chronic diseases can damage an individuals’ beliefs of self-efficacy and self-control. </w:t>
      </w:r>
      <w:r w:rsidR="00B056D6" w:rsidRPr="007D1A3D">
        <w:rPr>
          <w:rFonts w:ascii="Times New Roman" w:hAnsi="Times New Roman" w:cs="Times New Roman"/>
          <w:sz w:val="24"/>
          <w:szCs w:val="24"/>
        </w:rPr>
        <w:t>Thus,</w:t>
      </w:r>
      <w:r w:rsidRPr="007D1A3D">
        <w:rPr>
          <w:rFonts w:ascii="Times New Roman" w:hAnsi="Times New Roman" w:cs="Times New Roman"/>
          <w:sz w:val="24"/>
          <w:szCs w:val="24"/>
        </w:rPr>
        <w:t xml:space="preserve"> leading to feelings of hopelessness and helplessness (Seligman, 2002).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Addolorato et al (1997) aimed to study the influence of IBD on psychological disorders in Italy. The study included 43 UC patients, 36 CD patients and 36 healthy controls. Disease activity was measured using the Harvey Bradshaw Index and Truelove-Witts criteria. All participants were given the State and Trait Anxiety Inventory (STAI) and the Zung self-reported Depression Scale. The researchers found increased anxiety in both UC and CD patients in comparison to the control group. They also found a relationship between active disease and malnutrition. The researchers stated that the disabling symptoms associated with IBD such as malnutrition could be a cause of anxiety and depression in IBD patients. Similarly, Kovacs &amp; Kovacs (2007) compared IBS and IBD patients with a healthy control group in Hungary and found increased anxiety and depression rates in IBD patients compared to the control group. All participants were required to complete a self-reported questionnaire regarding stressful life events, depression and anxiety. They found that IBD patients had significantly higher anxiety and depression symptoms than the general population. This strengthens the generalisability of the results of Addolorato et al’s (1997) study as both </w:t>
      </w:r>
      <w:r w:rsidRPr="007D1A3D">
        <w:rPr>
          <w:rFonts w:ascii="Times New Roman" w:hAnsi="Times New Roman" w:cs="Times New Roman"/>
          <w:sz w:val="24"/>
          <w:szCs w:val="24"/>
        </w:rPr>
        <w:lastRenderedPageBreak/>
        <w:t xml:space="preserve">were carried out in different countries and found the same results. Both studies collected reliable data regarding disease activity as participants were recruited from gastroenterology clinics. Thus, ensuring a confident clinical diagnosis of IBD. However, these studies could possibly amplify the presence of anxiety and depression in IBD patients as individuals seeking medical advice for an alternative illness are more likely to report anxiety and depression to their clinician than the general population (Drossman et al., 1988). Notwithstanding the methodological issues that occur when studying the relationship between IBD and psychological well-being, there is a clear relationship between depression, anxiety and IBD.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A controversial subject when studying the relationship between anxiety, depression and IBD is whether one precedes the other. It is difficult to determine whether IBD predisposes an individual to anxiety and depression, resulting in higher rates of mental illness or whether anxiety and depression precedes a diagnosis of IBD. Kurina et al (2001) aimed to investigate the relationship between depression, anxiety and IBD. The study collected data from hospital records and included a total of 7268 UC and 5231 CD patients. They found that both anxiety and depression preceded UC more than the general population. Although they did not find any significant support for the prevalence of depression in UC patients after diagnosis, it was found that anxiety often followed a diagnosis of UC. In contrast, they found that both anxiety and depression did not precede CD more than the general population. However, the results found that both anxiety and depression followed a diagnosis of CD more than the general population with the risk of depression and anxiety increasing within the first year of diagnosis. In opposition, Tarter et al (1988) found no significant preceding psychological illness in UC patients however found that anxiety often preceded CD. The study included 26 CD, 27 UC patients and 28 control participants. They found that depression and anxiety as well as panic disorder were prevalent in CD patients in comparison to UC patients and the healthy control group. Kurina et al (2001) recruited a significantly higher number of participants than Tarter et al (1988) suggesting that the results have increased generalisability. </w:t>
      </w:r>
      <w:r w:rsidR="006B09E2" w:rsidRPr="007D1A3D">
        <w:rPr>
          <w:rFonts w:ascii="Times New Roman" w:hAnsi="Times New Roman" w:cs="Times New Roman"/>
          <w:sz w:val="24"/>
          <w:szCs w:val="24"/>
        </w:rPr>
        <w:t>Thus,</w:t>
      </w:r>
      <w:r w:rsidRPr="007D1A3D">
        <w:rPr>
          <w:rFonts w:ascii="Times New Roman" w:hAnsi="Times New Roman" w:cs="Times New Roman"/>
          <w:sz w:val="24"/>
          <w:szCs w:val="24"/>
        </w:rPr>
        <w:t xml:space="preserve"> proposing that the findings can be applied to IBD patients not included in the sample (Nayak, 2010). However, Mikocka-Walus et al (2008) suggested that the conflicting findings of the above studies make it difficult to determine a </w:t>
      </w:r>
      <w:r w:rsidR="00DF69AF">
        <w:rPr>
          <w:rFonts w:ascii="Times New Roman" w:hAnsi="Times New Roman" w:cs="Times New Roman"/>
          <w:sz w:val="24"/>
          <w:szCs w:val="24"/>
        </w:rPr>
        <w:t>unanimous</w:t>
      </w:r>
      <w:r w:rsidRPr="007D1A3D">
        <w:rPr>
          <w:rFonts w:ascii="Times New Roman" w:hAnsi="Times New Roman" w:cs="Times New Roman"/>
          <w:sz w:val="24"/>
          <w:szCs w:val="24"/>
        </w:rPr>
        <w:t xml:space="preserve"> result as neither study was appropriately controlled (Cited by Sajadinejad et al., 2012).</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lastRenderedPageBreak/>
        <w:tab/>
      </w:r>
    </w:p>
    <w:p w:rsidR="007D1A3D"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Quality of Life</w:t>
      </w:r>
    </w:p>
    <w:p w:rsidR="00B67CC1" w:rsidRPr="00B67CC1" w:rsidRDefault="00B67CC1" w:rsidP="00790E6F">
      <w:pPr>
        <w:spacing w:line="360" w:lineRule="auto"/>
        <w:jc w:val="both"/>
      </w:pP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Many studies have found that IBD is strongly correlated with poor health-related quality of life (HRQoL), especially during periods of relapse (Haapamaki, 2011). In addition to the physical symptoms associated with IBD, social support and mental health state were also found to impact a patient’s HRQOL. Mikocka-Walus et al (2008) aimed to determine whether depression, anxiety and quality of life differed among patients with IBD (UC=33, CD=31), IBS (n=34) and chronic Hepatitis C (HCV) (n=44). All participants were outpatients from a Gastroenterology and Hepatology clinic in South Australia. Participants were asked to complete a self-reported questionnaire containing a measure of anxiety, depression, quality of life and disease activity. They found a decrease in quality of life compared to the general population in all three conditions. The researchers also found that physical and mental quality of life was significantly lower in CD patients than UC patients. However, they found no significant difference in anxiety and depression scores between UC and CD patients. Mikocka-Walus et al (2008) stated that decreased scores in depression may be due to only 36% of the IBD patients’ disease being active at the time of the study. This may have caused a bias in the results as Cuntz et al (1999) found that patients with mild to moderate disease do not show any significant difference in Quality of Life when compared to the general population. Cuntz et al (1999) studied 119 CD and 81 UC outpatients from a gastroenterology clinic in Germany. The researchers collected medical records to determine frequency and activity of disease. They found that t</w:t>
      </w:r>
      <w:r w:rsidR="00B67CC1">
        <w:rPr>
          <w:rFonts w:ascii="Times New Roman" w:hAnsi="Times New Roman" w:cs="Times New Roman"/>
          <w:sz w:val="24"/>
          <w:szCs w:val="24"/>
        </w:rPr>
        <w:t>he physical symptoms of IBD can</w:t>
      </w:r>
      <w:r w:rsidRPr="007D1A3D">
        <w:rPr>
          <w:rFonts w:ascii="Times New Roman" w:hAnsi="Times New Roman" w:cs="Times New Roman"/>
          <w:sz w:val="24"/>
          <w:szCs w:val="24"/>
        </w:rPr>
        <w:t xml:space="preserve">not be used as the only explanation for the reductions of QoL in IBD patients. Stating that the frequency and severity of IBD do not positively correlate with a patient’s Quality of Life in mild to moderate disease.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Guthrie et al (2002) aimed to determine whether HRQoL is influenced by psychological disorder. They also aimed to investigate the relationship between CD and QoL in comparison to UC. The researchers recruited 37 UC patients, 75 CD patients and 4 with undetermined IBD. Similarly to Mikocka-Walus et al (2008), all patients were requested to complete a self -reported questionnaire containing the hospital anxiety and depression scale (HADS) and the Medical Outcome Study (used to measure </w:t>
      </w:r>
      <w:r w:rsidRPr="007D1A3D">
        <w:rPr>
          <w:rFonts w:ascii="Times New Roman" w:hAnsi="Times New Roman" w:cs="Times New Roman"/>
          <w:sz w:val="24"/>
          <w:szCs w:val="24"/>
        </w:rPr>
        <w:lastRenderedPageBreak/>
        <w:t xml:space="preserve">HRQoL). In contrast to Mikocka-Walus et al’s (2008) sample, 43% of UC and 48% of CD patients had active disease at the time of the study and therefore no bias regarding disease activity were introduced as the sample was representative. The mean HADS score for CD (5.9) was significantly higher than the mean score for UC (4.0). Both UC and CD patients reported low HRQoL with no significant differences between the diseases, with the exclusion of energy and fatigue. UC reported higher rates of fatigue with a mean score of 49.8, followed by CD with a mean score of 39.4. Further research could explore whether this result is directly caused by the disease or whether their sleep quality is affected by the disease, resulting in higher rates of fatigue. The results support the previous findings that psychological well-being in IBD is a predictor of poor HRQoL. Guthrie et al (2002) stated that the results suggest that the severity of IBD will be decreased if the psychological disorders (anxiety and depression) are treated, resulting in decreased relapses and a higher HRQoL. The study elected to use a generic HRQoL scale as an alternative to an IBD-specific QoL scale. This could have reduced the validity of the data, however, Guthrie et al (2002) stated that they used a generic scale in order to measure broad aspects of the individual’s HRQoL in contrast to only measuring IBD related QoL.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Lonnfors et al (2014) aimed to gain an international insight into the impact of IBD on a patient’s QoL. Participants were asked to complete a questionnaire regarding: the impact of IBD on the individual; their experiences with IBD; health care; impact on work; and impact on life. The questionnaire was translated into 10 languages and was distributed to gastrointestinal clinics in 15 countries. The study included a total of 4670 IBD patients: 62% CD and 38% UC. The study found that 67% of patients had to visit an emergency clinic before diagnosis and 85% of patients had been hospitalised due to IBD in the five years </w:t>
      </w:r>
      <w:r w:rsidR="00B056D6">
        <w:rPr>
          <w:rFonts w:ascii="Times New Roman" w:hAnsi="Times New Roman" w:cs="Times New Roman"/>
          <w:sz w:val="24"/>
          <w:szCs w:val="24"/>
        </w:rPr>
        <w:t>prior</w:t>
      </w:r>
      <w:r w:rsidRPr="007D1A3D">
        <w:rPr>
          <w:rFonts w:ascii="Times New Roman" w:hAnsi="Times New Roman" w:cs="Times New Roman"/>
          <w:sz w:val="24"/>
          <w:szCs w:val="24"/>
        </w:rPr>
        <w:t xml:space="preserve"> to the study. 34% of patients reported that during episodes of relapse they had to cancel appointments and social plans most of the time. Patients also reported experiencing symptoms more than twice a week even in remission. Lonnfors et al (2014) found that patients experienced troubles in work due to IBD and reduced academic achievement. These factors combined contribute to QoL. Therefore, it was found that IBD patients displayed lower QoL than the general population. Disease severity was self-assessed and self-reported, therefore recall bias may have been introduced when recalling past events such as emergency hospital visits and medication history. Furthermore, patients may have different outlooks on the severity </w:t>
      </w:r>
      <w:r w:rsidRPr="007D1A3D">
        <w:rPr>
          <w:rFonts w:ascii="Times New Roman" w:hAnsi="Times New Roman" w:cs="Times New Roman"/>
          <w:sz w:val="24"/>
          <w:szCs w:val="24"/>
        </w:rPr>
        <w:lastRenderedPageBreak/>
        <w:t xml:space="preserve">of the disease. For example, a patient who has been diagnosed for 5 years may be familiar with the symptoms, resulting in a lower rating of severity in comparison to a newly diagnosed patient that may report the same symptoms with higher severity. </w:t>
      </w:r>
    </w:p>
    <w:p w:rsidR="007D1A3D"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Self-esteem</w:t>
      </w:r>
    </w:p>
    <w:p w:rsidR="00B67CC1" w:rsidRPr="00B67CC1" w:rsidRDefault="00B67CC1" w:rsidP="00790E6F">
      <w:pPr>
        <w:spacing w:line="360" w:lineRule="auto"/>
        <w:jc w:val="both"/>
      </w:pP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Coopersmith (1967) defined self-esteem as ‘a personal judgement of worthiness that is expressed in the attitudes the individual holds towards himself’. Self-esteem based research on IBD tends to merge self-esteem under the category of Quality of Life or psychological well-being, as self-esteem has been reported to impact the levels of the both (Engstrom, 1992). Therefore, it has been difficult to distinguish the effects of self-esteem on IBD patients as there are few studies that research self-esteem as a single measure </w:t>
      </w:r>
      <w:r w:rsidR="00B056D6"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IBD.</w:t>
      </w:r>
    </w:p>
    <w:p w:rsidR="007D1A3D" w:rsidRPr="007D1A3D" w:rsidRDefault="007D1A3D" w:rsidP="003B25FA">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Lindfred et al (2007) compared IBD patients with a healthy control group to investigate the relationship between IBD and self-esteem in adolescents. The study included 71 adolescents who were receiving outpatient treatment at a paediatric gastroenterology clinic in Sweden. The ‘healthy’ condition consisted of 1037 school children. All participants were aged between 11 and 16 in both conditions. All participants were given the ‘I think I am’ (ITIA) which is a self-reported measure of self-esteem, specifically developed for adolescents. The researchers found no significant differences in self-esteem levels between the IBD patients and the healthy condition. The IBD condition reported a mean self-esteem score of 72.0 followed by the healthy condition with a mean score of 68.5. There was no significant difference between UC patients and CD patients </w:t>
      </w:r>
      <w:r w:rsidR="00B056D6"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self-esteem scores. However, Lindfred et al (2007) found that disease activity and severity affected self-esteem scores. The patients with severe disease at the time of the study reported significantly lower self-esteem scores than those who had mild disease.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The researchers used no measure for disease activity at the time of the study and provided an estimation of disease activity as a substitute. This could have affected the validity and reliability of the results as the researchers may have inaccurately estimated patients’ disease severity. To improve this, the researchers could have distributed the Harvey Bradshaw index (CD) and the Partial-Mayo index (UC) to ensure a reliable estimation of disease activity at the time of the study. Both indexes are time and cost </w:t>
      </w:r>
      <w:r w:rsidRPr="007D1A3D">
        <w:rPr>
          <w:rFonts w:ascii="Times New Roman" w:hAnsi="Times New Roman" w:cs="Times New Roman"/>
          <w:sz w:val="24"/>
          <w:szCs w:val="24"/>
        </w:rPr>
        <w:lastRenderedPageBreak/>
        <w:t xml:space="preserve">effective as they are self-report indexes and therefore would have improved the study’s reliability and validity efficiently. </w:t>
      </w:r>
    </w:p>
    <w:p w:rsidR="007D1A3D" w:rsidRPr="007D1A3D" w:rsidRDefault="007D1A3D" w:rsidP="00790E6F">
      <w:pPr>
        <w:spacing w:line="360" w:lineRule="auto"/>
        <w:jc w:val="both"/>
        <w:rPr>
          <w:rFonts w:ascii="Times New Roman" w:hAnsi="Times New Roman" w:cs="Times New Roman"/>
          <w:sz w:val="24"/>
          <w:szCs w:val="24"/>
        </w:rPr>
      </w:pPr>
      <w:r w:rsidRPr="007D1A3D">
        <w:rPr>
          <w:rFonts w:ascii="Times New Roman" w:hAnsi="Times New Roman" w:cs="Times New Roman"/>
          <w:sz w:val="24"/>
          <w:szCs w:val="24"/>
        </w:rPr>
        <w:t xml:space="preserve">Bengtsson et al (2013) aimed to distinguish the differences in psychological and coping mechanisms between IBD patients and IBS patients whilst taking disease activity into consideration. The study included 74 IBD patients and 81 IBS patients aged between 18 and 22 years old. All patients were required to complete a questionnaire containing: Rosenberg’s self-esteem scale; the experiences in close relationships scale; the Toronto alexithymia scale; and the sense of coherence scale. Disease activity was established using the Harvey Bradshaw index for CD, the Clinical colitis activity index for UC and the visual analogue scale for IBS. Similarly to Linfred et al (2007), Bengtsson et al (2013) found no significant difference in self-esteem scores between UC and CD patients. However, the researchers found that IBS sufferers reported higher levels of anxiety and lower levels of self-esteem than IBD patients. The researchers could not determine whether high anxiety and low self-esteem levels were present pre-diagnosis of the disorders therefore, it is difficult to establish whether the results are due to the symptoms and illness itself or whether they are pre-existing traits that have contributed to the results. The researchers stated that this is an important factor to consider as many studies have found that anxiety and stress are important factors in the onset of IBS. Another factor to consider is the taboo subject of gastrointestinal illnesses within society. As stress is a well-known primary factor in the flare-ups of IBS, society views IBS as more of a state of mind rather than an illness whereas society tends to view IBD as an organic disease. This may also explain the decreased levels of self-esteem in IBS patients </w:t>
      </w:r>
      <w:r w:rsidR="00B67CC1">
        <w:rPr>
          <w:rFonts w:ascii="Times New Roman" w:hAnsi="Times New Roman" w:cs="Times New Roman"/>
          <w:sz w:val="24"/>
          <w:szCs w:val="24"/>
        </w:rPr>
        <w:t xml:space="preserve">in comparison to IBD patients. </w:t>
      </w:r>
    </w:p>
    <w:p w:rsidR="007D1A3D"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Social support</w:t>
      </w:r>
    </w:p>
    <w:p w:rsidR="00B67CC1" w:rsidRPr="00B67CC1" w:rsidRDefault="00B67CC1" w:rsidP="00790E6F">
      <w:pPr>
        <w:spacing w:line="360" w:lineRule="auto"/>
        <w:jc w:val="both"/>
      </w:pP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Research has found that patients who engage with psychological therapies express many socially oriented worries such as feeling out of place, concerns of judgement from others, being a burden on others and feeling alone. These thoughts and feelings result in patients withdrawing themselves from society and friendship groups </w:t>
      </w:r>
      <w:r w:rsidR="00B056D6" w:rsidRPr="007D1A3D">
        <w:rPr>
          <w:rFonts w:ascii="Times New Roman" w:hAnsi="Times New Roman" w:cs="Times New Roman"/>
          <w:sz w:val="24"/>
          <w:szCs w:val="24"/>
        </w:rPr>
        <w:t>to</w:t>
      </w:r>
      <w:r w:rsidRPr="007D1A3D">
        <w:rPr>
          <w:rFonts w:ascii="Times New Roman" w:hAnsi="Times New Roman" w:cs="Times New Roman"/>
          <w:sz w:val="24"/>
          <w:szCs w:val="24"/>
        </w:rPr>
        <w:t xml:space="preserve"> avoid these concerns (Maunder &amp; Esplen, 1999). </w:t>
      </w:r>
      <w:r w:rsidR="00B056D6" w:rsidRPr="007D1A3D">
        <w:rPr>
          <w:rFonts w:ascii="Times New Roman" w:hAnsi="Times New Roman" w:cs="Times New Roman"/>
          <w:sz w:val="24"/>
          <w:szCs w:val="24"/>
        </w:rPr>
        <w:t>Consequently</w:t>
      </w:r>
      <w:r w:rsidRPr="007D1A3D">
        <w:rPr>
          <w:rFonts w:ascii="Times New Roman" w:hAnsi="Times New Roman" w:cs="Times New Roman"/>
          <w:sz w:val="24"/>
          <w:szCs w:val="24"/>
        </w:rPr>
        <w:t xml:space="preserve">, psychosocial intervention-based therapies have been used to treat IBD (Maunder &amp; Esplen, 1999; Davison et al., 2002). However, the results have differed across studies (McEwen &amp; </w:t>
      </w:r>
      <w:r w:rsidRPr="007D1A3D">
        <w:rPr>
          <w:rFonts w:ascii="Times New Roman" w:hAnsi="Times New Roman" w:cs="Times New Roman"/>
          <w:sz w:val="24"/>
          <w:szCs w:val="24"/>
        </w:rPr>
        <w:lastRenderedPageBreak/>
        <w:t xml:space="preserve">Steller, 1993). Stress has been found to disrupt the pathways between the immune system functions and social support. Stress increases the levels of corticosteroids, subsequently supressing the immune system, increasing an individual’s susceptibility to infection and disease (McEwen &amp; Steller, 1993). As social support has been found to decrease levels of stress, it may prevent the decrease of immune functioning (McEwen &amp; Steller, 1993). The immunosuppressant theory of social support is particularly important </w:t>
      </w:r>
      <w:r w:rsidR="00DF69AF" w:rsidRPr="007D1A3D">
        <w:rPr>
          <w:rFonts w:ascii="Times New Roman" w:hAnsi="Times New Roman" w:cs="Times New Roman"/>
          <w:sz w:val="24"/>
          <w:szCs w:val="24"/>
        </w:rPr>
        <w:t>regarding</w:t>
      </w:r>
      <w:r w:rsidRPr="007D1A3D">
        <w:rPr>
          <w:rFonts w:ascii="Times New Roman" w:hAnsi="Times New Roman" w:cs="Times New Roman"/>
          <w:sz w:val="24"/>
          <w:szCs w:val="24"/>
        </w:rPr>
        <w:t xml:space="preserve"> IBD as both UC and CD are autoimmune diseases (Bouma &amp; Stroma, 2003). An autoimmune disease refers to the immune system mistakenly attacking healthy tissues within the body (Bouma &amp; Stroma, 2003). This theory of social support suggests that if social support is increased, immune functioning is increased, therefore resulting in reduced inflammation periods (relapse). </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Sewitch et al (2001) aimed to compare psychological well-being between patients with active or inactive disease, whilst also assessing how perceived social support impacts IBD. The study included 137 CD patients and 63 UC patients recruited from a gastroenterology clinic in Canada. All participants were required to complete a questionnaire consisting of: the psychological distress symptom checklist; perceived stress scale; and the social support questionnaire. Disease activity was self-assessed using the Harvey Bradshaw index. They found that IBD patients reported high levels of perceived social support, but reported having smaller networking circles than the general </w:t>
      </w:r>
      <w:r w:rsidR="00B056D6">
        <w:rPr>
          <w:rFonts w:ascii="Times New Roman" w:hAnsi="Times New Roman" w:cs="Times New Roman"/>
          <w:sz w:val="24"/>
          <w:szCs w:val="24"/>
        </w:rPr>
        <w:t>population</w:t>
      </w:r>
      <w:r w:rsidRPr="007D1A3D">
        <w:rPr>
          <w:rFonts w:ascii="Times New Roman" w:hAnsi="Times New Roman" w:cs="Times New Roman"/>
          <w:sz w:val="24"/>
          <w:szCs w:val="24"/>
        </w:rPr>
        <w:t xml:space="preserve">. Many participants stated that they use their social support as a coping mechanism to deal with the psychological stresses of the disease. The researchers noted that IBD patients may hold smaller groups of friends as it is difficult to maintain a large network circle due to fatigue and recurring symptoms that are adjacent with IBD. They also found that IBD patients with greater satisfaction in social support were less susceptible to psychological distress due to the disease in comparison to those who reported low levels of social support. This finding could offer justification to the development of psychosocial interventions for the prevention of relapse and maintenance of remission episodes in IBD patients. </w:t>
      </w:r>
    </w:p>
    <w:p w:rsidR="003B25FA" w:rsidRPr="003B25FA" w:rsidRDefault="007D1A3D" w:rsidP="003B25FA">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Rogala et al (2008) compared IBD patients’ levels of social support compared to the general population. Participants were recruited via the Manitoba IBD Cohort Study which is a health database for IBD patients. Social support was measured using the Social Support Measure (SSM) Questionnaire. They found that regardless of disease activity, IBD participants reported increased feelings of isolation compared to the </w:t>
      </w:r>
      <w:r w:rsidRPr="007D1A3D">
        <w:rPr>
          <w:rFonts w:ascii="Times New Roman" w:hAnsi="Times New Roman" w:cs="Times New Roman"/>
          <w:sz w:val="24"/>
          <w:szCs w:val="24"/>
        </w:rPr>
        <w:lastRenderedPageBreak/>
        <w:t xml:space="preserve">general population. Those in relapse were less likely to report that ‘they had someone who understood their problems’ compared to individuals in remission. In contrast to Sewitch et al (2001), IBD patients reported receiving significantly more emotional support than those in the community sample and were also more likely to experience positive social interactions. Overall, Rogala et al (2008) found that IBD patients have better social support systems than the general population. Rogala et al (2008) stated that IBD patients with positive social support groups have improved QoL and are less likely to experience adverse health consequences. </w:t>
      </w:r>
    </w:p>
    <w:p w:rsidR="00B67CC1" w:rsidRDefault="007D1A3D" w:rsidP="003B25FA">
      <w:pPr>
        <w:pStyle w:val="Heading2"/>
        <w:spacing w:line="360" w:lineRule="auto"/>
        <w:jc w:val="both"/>
        <w:rPr>
          <w:rFonts w:ascii="Times New Roman" w:hAnsi="Times New Roman" w:cs="Times New Roman"/>
        </w:rPr>
      </w:pPr>
      <w:r w:rsidRPr="00B67CC1">
        <w:rPr>
          <w:rFonts w:ascii="Times New Roman" w:hAnsi="Times New Roman" w:cs="Times New Roman"/>
        </w:rPr>
        <w:t>Sleep Quality</w:t>
      </w:r>
    </w:p>
    <w:p w:rsidR="003B25FA" w:rsidRPr="003B25FA" w:rsidRDefault="003B25FA" w:rsidP="003B25FA"/>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Sleep quality has consistently been found to impact an individuals’ health and quality of life (Alvarez &amp; Ayas, 2004). Recent studies have found that poor sleep quality increases the probability of serious health consequences and mortality (Alvarez &amp; Ayas, 2004). The literature suggests that sleep is closely related to immune functioning and inflammation (Alvarez &amp; Ayas, 2004). Research on IBD and sleep quality have highlighted that IBD patients report poor sleep quality more than the general population. However, it is difficult to determine whether this is due to other factors that are common in IBD patients, such as depression, anxiety, pain, or the result of IBD itself (Ananthakrishnan et al., 2013). Ali et al (2013) stated that although there is extensive research on the effects of sleep quality on chronic disease, there are minimal studies researching the effects of sleep quality on IBD as an individual disease. </w:t>
      </w:r>
    </w:p>
    <w:p w:rsidR="007D1A3D" w:rsidRPr="007D1A3D" w:rsidRDefault="00B056D6"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Consequently</w:t>
      </w:r>
      <w:r w:rsidR="007D1A3D" w:rsidRPr="007D1A3D">
        <w:rPr>
          <w:rFonts w:ascii="Times New Roman" w:hAnsi="Times New Roman" w:cs="Times New Roman"/>
          <w:sz w:val="24"/>
          <w:szCs w:val="24"/>
        </w:rPr>
        <w:t xml:space="preserve">, Ali et al (2013) aimed to investigate the relationship between sleep quality and IBD activity. Participants were recruited via an outpatient clinic in America (CD=23, UC=18). Disease activity was assessed using the Harvey-Bradshaw index for CD and the Partial Mayo Index for UC. Patents were screened for depression and anxiety pre-completion of the Pittsburgh Sleep Quality Index. They found that sleep abnormalities were present in 100% of patients with active disease (relapse) and 72% of patients in remission. However, they found that 52% of patients with active disease at the time of the study were using steroids as medication. Therefore, it is difficult to determine whether their reported poor sleep quality is due to disease activity or a side-effect of their medication. However, patients in remission also reported poor sleep quality. This could be due to sub-clinical inflammation that occurs during remission. Ali et al (2013) also reported that sleep quality was significantly worse in UC patients </w:t>
      </w:r>
      <w:r w:rsidR="007D1A3D" w:rsidRPr="007D1A3D">
        <w:rPr>
          <w:rFonts w:ascii="Times New Roman" w:hAnsi="Times New Roman" w:cs="Times New Roman"/>
          <w:sz w:val="24"/>
          <w:szCs w:val="24"/>
        </w:rPr>
        <w:lastRenderedPageBreak/>
        <w:t>compared to CD patients. However, this could be due to the smaller sample size of CD patients included in the study.</w:t>
      </w:r>
    </w:p>
    <w:p w:rsidR="007D1A3D" w:rsidRP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In contrast, Anathakrishnan et al (2013) found a significant relationship between poor sleep quality and the frequencies of disease flares in CD, but not UC. They aimed to investigate the impact of sleep quality on the frequencies of relapse. The study recruited patients with a self-reported diagnosis of UC or CD. Participants were asked four questions regarding their sleep quality from the PROMIS sleep disturbance questionnaire. The researchers found that 50% of CD patients in remission reported poor sleep quality. Of those 50%, 22% had active disease at the six-month follow up compared to 12% of those who reported high sleep quality. This indicates that there is a two-fold increased risk of disease flare in those who have poor sleep quality. No significant relationships between sleep quality and UC were found. This could be due to the lack of questions in the survey regarding sleep quality. If the researchers had administered the Pittsburgh sleep quality index, they may have found more specific results regarding sleep disturbances and increased the reliability of the results. However, the above studies suggest that sleep quality increases the risk of relapse episodes in both CD (Anathakrishnan et al, 2013) and UC (Ali et al., 2013). Therefore, it can be assumed that if patients receive treatment to increase their sleep quality, the frequency of disease flares will be reduced. </w:t>
      </w:r>
    </w:p>
    <w:p w:rsidR="007D1A3D" w:rsidRDefault="007D1A3D" w:rsidP="00790E6F">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 xml:space="preserve">In addition to this, Ranjbaran et al (2006) investigated the volume of sleep disturbances in IBD patients. Participants were given self-reported questionnaires consisting of the PSQI, a measure of disease activity, and the IBD-QoL questionnaire. The sample consisted of 80 IBD patients with inactive disease, 24 IBS patients and 15 healthy controls. The results stated that IBD patients have greater difficulty reaching REM sleep, frequent sleep disruption, increased day-time fatigue, and poor overall sleep quality compared to the healthy controls. These results are beneficial as it is clear to see the different aspects of sleep quality that impact IBD activity. This emphasises the benefits of using the PQSI. Anathakrishnan et al’s (2013) study may have found significant differences between UC and CD patients within the subscales of the PSQI in comparison to the four-item questionnaire that was used in their study. Ranjbaran et al (2006) also found that both IBD and IBS patients’ sleep quality was highly related to disease activity. These results show that even in periods of remission, IBD patients have poor sleep quality in comparison to the general population.  Anathakrishnan et al (2013) </w:t>
      </w:r>
      <w:r w:rsidRPr="007D1A3D">
        <w:rPr>
          <w:rFonts w:ascii="Times New Roman" w:hAnsi="Times New Roman" w:cs="Times New Roman"/>
          <w:sz w:val="24"/>
          <w:szCs w:val="24"/>
        </w:rPr>
        <w:lastRenderedPageBreak/>
        <w:t>state that poor sleep quality may affect a patients QoL, coping abilities and increase the risk of relapse periods. Therefore, this study also offers support to the notion that IBD patients have decreased QoL in comparison to the general population (Mikocka-Walus et al., 2008; Guthrie et al., 2002; Lonnfors et al., 2014)</w:t>
      </w:r>
      <w:r w:rsidR="001F0916">
        <w:rPr>
          <w:rFonts w:ascii="Times New Roman" w:hAnsi="Times New Roman" w:cs="Times New Roman"/>
          <w:sz w:val="24"/>
          <w:szCs w:val="24"/>
        </w:rPr>
        <w:t>.</w:t>
      </w:r>
    </w:p>
    <w:p w:rsidR="001F0916" w:rsidRPr="007D1A3D" w:rsidRDefault="001F0916" w:rsidP="00790E6F">
      <w:pPr>
        <w:spacing w:line="360" w:lineRule="auto"/>
        <w:ind w:firstLine="720"/>
        <w:jc w:val="both"/>
        <w:rPr>
          <w:rFonts w:ascii="Times New Roman" w:hAnsi="Times New Roman" w:cs="Times New Roman"/>
          <w:sz w:val="24"/>
          <w:szCs w:val="24"/>
        </w:rPr>
      </w:pPr>
    </w:p>
    <w:p w:rsidR="003B25FA" w:rsidRPr="003B25FA" w:rsidRDefault="007D1A3D" w:rsidP="003B25FA">
      <w:pPr>
        <w:pStyle w:val="Heading2"/>
        <w:spacing w:line="360" w:lineRule="auto"/>
        <w:jc w:val="both"/>
        <w:rPr>
          <w:rFonts w:ascii="Times New Roman" w:hAnsi="Times New Roman" w:cs="Times New Roman"/>
        </w:rPr>
      </w:pPr>
      <w:r w:rsidRPr="00B67CC1">
        <w:rPr>
          <w:rFonts w:ascii="Times New Roman" w:hAnsi="Times New Roman" w:cs="Times New Roman"/>
        </w:rPr>
        <w:t>Rationale</w:t>
      </w:r>
      <w:r w:rsidR="003B25FA">
        <w:rPr>
          <w:rFonts w:ascii="Times New Roman" w:hAnsi="Times New Roman" w:cs="Times New Roman"/>
        </w:rPr>
        <w:br/>
      </w:r>
    </w:p>
    <w:p w:rsidR="00C85FA3" w:rsidRDefault="00C85FA3" w:rsidP="00790E6F">
      <w:pPr>
        <w:spacing w:line="360" w:lineRule="auto"/>
        <w:ind w:firstLine="720"/>
        <w:jc w:val="both"/>
        <w:rPr>
          <w:rFonts w:ascii="Times New Roman" w:hAnsi="Times New Roman" w:cs="Times New Roman"/>
          <w:sz w:val="24"/>
          <w:szCs w:val="24"/>
        </w:rPr>
      </w:pPr>
      <w:r w:rsidRPr="00750CD1">
        <w:rPr>
          <w:rFonts w:ascii="Times New Roman" w:hAnsi="Times New Roman" w:cs="Times New Roman"/>
          <w:sz w:val="24"/>
          <w:szCs w:val="24"/>
        </w:rPr>
        <w:t xml:space="preserve">As the disease </w:t>
      </w:r>
      <w:r>
        <w:rPr>
          <w:rFonts w:ascii="Times New Roman" w:hAnsi="Times New Roman" w:cs="Times New Roman"/>
          <w:sz w:val="24"/>
          <w:szCs w:val="24"/>
        </w:rPr>
        <w:t xml:space="preserve">is characterized by recurring relapse-remission episodes, it would be advantageous to patients to know the primary factors that may influence a relapse episode. This information could aid in reducing the frequencies of relapses. Psychological factors such as depression and anxiety have been continuously linked with IBD activity (Graff et al, 2010). Understanding the relationship between Quality of life, sleep quality and IBD, and potential environmental factors such as social support, could justify the development of less invasive treatment options (such as developing coping strategies and therapy-based interventions) for the prevention of relapse and the maintenance of remission episodes. Many studies have found a significant relationship between depression, anxiety and QoL in IBD patients (Addolorato et al., 1997; Kovacs &amp; Kovacs, 2007). Researchers have suggested that this may be due to the unpredictable symptoms such as fatigue, malnutrition and irregular bowel movements (Addolorato et al., 1997). This study will explore other factors that may influence QoL levels in IBD patients such as: perceived social support and sleep quality as well as depression and anxiety to investigate whether there are further influences of QoL apart from malnutrition, fatigue and irregular bowel movements. </w:t>
      </w:r>
    </w:p>
    <w:p w:rsidR="00C85FA3" w:rsidRDefault="00C85FA3"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IBD and disease activity have also been strongly correlated with decreased HRQoL. Mikocka-Walus et al (2008) found that compared to the general population, IBD patients displayed decreased HRQoL. In addition, they found that CD patients reported lower mental and physical QoL than UC patients. This study could add further support to this topic are of IBD research. Furthermore, Guthrie et al (2002) also supported the findings that negative psychological issues affect HRQoL in IBD patients. However, the researchers stated that the decrease in HRQoL could be due to sleep impairments leading to higher levels of fatigue, yet they did not measure sleep quality. As the present </w:t>
      </w:r>
      <w:r>
        <w:rPr>
          <w:rFonts w:ascii="Times New Roman" w:hAnsi="Times New Roman" w:cs="Times New Roman"/>
          <w:sz w:val="24"/>
          <w:szCs w:val="24"/>
        </w:rPr>
        <w:lastRenderedPageBreak/>
        <w:t xml:space="preserve">study measures sleep quality in IBD patients as well as QoL, the researcher will have clearer findings as to whether decreased QoL is due to the disease itself or due to sleep impairments that are commonly experienced among IBD patients. There are few studies that measure self-esteem as a single measure within the literature regarding IBD. This is due to self-esteem commonly being categorised with other psychological disorders to create a combined measurement of QoL (Engstrom, 1992). Therefore, it has been difficult for researchers to draw conclusions </w:t>
      </w:r>
      <w:r w:rsidR="00B056D6">
        <w:rPr>
          <w:rFonts w:ascii="Times New Roman" w:hAnsi="Times New Roman" w:cs="Times New Roman"/>
          <w:sz w:val="24"/>
          <w:szCs w:val="24"/>
        </w:rPr>
        <w:t>regarding</w:t>
      </w:r>
      <w:r>
        <w:rPr>
          <w:rFonts w:ascii="Times New Roman" w:hAnsi="Times New Roman" w:cs="Times New Roman"/>
          <w:sz w:val="24"/>
          <w:szCs w:val="24"/>
        </w:rPr>
        <w:t xml:space="preserve"> the relationship between self-esteem and IBD. As the present study measures QoL as a combination of anxiety depression and self-esteem, the subscales can be split into individual measures. This will fill the gap in previous research by enabling the researcher to analyse each subscale individually to see the individual effects of anxiety, depression and self-esteem on IBD. </w:t>
      </w:r>
    </w:p>
    <w:p w:rsidR="001F0916" w:rsidRDefault="00C85FA3"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been found that the pathways between social support and the immune system can be disrupted by stress, leading to increased corticosteroid levels which in turn supresses the immune system. Consequently, increasing the risk of serious infection and sensitivity to disease (McEwen &amp; Steller, 1993). Social support has been found to decrease stress levels and therefore could prevent the decrease in immune functioning. If the present study supports previous findings that social support decreases the frequencies of disease activity, this could offer justification for the application of psychosocial interventions as a treatment option for IBD patients. </w:t>
      </w:r>
    </w:p>
    <w:p w:rsidR="003B25FA" w:rsidRPr="007D1A3D" w:rsidRDefault="003B25FA" w:rsidP="00790E6F">
      <w:pPr>
        <w:spacing w:line="360" w:lineRule="auto"/>
        <w:jc w:val="both"/>
        <w:rPr>
          <w:rFonts w:ascii="Times New Roman" w:hAnsi="Times New Roman" w:cs="Times New Roman"/>
          <w:sz w:val="24"/>
          <w:szCs w:val="24"/>
        </w:rPr>
      </w:pPr>
    </w:p>
    <w:p w:rsidR="00B67CC1" w:rsidRPr="00C85FA3"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Aim</w:t>
      </w:r>
      <w:r w:rsidR="00C85FA3">
        <w:rPr>
          <w:rFonts w:ascii="Times New Roman" w:hAnsi="Times New Roman" w:cs="Times New Roman"/>
        </w:rPr>
        <w:t>s</w:t>
      </w:r>
    </w:p>
    <w:p w:rsidR="007D1A3D" w:rsidRDefault="007D1A3D" w:rsidP="003B25FA">
      <w:pPr>
        <w:spacing w:line="360" w:lineRule="auto"/>
        <w:ind w:firstLine="720"/>
        <w:jc w:val="both"/>
        <w:rPr>
          <w:rFonts w:ascii="Times New Roman" w:hAnsi="Times New Roman" w:cs="Times New Roman"/>
          <w:sz w:val="24"/>
          <w:szCs w:val="24"/>
        </w:rPr>
      </w:pPr>
      <w:r w:rsidRPr="007D1A3D">
        <w:rPr>
          <w:rFonts w:ascii="Times New Roman" w:hAnsi="Times New Roman" w:cs="Times New Roman"/>
          <w:sz w:val="24"/>
          <w:szCs w:val="24"/>
        </w:rPr>
        <w:t>This study aims to assess the relationship between Inflammatory Bowel Disease and Quality of Life. This study also aims to investigate the influence of social support and sleep quality on disease activity.</w:t>
      </w:r>
    </w:p>
    <w:p w:rsidR="003B25FA" w:rsidRPr="007D1A3D" w:rsidRDefault="003B25FA" w:rsidP="003B25FA">
      <w:pPr>
        <w:spacing w:line="360" w:lineRule="auto"/>
        <w:ind w:firstLine="720"/>
        <w:jc w:val="both"/>
        <w:rPr>
          <w:rFonts w:ascii="Times New Roman" w:hAnsi="Times New Roman" w:cs="Times New Roman"/>
          <w:sz w:val="24"/>
          <w:szCs w:val="24"/>
        </w:rPr>
      </w:pPr>
    </w:p>
    <w:p w:rsidR="00B67CC1" w:rsidRDefault="007D1A3D" w:rsidP="00790E6F">
      <w:pPr>
        <w:pStyle w:val="Heading2"/>
        <w:spacing w:line="360" w:lineRule="auto"/>
        <w:jc w:val="both"/>
        <w:rPr>
          <w:rFonts w:ascii="Times New Roman" w:hAnsi="Times New Roman" w:cs="Times New Roman"/>
        </w:rPr>
      </w:pPr>
      <w:r w:rsidRPr="00B67CC1">
        <w:rPr>
          <w:rFonts w:ascii="Times New Roman" w:hAnsi="Times New Roman" w:cs="Times New Roman"/>
        </w:rPr>
        <w:t>Hypotheses</w:t>
      </w:r>
    </w:p>
    <w:p w:rsidR="003B25FA" w:rsidRPr="003B25FA" w:rsidRDefault="003B25FA" w:rsidP="003B25FA"/>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7D1A3D" w:rsidRPr="007D1A3D">
        <w:rPr>
          <w:rFonts w:ascii="Times New Roman" w:hAnsi="Times New Roman" w:cs="Times New Roman"/>
          <w:sz w:val="24"/>
          <w:szCs w:val="24"/>
        </w:rPr>
        <w:t>Individuals in remission will show higher scores on the subscales (anxiety, depression and self-esteem) of Quality of Life than individuals in relapse</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7D1A3D" w:rsidRPr="007D1A3D">
        <w:rPr>
          <w:rFonts w:ascii="Times New Roman" w:hAnsi="Times New Roman" w:cs="Times New Roman"/>
          <w:sz w:val="24"/>
          <w:szCs w:val="24"/>
        </w:rPr>
        <w:t>Crohn</w:t>
      </w:r>
      <w:r w:rsidR="00B056D6">
        <w:rPr>
          <w:rFonts w:ascii="Times New Roman" w:hAnsi="Times New Roman" w:cs="Times New Roman"/>
          <w:sz w:val="24"/>
          <w:szCs w:val="24"/>
        </w:rPr>
        <w:t>’</w:t>
      </w:r>
      <w:r w:rsidR="007D1A3D" w:rsidRPr="007D1A3D">
        <w:rPr>
          <w:rFonts w:ascii="Times New Roman" w:hAnsi="Times New Roman" w:cs="Times New Roman"/>
          <w:sz w:val="24"/>
          <w:szCs w:val="24"/>
        </w:rPr>
        <w:t>s disease patients will show higher scores on the subscales (anxiety, depression and self-esteem) of Quality of Life than Ulcerative colitis patients</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 </w:t>
      </w:r>
      <w:r w:rsidR="007D1A3D" w:rsidRPr="007D1A3D">
        <w:rPr>
          <w:rFonts w:ascii="Times New Roman" w:hAnsi="Times New Roman" w:cs="Times New Roman"/>
          <w:sz w:val="24"/>
          <w:szCs w:val="24"/>
        </w:rPr>
        <w:t>There will be a significant relationship between Quality of Life and IBD activity.</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7D1A3D" w:rsidRPr="007D1A3D">
        <w:rPr>
          <w:rFonts w:ascii="Times New Roman" w:hAnsi="Times New Roman" w:cs="Times New Roman"/>
          <w:sz w:val="24"/>
          <w:szCs w:val="24"/>
        </w:rPr>
        <w:t xml:space="preserve">There will be a significant effect of disease activity on self-esteem. </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7D1A3D" w:rsidRPr="007D1A3D">
        <w:rPr>
          <w:rFonts w:ascii="Times New Roman" w:hAnsi="Times New Roman" w:cs="Times New Roman"/>
          <w:sz w:val="24"/>
          <w:szCs w:val="24"/>
        </w:rPr>
        <w:t>Individuals with higher perceived levels of social support will display increased levels of self-esteem than those with low perceived social support.</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007D1A3D" w:rsidRPr="007D1A3D">
        <w:rPr>
          <w:rFonts w:ascii="Times New Roman" w:hAnsi="Times New Roman" w:cs="Times New Roman"/>
          <w:sz w:val="24"/>
          <w:szCs w:val="24"/>
        </w:rPr>
        <w:t>Individuals in relapse will report lower scores on the Pittsburgh sleep quality index in comparison to patients in remission.</w:t>
      </w:r>
    </w:p>
    <w:p w:rsidR="007D1A3D" w:rsidRPr="007D1A3D" w:rsidRDefault="00B67CC1"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007D1A3D" w:rsidRPr="007D1A3D">
        <w:rPr>
          <w:rFonts w:ascii="Times New Roman" w:hAnsi="Times New Roman" w:cs="Times New Roman"/>
          <w:sz w:val="24"/>
          <w:szCs w:val="24"/>
        </w:rPr>
        <w:t xml:space="preserve">There will be a significant relationship between sleep quality and Quality of Life. </w:t>
      </w:r>
    </w:p>
    <w:p w:rsidR="007D1A3D" w:rsidRDefault="007D1A3D" w:rsidP="00790E6F">
      <w:pPr>
        <w:spacing w:line="360" w:lineRule="auto"/>
        <w:jc w:val="both"/>
        <w:rPr>
          <w:rFonts w:ascii="Times New Roman" w:hAnsi="Times New Roman" w:cs="Times New Roman"/>
          <w:sz w:val="24"/>
          <w:szCs w:val="24"/>
        </w:rPr>
      </w:pPr>
    </w:p>
    <w:p w:rsidR="00D95FA5" w:rsidRDefault="00D95FA5" w:rsidP="00790E6F">
      <w:pPr>
        <w:spacing w:line="360" w:lineRule="auto"/>
        <w:jc w:val="both"/>
        <w:rPr>
          <w:rFonts w:ascii="Times New Roman" w:hAnsi="Times New Roman" w:cs="Times New Roman"/>
          <w:sz w:val="24"/>
          <w:szCs w:val="24"/>
        </w:rPr>
      </w:pPr>
    </w:p>
    <w:p w:rsidR="00D95FA5" w:rsidRDefault="00D95FA5"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1F0916" w:rsidRDefault="001F0916"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3B25FA" w:rsidRDefault="003B25FA" w:rsidP="00790E6F">
      <w:pPr>
        <w:spacing w:line="360" w:lineRule="auto"/>
        <w:jc w:val="both"/>
        <w:rPr>
          <w:rFonts w:ascii="Times New Roman" w:hAnsi="Times New Roman" w:cs="Times New Roman"/>
          <w:sz w:val="24"/>
          <w:szCs w:val="24"/>
        </w:rPr>
      </w:pPr>
    </w:p>
    <w:p w:rsidR="00D95FA5" w:rsidRDefault="00D95FA5" w:rsidP="00FC1571">
      <w:pPr>
        <w:pStyle w:val="Heading1"/>
        <w:spacing w:line="360" w:lineRule="auto"/>
        <w:jc w:val="center"/>
        <w:rPr>
          <w:rFonts w:ascii="Times New Roman" w:hAnsi="Times New Roman" w:cs="Times New Roman"/>
          <w:sz w:val="26"/>
          <w:szCs w:val="26"/>
        </w:rPr>
      </w:pPr>
      <w:r>
        <w:rPr>
          <w:rFonts w:ascii="Times New Roman" w:hAnsi="Times New Roman" w:cs="Times New Roman"/>
          <w:sz w:val="26"/>
          <w:szCs w:val="26"/>
        </w:rPr>
        <w:lastRenderedPageBreak/>
        <w:t>Methodology</w:t>
      </w:r>
    </w:p>
    <w:p w:rsidR="001F0916" w:rsidRPr="00C85FA3" w:rsidRDefault="00D95FA5" w:rsidP="00790E6F">
      <w:pPr>
        <w:pStyle w:val="Heading1"/>
        <w:spacing w:line="360" w:lineRule="auto"/>
        <w:jc w:val="both"/>
        <w:rPr>
          <w:rFonts w:ascii="Times New Roman" w:hAnsi="Times New Roman" w:cs="Times New Roman"/>
          <w:sz w:val="26"/>
          <w:szCs w:val="26"/>
        </w:rPr>
      </w:pPr>
      <w:r>
        <w:rPr>
          <w:rFonts w:ascii="Times New Roman" w:hAnsi="Times New Roman" w:cs="Times New Roman"/>
          <w:sz w:val="26"/>
          <w:szCs w:val="26"/>
        </w:rPr>
        <w:t>Design</w:t>
      </w:r>
      <w:r w:rsidR="00C85FA3">
        <w:rPr>
          <w:rFonts w:ascii="Times New Roman" w:hAnsi="Times New Roman" w:cs="Times New Roman"/>
          <w:sz w:val="26"/>
          <w:szCs w:val="26"/>
        </w:rPr>
        <w:br/>
      </w:r>
    </w:p>
    <w:p w:rsidR="00D95FA5" w:rsidRPr="00D95FA5"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This is a quantitative study using a repeated measures design.</w:t>
      </w:r>
      <w:r w:rsidRPr="00AA38AB">
        <w:rPr>
          <w:rFonts w:ascii="Times New Roman" w:hAnsi="Times New Roman" w:cs="Times New Roman"/>
          <w:sz w:val="24"/>
          <w:szCs w:val="24"/>
        </w:rPr>
        <w:t xml:space="preserve"> </w:t>
      </w:r>
      <w:r w:rsidRPr="005A126E">
        <w:rPr>
          <w:rFonts w:ascii="Times New Roman" w:hAnsi="Times New Roman" w:cs="Times New Roman"/>
          <w:sz w:val="24"/>
          <w:szCs w:val="24"/>
        </w:rPr>
        <w:t>A purposeful opportunity sampling method will be used to recruit Crohn’s and Colitis disease patients via an online social media platform. The survey will be posted on the health forum named “Crohn’s Disease &amp; Ulcerative Colitis Support UK” as it would be difficult to recruit a high volume of ulcerative colitis and Crohn’s disease patients through other sampling methods. According to previous research, online surveys enables researchers to access large numbers of participants who would be difficult to contact in person (Garton, Haythornthwaite &amp; Wellman, 1999).</w:t>
      </w:r>
      <w:r>
        <w:rPr>
          <w:rFonts w:ascii="Times New Roman" w:hAnsi="Times New Roman" w:cs="Times New Roman"/>
          <w:sz w:val="24"/>
          <w:szCs w:val="24"/>
        </w:rPr>
        <w:t xml:space="preserve"> There were </w:t>
      </w:r>
      <w:r w:rsidR="001A2FCF">
        <w:rPr>
          <w:rFonts w:ascii="Times New Roman" w:hAnsi="Times New Roman" w:cs="Times New Roman"/>
          <w:sz w:val="24"/>
          <w:szCs w:val="24"/>
        </w:rPr>
        <w:t>five</w:t>
      </w:r>
      <w:r>
        <w:rPr>
          <w:rFonts w:ascii="Times New Roman" w:hAnsi="Times New Roman" w:cs="Times New Roman"/>
          <w:sz w:val="24"/>
          <w:szCs w:val="24"/>
        </w:rPr>
        <w:t xml:space="preserve"> independent variables in this study: UC in remission; Crohn’s disease in remission; </w:t>
      </w:r>
      <w:r w:rsidR="001F0916">
        <w:rPr>
          <w:rFonts w:ascii="Times New Roman" w:hAnsi="Times New Roman" w:cs="Times New Roman"/>
          <w:sz w:val="24"/>
          <w:szCs w:val="24"/>
        </w:rPr>
        <w:t>Ulcerative</w:t>
      </w:r>
      <w:r>
        <w:rPr>
          <w:rFonts w:ascii="Times New Roman" w:hAnsi="Times New Roman" w:cs="Times New Roman"/>
          <w:sz w:val="24"/>
          <w:szCs w:val="24"/>
        </w:rPr>
        <w:t xml:space="preserve"> colitis in relapse; Crohn’s disease in relapse</w:t>
      </w:r>
      <w:r w:rsidR="001A2FCF">
        <w:rPr>
          <w:rFonts w:ascii="Times New Roman" w:hAnsi="Times New Roman" w:cs="Times New Roman"/>
          <w:sz w:val="24"/>
          <w:szCs w:val="24"/>
        </w:rPr>
        <w:t>; and age</w:t>
      </w:r>
      <w:r>
        <w:rPr>
          <w:rFonts w:ascii="Times New Roman" w:hAnsi="Times New Roman" w:cs="Times New Roman"/>
          <w:sz w:val="24"/>
          <w:szCs w:val="24"/>
        </w:rPr>
        <w:t xml:space="preserve">.  </w:t>
      </w:r>
      <w:r w:rsidR="001F0916">
        <w:rPr>
          <w:rFonts w:ascii="Times New Roman" w:hAnsi="Times New Roman" w:cs="Times New Roman"/>
          <w:sz w:val="24"/>
          <w:szCs w:val="24"/>
        </w:rPr>
        <w:t xml:space="preserve">There were </w:t>
      </w:r>
      <w:r w:rsidR="001A2FCF">
        <w:rPr>
          <w:rFonts w:ascii="Times New Roman" w:hAnsi="Times New Roman" w:cs="Times New Roman"/>
          <w:sz w:val="24"/>
          <w:szCs w:val="24"/>
        </w:rPr>
        <w:t>three</w:t>
      </w:r>
      <w:r w:rsidR="001F0916">
        <w:rPr>
          <w:rFonts w:ascii="Times New Roman" w:hAnsi="Times New Roman" w:cs="Times New Roman"/>
          <w:sz w:val="24"/>
          <w:szCs w:val="24"/>
        </w:rPr>
        <w:t xml:space="preserve"> dependent variables used in this study: Quality of Life (depression, anxiety and self-esteem); Sleep Quality; and</w:t>
      </w:r>
      <w:r w:rsidR="001A2FCF">
        <w:rPr>
          <w:rFonts w:ascii="Times New Roman" w:hAnsi="Times New Roman" w:cs="Times New Roman"/>
          <w:sz w:val="24"/>
          <w:szCs w:val="24"/>
        </w:rPr>
        <w:t xml:space="preserve"> </w:t>
      </w:r>
      <w:r w:rsidR="001F0916">
        <w:rPr>
          <w:rFonts w:ascii="Times New Roman" w:hAnsi="Times New Roman" w:cs="Times New Roman"/>
          <w:sz w:val="24"/>
          <w:szCs w:val="24"/>
        </w:rPr>
        <w:t>Perceived social support.</w:t>
      </w:r>
    </w:p>
    <w:p w:rsidR="00262CC3" w:rsidRPr="00262CC3" w:rsidRDefault="001F0916" w:rsidP="00790E6F">
      <w:pPr>
        <w:pStyle w:val="Heading1"/>
        <w:spacing w:line="360" w:lineRule="auto"/>
        <w:jc w:val="both"/>
        <w:rPr>
          <w:rFonts w:ascii="Times New Roman" w:hAnsi="Times New Roman" w:cs="Times New Roman"/>
          <w:sz w:val="26"/>
          <w:szCs w:val="26"/>
        </w:rPr>
      </w:pPr>
      <w:r w:rsidRPr="001F0916">
        <w:rPr>
          <w:rFonts w:ascii="Times New Roman" w:hAnsi="Times New Roman" w:cs="Times New Roman"/>
          <w:sz w:val="26"/>
          <w:szCs w:val="26"/>
        </w:rPr>
        <w:t>Participants</w:t>
      </w:r>
      <w:r w:rsidR="00262CC3">
        <w:rPr>
          <w:rFonts w:ascii="Times New Roman" w:hAnsi="Times New Roman" w:cs="Times New Roman"/>
          <w:sz w:val="26"/>
          <w:szCs w:val="26"/>
        </w:rPr>
        <w:br/>
      </w:r>
    </w:p>
    <w:p w:rsidR="003B25FA" w:rsidRDefault="00D95FA5" w:rsidP="003B25FA">
      <w:pPr>
        <w:spacing w:line="360" w:lineRule="auto"/>
        <w:ind w:firstLine="360"/>
        <w:jc w:val="both"/>
        <w:rPr>
          <w:rFonts w:ascii="Times New Roman" w:hAnsi="Times New Roman" w:cs="Times New Roman"/>
          <w:sz w:val="24"/>
          <w:szCs w:val="24"/>
        </w:rPr>
      </w:pPr>
      <w:r w:rsidRPr="001D58FF">
        <w:rPr>
          <w:rFonts w:ascii="Times New Roman" w:hAnsi="Times New Roman" w:cs="Times New Roman"/>
          <w:sz w:val="24"/>
          <w:szCs w:val="24"/>
        </w:rPr>
        <w:t>Individuals diagnosed with either Ulcerative Colitis or Crohn</w:t>
      </w:r>
      <w:r w:rsidR="00B056D6">
        <w:rPr>
          <w:rFonts w:ascii="Times New Roman" w:hAnsi="Times New Roman" w:cs="Times New Roman"/>
          <w:sz w:val="24"/>
          <w:szCs w:val="24"/>
        </w:rPr>
        <w:t>’</w:t>
      </w:r>
      <w:r w:rsidRPr="001D58FF">
        <w:rPr>
          <w:rFonts w:ascii="Times New Roman" w:hAnsi="Times New Roman" w:cs="Times New Roman"/>
          <w:sz w:val="24"/>
          <w:szCs w:val="24"/>
        </w:rPr>
        <w:t xml:space="preserve">s Disease were invited to participate in a survey. The individuals were recruited via opportunity sampling from a health forum named </w:t>
      </w:r>
      <w:bookmarkStart w:id="1" w:name="_Hlk501464645"/>
      <w:r w:rsidRPr="001D58FF">
        <w:rPr>
          <w:rFonts w:ascii="Times New Roman" w:hAnsi="Times New Roman" w:cs="Times New Roman"/>
          <w:sz w:val="24"/>
          <w:szCs w:val="24"/>
        </w:rPr>
        <w:t>‘Crohn</w:t>
      </w:r>
      <w:r w:rsidR="00B056D6">
        <w:rPr>
          <w:rFonts w:ascii="Times New Roman" w:hAnsi="Times New Roman" w:cs="Times New Roman"/>
          <w:sz w:val="24"/>
          <w:szCs w:val="24"/>
        </w:rPr>
        <w:t>’</w:t>
      </w:r>
      <w:r w:rsidRPr="001D58FF">
        <w:rPr>
          <w:rFonts w:ascii="Times New Roman" w:hAnsi="Times New Roman" w:cs="Times New Roman"/>
          <w:sz w:val="24"/>
          <w:szCs w:val="24"/>
        </w:rPr>
        <w:t xml:space="preserve">s Disease &amp; Ulcerative Colitis Support UK’ </w:t>
      </w:r>
      <w:bookmarkEnd w:id="1"/>
      <w:r w:rsidRPr="001D58FF">
        <w:rPr>
          <w:rFonts w:ascii="Times New Roman" w:hAnsi="Times New Roman" w:cs="Times New Roman"/>
          <w:sz w:val="24"/>
          <w:szCs w:val="24"/>
        </w:rPr>
        <w:t xml:space="preserve">on the social media platform of Facebook. The link was posted on the forum, every Wednesday for a period of six weeks to receive the desired amount of completed surveys. </w:t>
      </w:r>
    </w:p>
    <w:p w:rsidR="003B25FA" w:rsidRDefault="003B25FA" w:rsidP="003B25FA">
      <w:pPr>
        <w:spacing w:line="240" w:lineRule="auto"/>
        <w:ind w:firstLine="360"/>
        <w:jc w:val="both"/>
        <w:rPr>
          <w:rFonts w:ascii="Times New Roman" w:hAnsi="Times New Roman" w:cs="Times New Roman"/>
          <w:sz w:val="24"/>
          <w:szCs w:val="24"/>
        </w:rPr>
      </w:pPr>
    </w:p>
    <w:p w:rsidR="003B25FA" w:rsidRDefault="003B25FA" w:rsidP="003B25FA">
      <w:pPr>
        <w:pStyle w:val="Heading2"/>
        <w:rPr>
          <w:rFonts w:ascii="Times New Roman" w:hAnsi="Times New Roman" w:cs="Times New Roman"/>
        </w:rPr>
      </w:pPr>
      <w:r w:rsidRPr="003B25FA">
        <w:rPr>
          <w:rFonts w:ascii="Times New Roman" w:hAnsi="Times New Roman" w:cs="Times New Roman"/>
        </w:rPr>
        <w:t>Assessment of Disease activity</w:t>
      </w:r>
    </w:p>
    <w:p w:rsidR="003B25FA" w:rsidRPr="003B25FA" w:rsidRDefault="003B25FA" w:rsidP="003B25FA"/>
    <w:p w:rsidR="00D95FA5" w:rsidRPr="001D58FF" w:rsidRDefault="00D95FA5" w:rsidP="00790E6F">
      <w:pPr>
        <w:spacing w:line="360" w:lineRule="auto"/>
        <w:ind w:firstLine="720"/>
        <w:jc w:val="both"/>
        <w:rPr>
          <w:rFonts w:ascii="Times New Roman" w:hAnsi="Times New Roman" w:cs="Times New Roman"/>
          <w:caps/>
          <w:sz w:val="24"/>
          <w:szCs w:val="24"/>
        </w:rPr>
      </w:pPr>
      <w:r w:rsidRPr="001D58FF">
        <w:rPr>
          <w:rFonts w:ascii="Times New Roman" w:hAnsi="Times New Roman" w:cs="Times New Roman"/>
          <w:sz w:val="24"/>
          <w:szCs w:val="24"/>
        </w:rPr>
        <w:t>Participants were categorised according to their disease type based on self-reported data of the diagnosis received by a medical professional, Crohn</w:t>
      </w:r>
      <w:r w:rsidR="00B056D6">
        <w:rPr>
          <w:rFonts w:ascii="Times New Roman" w:hAnsi="Times New Roman" w:cs="Times New Roman"/>
          <w:sz w:val="24"/>
          <w:szCs w:val="24"/>
        </w:rPr>
        <w:t>’</w:t>
      </w:r>
      <w:r w:rsidRPr="001D58FF">
        <w:rPr>
          <w:rFonts w:ascii="Times New Roman" w:hAnsi="Times New Roman" w:cs="Times New Roman"/>
          <w:sz w:val="24"/>
          <w:szCs w:val="24"/>
        </w:rPr>
        <w:t>s Disease (n=</w:t>
      </w:r>
      <w:r w:rsidR="00262CC3">
        <w:rPr>
          <w:rFonts w:ascii="Times New Roman" w:hAnsi="Times New Roman" w:cs="Times New Roman"/>
          <w:sz w:val="24"/>
          <w:szCs w:val="24"/>
        </w:rPr>
        <w:t>223</w:t>
      </w:r>
      <w:r w:rsidRPr="001D58FF">
        <w:rPr>
          <w:rFonts w:ascii="Times New Roman" w:hAnsi="Times New Roman" w:cs="Times New Roman"/>
          <w:sz w:val="24"/>
          <w:szCs w:val="24"/>
        </w:rPr>
        <w:t>), Ulcerative Colitis (n=</w:t>
      </w:r>
      <w:r w:rsidR="00262CC3">
        <w:rPr>
          <w:rFonts w:ascii="Times New Roman" w:hAnsi="Times New Roman" w:cs="Times New Roman"/>
          <w:sz w:val="24"/>
          <w:szCs w:val="24"/>
        </w:rPr>
        <w:t>91</w:t>
      </w:r>
      <w:r w:rsidRPr="001D58FF">
        <w:rPr>
          <w:rFonts w:ascii="Times New Roman" w:hAnsi="Times New Roman" w:cs="Times New Roman"/>
          <w:sz w:val="24"/>
          <w:szCs w:val="24"/>
        </w:rPr>
        <w:t>), Ulcerative Proctitis (n=</w:t>
      </w:r>
      <w:r w:rsidR="00262CC3">
        <w:rPr>
          <w:rFonts w:ascii="Times New Roman" w:hAnsi="Times New Roman" w:cs="Times New Roman"/>
          <w:sz w:val="24"/>
          <w:szCs w:val="24"/>
        </w:rPr>
        <w:t>10</w:t>
      </w:r>
      <w:r w:rsidRPr="001D58FF">
        <w:rPr>
          <w:rFonts w:ascii="Times New Roman" w:hAnsi="Times New Roman" w:cs="Times New Roman"/>
          <w:sz w:val="24"/>
          <w:szCs w:val="24"/>
        </w:rPr>
        <w:t xml:space="preserve">). Those who had received a diagnosis of Ulcerative Proctitis were combined with Ulcerative colitis patients, resulting in a combined number of </w:t>
      </w:r>
      <w:r w:rsidR="00262CC3">
        <w:rPr>
          <w:rFonts w:ascii="Times New Roman" w:hAnsi="Times New Roman" w:cs="Times New Roman"/>
          <w:sz w:val="24"/>
          <w:szCs w:val="24"/>
        </w:rPr>
        <w:t>101</w:t>
      </w:r>
      <w:r w:rsidRPr="001D58FF">
        <w:rPr>
          <w:rFonts w:ascii="Times New Roman" w:hAnsi="Times New Roman" w:cs="Times New Roman"/>
          <w:sz w:val="24"/>
          <w:szCs w:val="24"/>
        </w:rPr>
        <w:t xml:space="preserve"> participants for the Ulcerative Colitis condition. The diagnoses were not verified with medical records by the researcher and </w:t>
      </w:r>
      <w:r w:rsidRPr="001D58FF">
        <w:rPr>
          <w:rFonts w:ascii="Times New Roman" w:hAnsi="Times New Roman" w:cs="Times New Roman"/>
          <w:sz w:val="24"/>
          <w:szCs w:val="24"/>
        </w:rPr>
        <w:lastRenderedPageBreak/>
        <w:t>therefore the researcher relied on the honesty of the participants when stating their diagnoses which may have decreased the validity of the categorisation of disease types. As diagnoses were not confirmed by physicians or medical records, participants may have reported an indefinite diagnosis of IBD as either Crohn</w:t>
      </w:r>
      <w:r w:rsidR="00B056D6">
        <w:rPr>
          <w:rFonts w:ascii="Times New Roman" w:hAnsi="Times New Roman" w:cs="Times New Roman"/>
          <w:sz w:val="24"/>
          <w:szCs w:val="24"/>
        </w:rPr>
        <w:t>’</w:t>
      </w:r>
      <w:r w:rsidRPr="001D58FF">
        <w:rPr>
          <w:rFonts w:ascii="Times New Roman" w:hAnsi="Times New Roman" w:cs="Times New Roman"/>
          <w:sz w:val="24"/>
          <w:szCs w:val="24"/>
        </w:rPr>
        <w:t>s disease or Ulcerative Colitis. However, Graff (2006) found that when patients’ self-reported diagnoses were compared with medical records, 92% of individuals who reported Crohn’s Disease or Ulcerative Colitis were supported by their medical records. Therefore, it can be assumed that the self-reported diagnoses received in this study are reliable. To further increase the reliability of the self-reports and to prevent indeterminate diagnoses from skewing the data, an ‘Awaiting Diagnosis’ option was added to the survey (n=</w:t>
      </w:r>
      <w:r w:rsidR="00262CC3">
        <w:rPr>
          <w:rFonts w:ascii="Times New Roman" w:hAnsi="Times New Roman" w:cs="Times New Roman"/>
          <w:sz w:val="24"/>
          <w:szCs w:val="24"/>
        </w:rPr>
        <w:t>24</w:t>
      </w:r>
      <w:r w:rsidRPr="001D58FF">
        <w:rPr>
          <w:rFonts w:ascii="Times New Roman" w:hAnsi="Times New Roman" w:cs="Times New Roman"/>
          <w:sz w:val="24"/>
          <w:szCs w:val="24"/>
        </w:rPr>
        <w:t>). Those who were awaiting diagnosis were excluded from the survey and thanked for their interest in taking part.</w:t>
      </w:r>
    </w:p>
    <w:p w:rsidR="00262CC3" w:rsidRPr="00C85FA3"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 xml:space="preserve">Disease activity was determined using self-reported data at the time of the study, using the Harvey Bradshaw index. </w:t>
      </w:r>
      <w:r>
        <w:rPr>
          <w:rFonts w:ascii="Times New Roman" w:hAnsi="Times New Roman" w:cs="Times New Roman"/>
          <w:sz w:val="24"/>
          <w:szCs w:val="24"/>
        </w:rPr>
        <w:t xml:space="preserve">Although the Harvey Bradshaw index was originally developed for the assessment of CD only, the tool can also be used to measure UC (Sewitch et al, 2001). </w:t>
      </w:r>
      <w:r w:rsidRPr="001D58FF">
        <w:rPr>
          <w:rFonts w:ascii="Times New Roman" w:hAnsi="Times New Roman" w:cs="Times New Roman"/>
          <w:sz w:val="24"/>
          <w:szCs w:val="24"/>
        </w:rPr>
        <w:t xml:space="preserve">The Harvey-Bradshaw Index consists of 5 short questions regarding a patient’s disease activity at the time of completion. The questions relate to the </w:t>
      </w:r>
      <w:r w:rsidR="00B056D6" w:rsidRPr="001D58FF">
        <w:rPr>
          <w:rFonts w:ascii="Times New Roman" w:hAnsi="Times New Roman" w:cs="Times New Roman"/>
          <w:sz w:val="24"/>
          <w:szCs w:val="24"/>
        </w:rPr>
        <w:t>patients’</w:t>
      </w:r>
      <w:r w:rsidRPr="001D58FF">
        <w:rPr>
          <w:rFonts w:ascii="Times New Roman" w:hAnsi="Times New Roman" w:cs="Times New Roman"/>
          <w:sz w:val="24"/>
          <w:szCs w:val="24"/>
        </w:rPr>
        <w:t xml:space="preserve"> general well</w:t>
      </w:r>
      <w:r w:rsidR="00262CC3">
        <w:rPr>
          <w:rFonts w:ascii="Times New Roman" w:hAnsi="Times New Roman" w:cs="Times New Roman"/>
          <w:sz w:val="24"/>
          <w:szCs w:val="24"/>
        </w:rPr>
        <w:t>-</w:t>
      </w:r>
      <w:r w:rsidRPr="001D58FF">
        <w:rPr>
          <w:rFonts w:ascii="Times New Roman" w:hAnsi="Times New Roman" w:cs="Times New Roman"/>
          <w:sz w:val="24"/>
          <w:szCs w:val="24"/>
        </w:rPr>
        <w:t>being, abdominal pain, number of liquid stools, the presence of an abdominal mass and any complications that they are experiencing. Participants were asked “How was your general well-being yesterday?” a) Very Well; b) Slightly below par; c) Poor; d) Very Poor; and e) Terrible. The Harvey Bradshaw Index is scored for CD as followed: &lt;5 in Remission; 5-7 Mild Disease; 8-16 Moderate disease; &gt;16 Severe Disease. For UC, The Harvey-Bradshaw Index was scored as followed: Remission: 0-1; Mild Disease: 2-4; Moderate Disease: 5-6; Severe Disease: 7-9</w:t>
      </w: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3B25FA" w:rsidRDefault="003B25FA" w:rsidP="00790E6F">
      <w:pPr>
        <w:spacing w:line="360" w:lineRule="auto"/>
        <w:jc w:val="both"/>
        <w:rPr>
          <w:rFonts w:ascii="Times New Roman" w:hAnsi="Times New Roman" w:cs="Times New Roman"/>
          <w:i/>
          <w:sz w:val="24"/>
          <w:szCs w:val="24"/>
        </w:rPr>
      </w:pPr>
    </w:p>
    <w:p w:rsidR="00D95FA5" w:rsidRDefault="00D95FA5" w:rsidP="00790E6F">
      <w:pPr>
        <w:spacing w:line="360" w:lineRule="auto"/>
        <w:jc w:val="both"/>
        <w:rPr>
          <w:rFonts w:ascii="Times New Roman" w:hAnsi="Times New Roman" w:cs="Times New Roman"/>
          <w:i/>
          <w:sz w:val="24"/>
          <w:szCs w:val="24"/>
        </w:rPr>
      </w:pPr>
      <w:r w:rsidRPr="001A2FCF">
        <w:rPr>
          <w:rFonts w:ascii="Times New Roman" w:hAnsi="Times New Roman" w:cs="Times New Roman"/>
          <w:i/>
          <w:sz w:val="24"/>
          <w:szCs w:val="24"/>
        </w:rPr>
        <w:t>Fig 1: Patient enrolment</w:t>
      </w:r>
    </w:p>
    <w:p w:rsidR="00262CC3" w:rsidRPr="001A2FCF" w:rsidRDefault="00262CC3"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59264" behindDoc="0" locked="0" layoutInCell="1" allowOverlap="1" wp14:anchorId="64A38FCF" wp14:editId="71D0DF26">
                <wp:simplePos x="0" y="0"/>
                <wp:positionH relativeFrom="margin">
                  <wp:posOffset>1828800</wp:posOffset>
                </wp:positionH>
                <wp:positionV relativeFrom="paragraph">
                  <wp:posOffset>6350</wp:posOffset>
                </wp:positionV>
                <wp:extent cx="2190750" cy="8286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828675"/>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Identified patients with Inflammatory Bowel disease</w:t>
                            </w:r>
                          </w:p>
                          <w:p w:rsidR="00FB5194" w:rsidRPr="001D58FF" w:rsidRDefault="00FB5194" w:rsidP="00D95FA5">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=329</w:t>
                            </w:r>
                          </w:p>
                          <w:p w:rsidR="00FB5194" w:rsidRDefault="00FB5194" w:rsidP="00D95F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A38FCF" id="_x0000_t202" coordsize="21600,21600" o:spt="202" path="m,l,21600r21600,l21600,xe">
                <v:stroke joinstyle="miter"/>
                <v:path gradientshapeok="t" o:connecttype="rect"/>
              </v:shapetype>
              <v:shape id="Text Box 2" o:spid="_x0000_s1026" type="#_x0000_t202" style="position:absolute;left:0;text-align:left;margin-left:2in;margin-top:.5pt;width:172.5pt;height:65.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Identified patients with Inflammatory Bowel disease</w:t>
                      </w:r>
                    </w:p>
                    <w:p w:rsidR="00FB5194" w:rsidRPr="001D58FF" w:rsidRDefault="00FB5194" w:rsidP="00D95FA5">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=329</w:t>
                      </w:r>
                    </w:p>
                    <w:p w:rsidR="00FB5194" w:rsidRDefault="00FB5194" w:rsidP="00D95FA5"/>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i/>
          <w:sz w:val="24"/>
          <w:szCs w:val="24"/>
          <w:u w:val="single"/>
        </w:rPr>
      </w:pPr>
    </w:p>
    <w:p w:rsidR="00D95FA5" w:rsidRPr="001D58FF" w:rsidRDefault="003B25FA" w:rsidP="00790E6F">
      <w:pPr>
        <w:spacing w:line="360" w:lineRule="auto"/>
        <w:jc w:val="both"/>
        <w:rPr>
          <w:rFonts w:ascii="Times New Roman" w:eastAsia="+mn-ea" w:hAnsi="Times New Roman" w:cs="Times New Roman"/>
          <w:sz w:val="24"/>
          <w:szCs w:val="24"/>
          <w:lang w:val="en-US"/>
        </w:rPr>
      </w:pPr>
      <w:r w:rsidRPr="001D58FF">
        <w:rPr>
          <w:rFonts w:ascii="Times New Roman" w:eastAsia="+mn-ea" w:hAnsi="Times New Roman" w:cs="Times New Roman"/>
          <w:noProof/>
          <w:sz w:val="24"/>
          <w:szCs w:val="24"/>
          <w:lang w:eastAsia="en-GB"/>
        </w:rPr>
        <mc:AlternateContent>
          <mc:Choice Requires="wps">
            <w:drawing>
              <wp:anchor distT="45720" distB="45720" distL="114300" distR="114300" simplePos="0" relativeHeight="251660288" behindDoc="0" locked="0" layoutInCell="1" allowOverlap="1" wp14:anchorId="0AC4D93B" wp14:editId="3CCE5233">
                <wp:simplePos x="0" y="0"/>
                <wp:positionH relativeFrom="margin">
                  <wp:align>left</wp:align>
                </wp:positionH>
                <wp:positionV relativeFrom="paragraph">
                  <wp:posOffset>222250</wp:posOffset>
                </wp:positionV>
                <wp:extent cx="1628775" cy="92392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628775" cy="923925"/>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Not fulfilled inclusion criteria</w:t>
                            </w:r>
                          </w:p>
                          <w:p w:rsidR="00FB5194" w:rsidRPr="001D58FF" w:rsidRDefault="00FB5194"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(IBS/Awaiting diagnosis) n=24</w:t>
                            </w:r>
                          </w:p>
                          <w:p w:rsidR="00FB5194" w:rsidRDefault="00FB5194" w:rsidP="00D95F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C4D93B" id="_x0000_s1027" type="#_x0000_t202" style="position:absolute;left:0;text-align:left;margin-left:0;margin-top:17.5pt;width:128.25pt;height:72.75pt;rotation:180;flip:y;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">
                <v:textbox>
                  <w:txbxContent>
                    <w:p w:rsidR="00FB5194" w:rsidRPr="001D58FF" w:rsidRDefault="00FB5194"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Not fulfilled inclusion criteria</w:t>
                      </w:r>
                    </w:p>
                    <w:p w:rsidR="00FB5194" w:rsidRPr="001D58FF" w:rsidRDefault="00FB5194" w:rsidP="00D95FA5">
                      <w:pPr>
                        <w:spacing w:line="240" w:lineRule="auto"/>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(IBS/Awaiting diagnosis) n=24</w:t>
                      </w:r>
                    </w:p>
                    <w:p w:rsidR="00FB5194" w:rsidRDefault="00FB5194" w:rsidP="00D95FA5"/>
                  </w:txbxContent>
                </v:textbox>
                <w10:wrap type="square" anchorx="margin"/>
              </v:shape>
            </w:pict>
          </mc:Fallback>
        </mc:AlternateContent>
      </w:r>
      <w:r w:rsidR="001A2FCF"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750DA4AB" wp14:editId="27733BAB">
                <wp:simplePos x="0" y="0"/>
                <wp:positionH relativeFrom="column">
                  <wp:posOffset>2914015</wp:posOffset>
                </wp:positionH>
                <wp:positionV relativeFrom="paragraph">
                  <wp:posOffset>111125</wp:posOffset>
                </wp:positionV>
                <wp:extent cx="9525" cy="1952625"/>
                <wp:effectExtent l="0" t="0" r="28575" b="28575"/>
                <wp:wrapNone/>
                <wp:docPr id="10" name="Straight Connector 10"/>
                <wp:cNvGraphicFramePr/>
                <a:graphic xmlns:a="http://schemas.openxmlformats.org/drawingml/2006/main">
                  <a:graphicData uri="http://schemas.microsoft.com/office/word/2010/wordprocessingShape">
                    <wps:wsp>
                      <wps:cNvCnPr/>
                      <wps:spPr>
                        <a:xfrm flipH="1">
                          <a:off x="0" y="0"/>
                          <a:ext cx="9525" cy="19526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4EEF635" id="Straight Connector 10"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45pt,8.75pt" to="230.2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" strokecolor="windowText" strokeweight=".5pt">
                <v:stroke joinstyle="miter"/>
              </v:line>
            </w:pict>
          </mc:Fallback>
        </mc:AlternateContent>
      </w:r>
    </w:p>
    <w:p w:rsidR="00D95FA5" w:rsidRPr="001D58FF" w:rsidRDefault="00D95FA5" w:rsidP="00790E6F">
      <w:pPr>
        <w:spacing w:after="0" w:line="360" w:lineRule="auto"/>
        <w:ind w:left="720"/>
        <w:contextualSpacing/>
        <w:jc w:val="both"/>
        <w:rPr>
          <w:rFonts w:ascii="Times New Roman" w:eastAsia="Times New Roman" w:hAnsi="Times New Roman" w:cs="Times New Roman"/>
          <w:sz w:val="24"/>
          <w:szCs w:val="24"/>
          <w:lang w:eastAsia="en-GB"/>
        </w:rPr>
      </w:pP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523436FB" wp14:editId="382E2DD3">
                <wp:simplePos x="0" y="0"/>
                <wp:positionH relativeFrom="column">
                  <wp:posOffset>1628140</wp:posOffset>
                </wp:positionH>
                <wp:positionV relativeFrom="paragraph">
                  <wp:posOffset>9525</wp:posOffset>
                </wp:positionV>
                <wp:extent cx="1285875" cy="9525"/>
                <wp:effectExtent l="0" t="0" r="28575" b="28575"/>
                <wp:wrapNone/>
                <wp:docPr id="14" name="Straight Connector 14"/>
                <wp:cNvGraphicFramePr/>
                <a:graphic xmlns:a="http://schemas.openxmlformats.org/drawingml/2006/main">
                  <a:graphicData uri="http://schemas.microsoft.com/office/word/2010/wordprocessingShape">
                    <wps:wsp>
                      <wps:cNvCnPr/>
                      <wps:spPr>
                        <a:xfrm>
                          <a:off x="0" y="0"/>
                          <a:ext cx="1285875" cy="95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7BFB29" id="Straight Connector 1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2pt,.75pt" to="229.4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" strokecolor="windowText" strokeweight=".5pt">
                <v:stroke joinstyle="miter"/>
              </v:line>
            </w:pict>
          </mc:Fallback>
        </mc:AlternateContent>
      </w:r>
    </w:p>
    <w:p w:rsidR="00D95FA5" w:rsidRPr="001D58FF" w:rsidRDefault="00D95FA5" w:rsidP="00790E6F">
      <w:pPr>
        <w:spacing w:line="360" w:lineRule="auto"/>
        <w:ind w:left="360"/>
        <w:jc w:val="both"/>
        <w:rPr>
          <w:rFonts w:ascii="Times New Roman" w:eastAsia="Calibri" w:hAnsi="Times New Roman" w:cs="Times New Roman"/>
          <w:sz w:val="24"/>
          <w:szCs w:val="24"/>
        </w:rPr>
      </w:pPr>
    </w:p>
    <w:p w:rsidR="00D95FA5" w:rsidRPr="001D58FF" w:rsidRDefault="003B25FA" w:rsidP="00790E6F">
      <w:pPr>
        <w:spacing w:after="0" w:line="360" w:lineRule="auto"/>
        <w:ind w:left="720"/>
        <w:contextualSpacing/>
        <w:jc w:val="both"/>
        <w:rPr>
          <w:rFonts w:ascii="Times New Roman" w:eastAsia="Times New Roman" w:hAnsi="Times New Roman" w:cs="Times New Roman"/>
          <w:sz w:val="24"/>
          <w:szCs w:val="24"/>
          <w:lang w:eastAsia="en-GB"/>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1312" behindDoc="0" locked="0" layoutInCell="1" allowOverlap="1" wp14:anchorId="40562370" wp14:editId="439A4F56">
                <wp:simplePos x="0" y="0"/>
                <wp:positionH relativeFrom="margin">
                  <wp:align>left</wp:align>
                </wp:positionH>
                <wp:positionV relativeFrom="paragraph">
                  <wp:posOffset>8890</wp:posOffset>
                </wp:positionV>
                <wp:extent cx="1609725" cy="7429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742950"/>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Incomplete questionnaires</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=81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562370" id="_x0000_s1028" type="#_x0000_t202" style="position:absolute;left:0;text-align:left;margin-left:0;margin-top:.7pt;width:126.75pt;height:58.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Incomplete questionnaires</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=81</w:t>
                      </w:r>
                    </w:p>
                  </w:txbxContent>
                </v:textbox>
                <w10:wrap type="square" anchorx="margin"/>
              </v:shape>
            </w:pict>
          </mc:Fallback>
        </mc:AlternateContent>
      </w:r>
    </w:p>
    <w:p w:rsidR="00D95FA5" w:rsidRPr="001D58FF" w:rsidRDefault="003B25FA" w:rsidP="00790E6F">
      <w:pPr>
        <w:spacing w:after="0" w:line="360" w:lineRule="auto"/>
        <w:ind w:left="720"/>
        <w:contextualSpacing/>
        <w:jc w:val="both"/>
        <w:rPr>
          <w:rFonts w:ascii="Times New Roman" w:eastAsia="Times New Roman" w:hAnsi="Times New Roman" w:cs="Times New Roman"/>
          <w:sz w:val="24"/>
          <w:szCs w:val="24"/>
          <w:lang w:eastAsia="en-GB"/>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5EA0CE0B" wp14:editId="5A0D6665">
                <wp:simplePos x="0" y="0"/>
                <wp:positionH relativeFrom="column">
                  <wp:posOffset>1609725</wp:posOffset>
                </wp:positionH>
                <wp:positionV relativeFrom="paragraph">
                  <wp:posOffset>102235</wp:posOffset>
                </wp:positionV>
                <wp:extent cx="1295400" cy="0"/>
                <wp:effectExtent l="0" t="0" r="0" b="0"/>
                <wp:wrapNone/>
                <wp:docPr id="15" name="Straight Connector 15"/>
                <wp:cNvGraphicFramePr/>
                <a:graphic xmlns:a="http://schemas.openxmlformats.org/drawingml/2006/main">
                  <a:graphicData uri="http://schemas.microsoft.com/office/word/2010/wordprocessingShape">
                    <wps:wsp>
                      <wps:cNvCnPr/>
                      <wps:spPr>
                        <a:xfrm flipV="1">
                          <a:off x="0" y="0"/>
                          <a:ext cx="129540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E326C63" id="Straight Connector 15"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75pt,8.05pt" to="228.75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" strokecolor="windowText" strokeweight=".5pt">
                <v:stroke joinstyle="miter"/>
              </v:line>
            </w:pict>
          </mc:Fallback>
        </mc:AlternateContent>
      </w: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2336" behindDoc="0" locked="0" layoutInCell="1" allowOverlap="1" wp14:anchorId="581069D6" wp14:editId="08B91B3A">
                <wp:simplePos x="0" y="0"/>
                <wp:positionH relativeFrom="margin">
                  <wp:posOffset>2122805</wp:posOffset>
                </wp:positionH>
                <wp:positionV relativeFrom="paragraph">
                  <wp:posOffset>202565</wp:posOffset>
                </wp:positionV>
                <wp:extent cx="1609725" cy="5810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581025"/>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Proctitis</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069D6" id="_x0000_s1029" type="#_x0000_t202" style="position:absolute;left:0;text-align:left;margin-left:167.15pt;margin-top:15.95pt;width:126.75pt;height:45.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Proctitis</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=10</w:t>
                      </w:r>
                    </w:p>
                  </w:txbxContent>
                </v:textbox>
                <w10:wrap type="square" anchorx="margin"/>
              </v:shape>
            </w:pict>
          </mc:Fallback>
        </mc:AlternateContent>
      </w:r>
    </w:p>
    <w:p w:rsidR="00D95FA5" w:rsidRPr="001D58FF" w:rsidRDefault="00D95FA5" w:rsidP="00790E6F">
      <w:pPr>
        <w:spacing w:after="0" w:line="360" w:lineRule="auto"/>
        <w:ind w:left="720"/>
        <w:contextualSpacing/>
        <w:jc w:val="both"/>
        <w:rPr>
          <w:rFonts w:ascii="Times New Roman" w:eastAsia="Times New Roman" w:hAnsi="Times New Roman" w:cs="Times New Roman"/>
          <w:sz w:val="24"/>
          <w:szCs w:val="24"/>
          <w:lang w:eastAsia="en-GB"/>
        </w:rPr>
      </w:pPr>
    </w:p>
    <w:p w:rsidR="00D95FA5" w:rsidRPr="001D58FF" w:rsidRDefault="003B25FA" w:rsidP="00790E6F">
      <w:pPr>
        <w:spacing w:line="360" w:lineRule="auto"/>
        <w:jc w:val="both"/>
        <w:rPr>
          <w:rFonts w:ascii="Times New Roman" w:eastAsia="Calibri"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34795672" wp14:editId="2DF62C5B">
                <wp:simplePos x="0" y="0"/>
                <wp:positionH relativeFrom="column">
                  <wp:posOffset>2933700</wp:posOffset>
                </wp:positionH>
                <wp:positionV relativeFrom="paragraph">
                  <wp:posOffset>159385</wp:posOffset>
                </wp:positionV>
                <wp:extent cx="0" cy="200025"/>
                <wp:effectExtent l="0" t="0" r="38100" b="28575"/>
                <wp:wrapNone/>
                <wp:docPr id="11" name="Straight Connector 11"/>
                <wp:cNvGraphicFramePr/>
                <a:graphic xmlns:a="http://schemas.openxmlformats.org/drawingml/2006/main">
                  <a:graphicData uri="http://schemas.microsoft.com/office/word/2010/wordprocessingShape">
                    <wps:wsp>
                      <wps:cNvCnPr/>
                      <wps:spPr>
                        <a:xfrm>
                          <a:off x="0" y="0"/>
                          <a:ext cx="0" cy="200025"/>
                        </a:xfrm>
                        <a:prstGeom prst="line">
                          <a:avLst/>
                        </a:prstGeom>
                        <a:noFill/>
                        <a:ln w="635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17206886" id="Straight Connector 11" o:spid="_x0000_s1026" style="position:absolute;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1pt,12.55pt" to="231pt,2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" strokecolor="windowText" strokeweight=".5pt">
                <v:stroke joinstyle="miter"/>
              </v:line>
            </w:pict>
          </mc:Fallback>
        </mc:AlternateContent>
      </w: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5408" behindDoc="0" locked="0" layoutInCell="1" allowOverlap="1" wp14:anchorId="11E2734E" wp14:editId="376E41BE">
                <wp:simplePos x="0" y="0"/>
                <wp:positionH relativeFrom="margin">
                  <wp:posOffset>2141855</wp:posOffset>
                </wp:positionH>
                <wp:positionV relativeFrom="paragraph">
                  <wp:posOffset>13335</wp:posOffset>
                </wp:positionV>
                <wp:extent cx="1609725" cy="10382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038225"/>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Included patients with Inflammatory Bowel Disease</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=224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E2734E" id="_x0000_s1030" type="#_x0000_t202" style="position:absolute;left:0;text-align:left;margin-left:168.65pt;margin-top:1.05pt;width:126.75pt;height:81.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Included patients with Inflammatory Bowel Disease</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=224</w:t>
                      </w:r>
                    </w:p>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4F1E07D5" wp14:editId="4E1F59BC">
                <wp:simplePos x="0" y="0"/>
                <wp:positionH relativeFrom="column">
                  <wp:posOffset>3171825</wp:posOffset>
                </wp:positionH>
                <wp:positionV relativeFrom="paragraph">
                  <wp:posOffset>322580</wp:posOffset>
                </wp:positionV>
                <wp:extent cx="257175" cy="180975"/>
                <wp:effectExtent l="0" t="0" r="28575" b="28575"/>
                <wp:wrapNone/>
                <wp:docPr id="13" name="Straight Connector 13"/>
                <wp:cNvGraphicFramePr/>
                <a:graphic xmlns:a="http://schemas.openxmlformats.org/drawingml/2006/main">
                  <a:graphicData uri="http://schemas.microsoft.com/office/word/2010/wordprocessingShape">
                    <wps:wsp>
                      <wps:cNvCnPr/>
                      <wps:spPr>
                        <a:xfrm>
                          <a:off x="0" y="0"/>
                          <a:ext cx="257175" cy="18097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7208FE7" id="Straight Connector 1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49.75pt,25.4pt" to="270pt,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" strokecolor="windowText" strokeweight=".5pt">
                <v:stroke joinstyle="miter"/>
              </v:line>
            </w:pict>
          </mc:Fallback>
        </mc:AlternateContent>
      </w:r>
      <w:r w:rsidRPr="001D58FF">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23C25598" wp14:editId="715A68F4">
                <wp:simplePos x="0" y="0"/>
                <wp:positionH relativeFrom="page">
                  <wp:posOffset>3865880</wp:posOffset>
                </wp:positionH>
                <wp:positionV relativeFrom="paragraph">
                  <wp:posOffset>322580</wp:posOffset>
                </wp:positionV>
                <wp:extent cx="295275" cy="190500"/>
                <wp:effectExtent l="0" t="0" r="28575" b="19050"/>
                <wp:wrapNone/>
                <wp:docPr id="12" name="Straight Connector 12"/>
                <wp:cNvGraphicFramePr/>
                <a:graphic xmlns:a="http://schemas.openxmlformats.org/drawingml/2006/main">
                  <a:graphicData uri="http://schemas.microsoft.com/office/word/2010/wordprocessingShape">
                    <wps:wsp>
                      <wps:cNvCnPr/>
                      <wps:spPr>
                        <a:xfrm flipH="1">
                          <a:off x="0" y="0"/>
                          <a:ext cx="295275" cy="19050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1C3BFBD" id="Straight Connector 12" o:spid="_x0000_s1026" style="position:absolute;flip:x;z-index:251668480;visibility:visible;mso-wrap-style:square;mso-wrap-distance-left:9pt;mso-wrap-distance-top:0;mso-wrap-distance-right:9pt;mso-wrap-distance-bottom:0;mso-position-horizontal:absolute;mso-position-horizontal-relative:page;mso-position-vertical:absolute;mso-position-vertical-relative:text" from="304.4pt,25.4pt" to="327.65pt,4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" strokecolor="windowText" strokeweight=".5pt">
                <v:stroke joinstyle="miter"/>
                <w10:wrap anchorx="page"/>
              </v:line>
            </w:pict>
          </mc:Fallback>
        </mc:AlternateContent>
      </w:r>
    </w:p>
    <w:p w:rsidR="00D95FA5" w:rsidRPr="001D58FF" w:rsidRDefault="003B25FA" w:rsidP="00790E6F">
      <w:pPr>
        <w:spacing w:line="360" w:lineRule="auto"/>
        <w:jc w:val="both"/>
        <w:rPr>
          <w:rFonts w:ascii="Times New Roman" w:hAnsi="Times New Roman" w:cs="Times New Roman"/>
          <w:sz w:val="24"/>
          <w:szCs w:val="24"/>
        </w:rPr>
      </w:pP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4384" behindDoc="0" locked="0" layoutInCell="1" allowOverlap="1" wp14:anchorId="1BDCD7AA" wp14:editId="024A4CBC">
                <wp:simplePos x="0" y="0"/>
                <wp:positionH relativeFrom="margin">
                  <wp:posOffset>3057525</wp:posOffset>
                </wp:positionH>
                <wp:positionV relativeFrom="paragraph">
                  <wp:posOffset>159385</wp:posOffset>
                </wp:positionV>
                <wp:extent cx="1609725" cy="9525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952500"/>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Crohn</w:t>
                            </w: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s disease</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CD7AA" id="_x0000_s1031" type="#_x0000_t202" style="position:absolute;left:0;text-align:left;margin-left:240.75pt;margin-top:12.55pt;width:126.75pt;height: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Crohn</w:t>
                      </w: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s disease</w:t>
                      </w:r>
                    </w:p>
                    <w:p w:rsidR="00FB5194" w:rsidRPr="001D58FF" w:rsidRDefault="00FB5194" w:rsidP="00D95FA5">
                      <w:pPr>
                        <w:jc w:val="center"/>
                        <w:rPr>
                          <w:rFonts w:ascii="Times New Roman" w:hAnsi="Times New Roman" w:cs="Times New Roman"/>
                          <w:sz w:val="24"/>
                          <w:szCs w:val="24"/>
                        </w:rPr>
                      </w:pPr>
                      <w:r>
                        <w:rPr>
                          <w:rFonts w:ascii="Times New Roman" w:eastAsia="+mn-ea" w:hAnsi="Times New Roman" w:cs="Times New Roman"/>
                          <w:sz w:val="24"/>
                          <w:szCs w:val="24"/>
                          <w:lang w:val="en-US"/>
                        </w:rPr>
                        <w:t>n</w:t>
                      </w:r>
                      <w:r w:rsidRPr="001D58FF">
                        <w:rPr>
                          <w:rFonts w:ascii="Times New Roman" w:eastAsia="+mn-ea" w:hAnsi="Times New Roman" w:cs="Times New Roman"/>
                          <w:sz w:val="24"/>
                          <w:szCs w:val="24"/>
                          <w:lang w:val="en-US"/>
                        </w:rPr>
                        <w:t>=123</w:t>
                      </w:r>
                    </w:p>
                  </w:txbxContent>
                </v:textbox>
                <w10:wrap type="square" anchorx="margin"/>
              </v:shape>
            </w:pict>
          </mc:Fallback>
        </mc:AlternateContent>
      </w:r>
      <w:r w:rsidRPr="001D58FF">
        <w:rPr>
          <w:rFonts w:ascii="Times New Roman" w:eastAsia="Calibri"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14:anchorId="776E6FB5" wp14:editId="62C0616C">
                <wp:simplePos x="0" y="0"/>
                <wp:positionH relativeFrom="margin">
                  <wp:posOffset>1447800</wp:posOffset>
                </wp:positionH>
                <wp:positionV relativeFrom="paragraph">
                  <wp:posOffset>159385</wp:posOffset>
                </wp:positionV>
                <wp:extent cx="1609725" cy="95250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952500"/>
                        </a:xfrm>
                        <a:prstGeom prst="rect">
                          <a:avLst/>
                        </a:prstGeom>
                        <a:solidFill>
                          <a:srgbClr val="FFFFFF"/>
                        </a:solidFill>
                        <a:ln w="9525">
                          <a:solidFill>
                            <a:srgbClr val="000000"/>
                          </a:solidFill>
                          <a:miter lim="800000"/>
                          <a:headEnd/>
                          <a:tailEnd/>
                        </a:ln>
                      </wps:spPr>
                      <wps:txb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Ulcerative colitis n=</w:t>
                            </w:r>
                            <w:r>
                              <w:rPr>
                                <w:rFonts w:ascii="Times New Roman" w:eastAsia="+mn-ea" w:hAnsi="Times New Roman" w:cs="Times New Roman"/>
                                <w:sz w:val="24"/>
                                <w:szCs w:val="24"/>
                                <w:lang w:val="en-US"/>
                              </w:rPr>
                              <w:t>101</w:t>
                            </w:r>
                          </w:p>
                          <w:p w:rsidR="00FB5194" w:rsidRPr="001D58FF" w:rsidRDefault="00FB5194" w:rsidP="00262CC3">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Including proctitis</w:t>
                            </w:r>
                            <w:r>
                              <w:rPr>
                                <w:rFonts w:ascii="Times New Roman" w:eastAsia="+mn-ea" w:hAnsi="Times New Roman" w:cs="Times New Roman"/>
                                <w:sz w:val="24"/>
                                <w:szCs w:val="24"/>
                                <w:lang w:val="en-US"/>
                              </w:rPr>
                              <w:t>)</w:t>
                            </w:r>
                          </w:p>
                          <w:p w:rsidR="00FB5194" w:rsidRPr="001D58FF" w:rsidRDefault="00FB5194" w:rsidP="00D95FA5">
                            <w:pPr>
                              <w:jc w:val="cente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E6FB5" id="_x0000_s1032" type="#_x0000_t202" style="position:absolute;left:0;text-align:left;margin-left:114pt;margin-top:12.55pt;width:126.75pt;height: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">
                <v:textbox>
                  <w:txbxContent>
                    <w:p w:rsidR="00FB5194" w:rsidRPr="001D58FF" w:rsidRDefault="00FB5194" w:rsidP="00D95FA5">
                      <w:pPr>
                        <w:jc w:val="center"/>
                        <w:rPr>
                          <w:rFonts w:ascii="Times New Roman" w:eastAsia="+mn-ea" w:hAnsi="Times New Roman" w:cs="Times New Roman"/>
                          <w:sz w:val="24"/>
                          <w:szCs w:val="24"/>
                          <w:lang w:val="en-US"/>
                        </w:rPr>
                      </w:pPr>
                      <w:r w:rsidRPr="001D58FF">
                        <w:rPr>
                          <w:rFonts w:ascii="Times New Roman" w:eastAsia="+mn-ea" w:hAnsi="Times New Roman" w:cs="Times New Roman"/>
                          <w:sz w:val="24"/>
                          <w:szCs w:val="24"/>
                          <w:lang w:val="en-US"/>
                        </w:rPr>
                        <w:t>Ulcerative colitis n=</w:t>
                      </w:r>
                      <w:r>
                        <w:rPr>
                          <w:rFonts w:ascii="Times New Roman" w:eastAsia="+mn-ea" w:hAnsi="Times New Roman" w:cs="Times New Roman"/>
                          <w:sz w:val="24"/>
                          <w:szCs w:val="24"/>
                          <w:lang w:val="en-US"/>
                        </w:rPr>
                        <w:t>101</w:t>
                      </w:r>
                    </w:p>
                    <w:p w:rsidR="00FB5194" w:rsidRPr="001D58FF" w:rsidRDefault="00FB5194" w:rsidP="00262CC3">
                      <w:pPr>
                        <w:jc w:val="center"/>
                        <w:rPr>
                          <w:rFonts w:ascii="Times New Roman" w:eastAsia="+mn-ea" w:hAnsi="Times New Roman" w:cs="Times New Roman"/>
                          <w:sz w:val="24"/>
                          <w:szCs w:val="24"/>
                          <w:lang w:val="en-US"/>
                        </w:rPr>
                      </w:pPr>
                      <w:r>
                        <w:rPr>
                          <w:rFonts w:ascii="Times New Roman" w:eastAsia="+mn-ea" w:hAnsi="Times New Roman" w:cs="Times New Roman"/>
                          <w:sz w:val="24"/>
                          <w:szCs w:val="24"/>
                          <w:lang w:val="en-US"/>
                        </w:rPr>
                        <w:t>(</w:t>
                      </w:r>
                      <w:r w:rsidRPr="001D58FF">
                        <w:rPr>
                          <w:rFonts w:ascii="Times New Roman" w:eastAsia="+mn-ea" w:hAnsi="Times New Roman" w:cs="Times New Roman"/>
                          <w:sz w:val="24"/>
                          <w:szCs w:val="24"/>
                          <w:lang w:val="en-US"/>
                        </w:rPr>
                        <w:t>Including proctitis</w:t>
                      </w:r>
                      <w:r>
                        <w:rPr>
                          <w:rFonts w:ascii="Times New Roman" w:eastAsia="+mn-ea" w:hAnsi="Times New Roman" w:cs="Times New Roman"/>
                          <w:sz w:val="24"/>
                          <w:szCs w:val="24"/>
                          <w:lang w:val="en-US"/>
                        </w:rPr>
                        <w:t>)</w:t>
                      </w:r>
                    </w:p>
                    <w:p w:rsidR="00FB5194" w:rsidRPr="001D58FF" w:rsidRDefault="00FB5194" w:rsidP="00D95FA5">
                      <w:pPr>
                        <w:jc w:val="center"/>
                        <w:rPr>
                          <w:rFonts w:ascii="Times New Roman" w:hAnsi="Times New Roman" w:cs="Times New Roman"/>
                          <w:sz w:val="24"/>
                          <w:szCs w:val="24"/>
                        </w:rPr>
                      </w:pPr>
                    </w:p>
                  </w:txbxContent>
                </v:textbox>
                <w10:wrap type="square" anchorx="margin"/>
              </v:shape>
            </w:pict>
          </mc:Fallback>
        </mc:AlternateContent>
      </w: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D95FA5" w:rsidP="00790E6F">
      <w:pPr>
        <w:spacing w:line="360" w:lineRule="auto"/>
        <w:jc w:val="both"/>
        <w:rPr>
          <w:rFonts w:ascii="Times New Roman" w:hAnsi="Times New Roman" w:cs="Times New Roman"/>
          <w:sz w:val="24"/>
          <w:szCs w:val="24"/>
        </w:rPr>
      </w:pPr>
    </w:p>
    <w:p w:rsidR="00D95FA5" w:rsidRPr="001D58FF" w:rsidRDefault="00D95FA5" w:rsidP="00790E6F">
      <w:pPr>
        <w:spacing w:line="360" w:lineRule="auto"/>
        <w:jc w:val="both"/>
        <w:rPr>
          <w:rFonts w:ascii="Times New Roman" w:hAnsi="Times New Roman" w:cs="Times New Roman"/>
          <w:sz w:val="24"/>
          <w:szCs w:val="24"/>
        </w:rPr>
      </w:pPr>
    </w:p>
    <w:p w:rsidR="00D95FA5" w:rsidRPr="00262CC3" w:rsidRDefault="00D95FA5" w:rsidP="00790E6F">
      <w:pPr>
        <w:pStyle w:val="Heading1"/>
        <w:spacing w:line="360" w:lineRule="auto"/>
        <w:jc w:val="both"/>
        <w:rPr>
          <w:rFonts w:ascii="Times New Roman" w:hAnsi="Times New Roman" w:cs="Times New Roman"/>
          <w:sz w:val="26"/>
          <w:szCs w:val="26"/>
        </w:rPr>
      </w:pPr>
      <w:r w:rsidRPr="00262CC3">
        <w:rPr>
          <w:rFonts w:ascii="Times New Roman" w:hAnsi="Times New Roman" w:cs="Times New Roman"/>
          <w:sz w:val="26"/>
          <w:szCs w:val="26"/>
        </w:rPr>
        <w:t xml:space="preserve">Assessment of Psychological Health </w:t>
      </w:r>
    </w:p>
    <w:p w:rsidR="00D95FA5" w:rsidRDefault="00D95FA5" w:rsidP="00790E6F">
      <w:pPr>
        <w:pStyle w:val="Heading1"/>
        <w:spacing w:line="360" w:lineRule="auto"/>
        <w:jc w:val="both"/>
        <w:rPr>
          <w:rFonts w:ascii="Times New Roman" w:hAnsi="Times New Roman" w:cs="Times New Roman"/>
          <w:sz w:val="26"/>
          <w:szCs w:val="26"/>
        </w:rPr>
      </w:pPr>
      <w:r w:rsidRPr="00262CC3">
        <w:rPr>
          <w:rFonts w:ascii="Times New Roman" w:hAnsi="Times New Roman" w:cs="Times New Roman"/>
          <w:sz w:val="26"/>
          <w:szCs w:val="26"/>
        </w:rPr>
        <w:t>Quality of Life</w:t>
      </w:r>
    </w:p>
    <w:p w:rsidR="00262CC3" w:rsidRPr="00262CC3" w:rsidRDefault="00262CC3" w:rsidP="00790E6F">
      <w:pPr>
        <w:spacing w:line="360" w:lineRule="auto"/>
        <w:jc w:val="both"/>
      </w:pP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Quality of Life was measured as a combination of negative psychological functions such as: Anxiety; Depression; and self-esteem. Rosenberg’s self-esteem scale </w:t>
      </w:r>
      <w:r w:rsidRPr="001D58FF">
        <w:rPr>
          <w:rFonts w:ascii="Times New Roman" w:hAnsi="Times New Roman" w:cs="Times New Roman"/>
          <w:sz w:val="24"/>
          <w:szCs w:val="24"/>
        </w:rPr>
        <w:lastRenderedPageBreak/>
        <w:t>(1965)</w:t>
      </w:r>
      <w:r>
        <w:rPr>
          <w:rFonts w:ascii="Times New Roman" w:hAnsi="Times New Roman" w:cs="Times New Roman"/>
          <w:sz w:val="24"/>
          <w:szCs w:val="24"/>
        </w:rPr>
        <w:t xml:space="preserve"> and T</w:t>
      </w:r>
      <w:r w:rsidRPr="001D58FF">
        <w:rPr>
          <w:rFonts w:ascii="Times New Roman" w:hAnsi="Times New Roman" w:cs="Times New Roman"/>
          <w:sz w:val="24"/>
          <w:szCs w:val="24"/>
        </w:rPr>
        <w:t xml:space="preserve">he Depression, Anxiety and Stress Scale (DASS-21) were combined to collect holistic data regarding the participants’ psychological well-being.  </w:t>
      </w:r>
    </w:p>
    <w:p w:rsidR="00D95FA5" w:rsidRPr="001D58FF"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Depression and anxiety was measured using the Depression, Anxiety and Stress Scale (DASS). This is a 21</w:t>
      </w:r>
      <w:r w:rsidR="00C85FA3">
        <w:rPr>
          <w:rFonts w:ascii="Times New Roman" w:hAnsi="Times New Roman" w:cs="Times New Roman"/>
          <w:sz w:val="24"/>
          <w:szCs w:val="24"/>
        </w:rPr>
        <w:t>-</w:t>
      </w:r>
      <w:r w:rsidRPr="001D58FF">
        <w:rPr>
          <w:rFonts w:ascii="Times New Roman" w:hAnsi="Times New Roman" w:cs="Times New Roman"/>
          <w:sz w:val="24"/>
          <w:szCs w:val="24"/>
        </w:rPr>
        <w:t>item questionnaire which can be divided into 3 subscales: depression; anxiety; and stress. For this study only the depression and anxiety subscales were used. The 7-item depression scale measures hopelessness, devaluation of life, dysphoria and lack of interest and involvement with life. The 7-item anxiety scale assesses situational anxiety, subjective experience anxiety and autonomic arousal. Both scales are scored on a 4-point Likert scale ranging from 0 (Did not apply to me at all) to 4 (Applied to me very much or most of the time). The scoring for depression is as followed: 0-9 normal; 10-13 Mild; 14-20 Moderate; 21-27 Severe; and 28+ Extremely Severe. The severity levels for anxiety are: 0-7 Normal; 8-9 Mild; 10-14 Moderate; 15-19 Severe; and 20+ extremely severe. The internal consistency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is high for both subscales (Depression=0.72; and Anxiety=0.77) therefore, it can be assumed that both subscales are valid measures for anxiety and depression (Tran &amp; Fisher, 2013). It is important to note that the DASS-21 can only be used to assess depression and anxiety symptoms and cannot establish a firm diagnosis. A diagnosis can only be determined by a clinical professional using the DSM-IV (APA, 2013).</w:t>
      </w:r>
    </w:p>
    <w:p w:rsidR="00D95FA5"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 xml:space="preserve">Self-esteem was measured using Rosenberg’s Self-Esteem Scale. This is a 10-item scale that measures self-worth </w:t>
      </w:r>
      <w:r w:rsidR="00B056D6" w:rsidRPr="001D58FF">
        <w:rPr>
          <w:rFonts w:ascii="Times New Roman" w:hAnsi="Times New Roman" w:cs="Times New Roman"/>
          <w:sz w:val="24"/>
          <w:szCs w:val="24"/>
        </w:rPr>
        <w:t>regarding</w:t>
      </w:r>
      <w:r w:rsidRPr="001D58FF">
        <w:rPr>
          <w:rFonts w:ascii="Times New Roman" w:hAnsi="Times New Roman" w:cs="Times New Roman"/>
          <w:sz w:val="24"/>
          <w:szCs w:val="24"/>
        </w:rPr>
        <w:t xml:space="preserve"> positive and negative feelings about one’s self. All items are scored using a 4-point Likert scale ranging from strongly agree (4) to Strongly Disagree (1). Questions 2,5,6,8 and 9 are reverse scored, therefore, scoring from strongly disagree (4) to strongly agree (1). The total score was determined by adding all ten items. The scale score ranges from 0-30 with higher scores indicating higher self-esteem. The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for the Rosenberg self-esteem scale is 0.84, suggesting that the scale is an appropriate measure for self-esteem (Tinakon et al, 2012).  Simren et al (2002) stated that in IBD patients, anxiety, depression and self-esteem levels are contributing factors to poor QoL. Therefore, it can be assumed that these scales are appropriate predictors for QoL. Therefore, it can be assumed that if a patient reports positive psychological health, then the individual’s quality of life will be greater than an individual with increased negative psychological functioning.</w:t>
      </w:r>
    </w:p>
    <w:p w:rsidR="00C85FA3" w:rsidRDefault="00C85FA3" w:rsidP="00790E6F">
      <w:pPr>
        <w:spacing w:line="360" w:lineRule="auto"/>
        <w:jc w:val="both"/>
        <w:rPr>
          <w:rFonts w:ascii="Times New Roman" w:hAnsi="Times New Roman" w:cs="Times New Roman"/>
          <w:sz w:val="24"/>
          <w:szCs w:val="24"/>
        </w:rPr>
      </w:pPr>
    </w:p>
    <w:p w:rsidR="00C85FA3" w:rsidRPr="001D58FF" w:rsidRDefault="00C85FA3" w:rsidP="00790E6F">
      <w:pPr>
        <w:spacing w:line="360" w:lineRule="auto"/>
        <w:jc w:val="both"/>
        <w:rPr>
          <w:rFonts w:ascii="Times New Roman" w:hAnsi="Times New Roman" w:cs="Times New Roman"/>
          <w:sz w:val="24"/>
          <w:szCs w:val="24"/>
        </w:rPr>
      </w:pPr>
    </w:p>
    <w:p w:rsidR="00C85FA3" w:rsidRPr="00C85FA3" w:rsidRDefault="00D95FA5" w:rsidP="003B25FA">
      <w:pPr>
        <w:pStyle w:val="Heading2"/>
        <w:spacing w:line="360" w:lineRule="auto"/>
        <w:rPr>
          <w:rFonts w:ascii="Times New Roman" w:hAnsi="Times New Roman" w:cs="Times New Roman"/>
        </w:rPr>
      </w:pPr>
      <w:r w:rsidRPr="00C85FA3">
        <w:rPr>
          <w:rFonts w:ascii="Times New Roman" w:hAnsi="Times New Roman" w:cs="Times New Roman"/>
        </w:rPr>
        <w:t xml:space="preserve">Sleep Quality and Perceived Social Support </w:t>
      </w:r>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Sleep Quality was measured using the Pittsburgh Sleep Quality Index (PSQI). This is a 19-item self-reported questionnaire. The questions are divided into 7 components, each scored from 0 (no difficulty) to 3 (severe difficulty). All component scores are then summed to produce an overall score of sleep quality (0-21), with higher scores indicating worse sleep quality. </w:t>
      </w:r>
      <w:r w:rsidR="00B056D6" w:rsidRPr="001D58FF">
        <w:rPr>
          <w:rFonts w:ascii="Times New Roman" w:hAnsi="Times New Roman" w:cs="Times New Roman"/>
          <w:sz w:val="24"/>
          <w:szCs w:val="24"/>
        </w:rPr>
        <w:t>Most</w:t>
      </w:r>
      <w:r w:rsidRPr="001D58FF">
        <w:rPr>
          <w:rFonts w:ascii="Times New Roman" w:hAnsi="Times New Roman" w:cs="Times New Roman"/>
          <w:sz w:val="24"/>
          <w:szCs w:val="24"/>
        </w:rPr>
        <w:t xml:space="preserve"> components were scored using quantitative data in exclusion to component 4. Questions 1-4 were answered using qualitative data, these answers were then converted into quantifiable data to form component 4 (total hours sleep) / (total hours in bed) x 100). 85%+ were scored as 0, 75%-84% were scored as 1, 65%-74% were scored as 2 and under 65% were scored as 3. The PSQI has a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of 0.83, suggesting that the scale is high in validity and reliability. </w:t>
      </w:r>
    </w:p>
    <w:p w:rsidR="00C85FA3" w:rsidRPr="001D58FF"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 xml:space="preserve">Perceived social support was measured using the Multidimensional Scale of Perceived Social Support (MSPSS, 1988). This is a questionnaire measuring an individual’s perceptions of support from 3 foundations: friends; family; and significant other. The questionnaire contains 12 items, with 4 in each subscale. The total scale was scored by adding the total score for each subscale and dividing the total score by 12. The MSPSS has a </w:t>
      </w:r>
      <w:r w:rsidR="00B056D6" w:rsidRPr="001D58FF">
        <w:rPr>
          <w:rFonts w:ascii="Times New Roman" w:hAnsi="Times New Roman" w:cs="Times New Roman"/>
          <w:sz w:val="24"/>
          <w:szCs w:val="24"/>
        </w:rPr>
        <w:t>Cronbach’s</w:t>
      </w:r>
      <w:r w:rsidRPr="001D58FF">
        <w:rPr>
          <w:rFonts w:ascii="Times New Roman" w:hAnsi="Times New Roman" w:cs="Times New Roman"/>
          <w:sz w:val="24"/>
          <w:szCs w:val="24"/>
        </w:rPr>
        <w:t xml:space="preserve"> alpha of 0.87, suggesting that the scale is an appropriate measure of perceived social support as it is high in reliability and validity (Wongpakaran et al., 2011).</w:t>
      </w:r>
      <w:r w:rsidR="00C85FA3">
        <w:rPr>
          <w:rFonts w:ascii="Times New Roman" w:hAnsi="Times New Roman" w:cs="Times New Roman"/>
          <w:sz w:val="24"/>
          <w:szCs w:val="24"/>
        </w:rPr>
        <w:br/>
      </w:r>
    </w:p>
    <w:p w:rsidR="00D95FA5" w:rsidRPr="00C85FA3" w:rsidRDefault="00D95FA5" w:rsidP="003B25FA">
      <w:pPr>
        <w:pStyle w:val="Heading2"/>
        <w:spacing w:line="360" w:lineRule="auto"/>
        <w:rPr>
          <w:rFonts w:ascii="Times New Roman" w:hAnsi="Times New Roman" w:cs="Times New Roman"/>
        </w:rPr>
      </w:pPr>
      <w:r w:rsidRPr="00C85FA3">
        <w:rPr>
          <w:rFonts w:ascii="Times New Roman" w:hAnsi="Times New Roman" w:cs="Times New Roman"/>
        </w:rPr>
        <w:t>Statistical methods</w:t>
      </w:r>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A linear multiple regression will be used to determine whether there is a relationship between Inflammatory Bowel Disease type and activity, and psychological health and QoL. Age and gender were introduced as Independent variables to determine whether psychological functioning was influenced by disease type and activity or age and gender. </w:t>
      </w:r>
    </w:p>
    <w:p w:rsidR="00D95FA5" w:rsidRPr="001D58FF" w:rsidRDefault="00D95FA5" w:rsidP="00790E6F">
      <w:pPr>
        <w:spacing w:line="360" w:lineRule="auto"/>
        <w:jc w:val="both"/>
        <w:rPr>
          <w:rFonts w:ascii="Times New Roman" w:hAnsi="Times New Roman" w:cs="Times New Roman"/>
          <w:sz w:val="24"/>
          <w:szCs w:val="24"/>
        </w:rPr>
      </w:pPr>
      <w:r w:rsidRPr="001D58FF">
        <w:rPr>
          <w:rFonts w:ascii="Times New Roman" w:hAnsi="Times New Roman" w:cs="Times New Roman"/>
          <w:sz w:val="24"/>
          <w:szCs w:val="24"/>
        </w:rPr>
        <w:t>Once it has been established whether disease type and activity effects QoL and perceived social support, a series of secondary analyses will then be conducted in the form of four one-way between subject</w:t>
      </w:r>
      <w:r w:rsidR="00B056D6">
        <w:rPr>
          <w:rFonts w:ascii="Times New Roman" w:hAnsi="Times New Roman" w:cs="Times New Roman"/>
          <w:sz w:val="24"/>
          <w:szCs w:val="24"/>
        </w:rPr>
        <w:t>s</w:t>
      </w:r>
      <w:r w:rsidRPr="001D58FF">
        <w:rPr>
          <w:rFonts w:ascii="Times New Roman" w:hAnsi="Times New Roman" w:cs="Times New Roman"/>
          <w:sz w:val="24"/>
          <w:szCs w:val="24"/>
        </w:rPr>
        <w:t xml:space="preserve"> ANOVA’s. These ANOVA’s will split the </w:t>
      </w:r>
      <w:r w:rsidRPr="001D58FF">
        <w:rPr>
          <w:rFonts w:ascii="Times New Roman" w:hAnsi="Times New Roman" w:cs="Times New Roman"/>
          <w:sz w:val="24"/>
          <w:szCs w:val="24"/>
        </w:rPr>
        <w:lastRenderedPageBreak/>
        <w:t>Dependent variables further to measure the effects of sleep quality, depression, anxiety and self-esteem</w:t>
      </w:r>
      <w:r w:rsidR="00B056D6">
        <w:rPr>
          <w:rFonts w:ascii="Times New Roman" w:hAnsi="Times New Roman" w:cs="Times New Roman"/>
          <w:sz w:val="24"/>
          <w:szCs w:val="24"/>
        </w:rPr>
        <w:t xml:space="preserve"> as single measures</w:t>
      </w:r>
      <w:r w:rsidRPr="001D58FF">
        <w:rPr>
          <w:rFonts w:ascii="Times New Roman" w:hAnsi="Times New Roman" w:cs="Times New Roman"/>
          <w:sz w:val="24"/>
          <w:szCs w:val="24"/>
        </w:rPr>
        <w:t xml:space="preserve">. </w:t>
      </w:r>
    </w:p>
    <w:p w:rsidR="00D95FA5" w:rsidRPr="00C85FA3" w:rsidRDefault="00D95FA5" w:rsidP="00790E6F">
      <w:pPr>
        <w:pStyle w:val="Heading2"/>
        <w:spacing w:line="360" w:lineRule="auto"/>
        <w:jc w:val="both"/>
        <w:rPr>
          <w:rFonts w:ascii="Times New Roman" w:hAnsi="Times New Roman" w:cs="Times New Roman"/>
        </w:rPr>
      </w:pPr>
    </w:p>
    <w:p w:rsidR="00D95FA5" w:rsidRPr="00C85FA3" w:rsidRDefault="00D95FA5" w:rsidP="00790E6F">
      <w:pPr>
        <w:pStyle w:val="Heading2"/>
        <w:spacing w:line="360" w:lineRule="auto"/>
        <w:jc w:val="both"/>
        <w:rPr>
          <w:rFonts w:ascii="Times New Roman" w:hAnsi="Times New Roman" w:cs="Times New Roman"/>
        </w:rPr>
      </w:pPr>
      <w:r w:rsidRPr="00C85FA3">
        <w:rPr>
          <w:rFonts w:ascii="Times New Roman" w:hAnsi="Times New Roman" w:cs="Times New Roman"/>
        </w:rPr>
        <w:t>Materials</w:t>
      </w:r>
      <w:r w:rsidR="00C85FA3">
        <w:rPr>
          <w:rFonts w:ascii="Times New Roman" w:hAnsi="Times New Roman" w:cs="Times New Roman"/>
        </w:rPr>
        <w:br/>
      </w:r>
    </w:p>
    <w:p w:rsidR="00D95FA5" w:rsidRPr="00C85FA3" w:rsidRDefault="00D95FA5" w:rsidP="00790E6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Information sheets were distributed, containing brief information regarding the procedure, purpose of the study, researcher contact details and the benefits and risks of participating in the study (See appendix </w:t>
      </w:r>
      <w:r w:rsidR="00333ED9">
        <w:rPr>
          <w:rFonts w:ascii="Times New Roman" w:hAnsi="Times New Roman" w:cs="Times New Roman"/>
          <w:sz w:val="24"/>
          <w:szCs w:val="24"/>
        </w:rPr>
        <w:t>A</w:t>
      </w:r>
      <w:r>
        <w:rPr>
          <w:rFonts w:ascii="Times New Roman" w:hAnsi="Times New Roman" w:cs="Times New Roman"/>
          <w:sz w:val="24"/>
          <w:szCs w:val="24"/>
        </w:rPr>
        <w:t xml:space="preserve">). An information sheet was then used, containing information regarding participant rights and the importance of voluntary participation (See appendix </w:t>
      </w:r>
      <w:r w:rsidR="00333ED9">
        <w:rPr>
          <w:rFonts w:ascii="Times New Roman" w:hAnsi="Times New Roman" w:cs="Times New Roman"/>
          <w:sz w:val="24"/>
          <w:szCs w:val="24"/>
        </w:rPr>
        <w:t>B</w:t>
      </w:r>
      <w:r>
        <w:rPr>
          <w:rFonts w:ascii="Times New Roman" w:hAnsi="Times New Roman" w:cs="Times New Roman"/>
          <w:sz w:val="24"/>
          <w:szCs w:val="24"/>
        </w:rPr>
        <w:t xml:space="preserve">). Additional materials include a survey situated on the Kwik Survey site. This questionnaire consisted of The Harvey-Bradshaw Index, the Pittsburgh sleep quality index, the depression, anxiety and stress scale (excluding the stress subscale), Rosenberg’s Self-Esteem scale and the multidimensional Scale of Perceived social support (see appendix </w:t>
      </w:r>
      <w:r w:rsidR="00333ED9">
        <w:rPr>
          <w:rFonts w:ascii="Times New Roman" w:hAnsi="Times New Roman" w:cs="Times New Roman"/>
          <w:sz w:val="24"/>
          <w:szCs w:val="24"/>
        </w:rPr>
        <w:t>C</w:t>
      </w:r>
      <w:r>
        <w:rPr>
          <w:rFonts w:ascii="Times New Roman" w:hAnsi="Times New Roman" w:cs="Times New Roman"/>
          <w:sz w:val="24"/>
          <w:szCs w:val="24"/>
        </w:rPr>
        <w:t xml:space="preserve">). On completion of the study, a debriefing sheet was used, thanking the participants for their participation and informing them of the researchers’ details (see appendix </w:t>
      </w:r>
      <w:r w:rsidR="00333ED9">
        <w:rPr>
          <w:rFonts w:ascii="Times New Roman" w:hAnsi="Times New Roman" w:cs="Times New Roman"/>
          <w:sz w:val="24"/>
          <w:szCs w:val="24"/>
        </w:rPr>
        <w:t>D</w:t>
      </w:r>
      <w:r>
        <w:rPr>
          <w:rFonts w:ascii="Times New Roman" w:hAnsi="Times New Roman" w:cs="Times New Roman"/>
          <w:sz w:val="24"/>
          <w:szCs w:val="24"/>
        </w:rPr>
        <w:t xml:space="preserve">). Data was input into an Excel spreadsheet (see appendix 4), the data was the exported to SPSS-24 for analysis (see appendix </w:t>
      </w:r>
      <w:r w:rsidR="00333ED9">
        <w:rPr>
          <w:rFonts w:ascii="Times New Roman" w:hAnsi="Times New Roman" w:cs="Times New Roman"/>
          <w:sz w:val="24"/>
          <w:szCs w:val="24"/>
        </w:rPr>
        <w:t>E</w:t>
      </w:r>
      <w:r>
        <w:rPr>
          <w:rFonts w:ascii="Times New Roman" w:hAnsi="Times New Roman" w:cs="Times New Roman"/>
          <w:sz w:val="24"/>
          <w:szCs w:val="24"/>
        </w:rPr>
        <w:t>)</w:t>
      </w:r>
      <w:r w:rsidR="00C85FA3">
        <w:rPr>
          <w:rFonts w:ascii="Times New Roman" w:hAnsi="Times New Roman" w:cs="Times New Roman"/>
          <w:sz w:val="24"/>
          <w:szCs w:val="24"/>
        </w:rPr>
        <w:br/>
      </w:r>
    </w:p>
    <w:p w:rsidR="00D95FA5" w:rsidRPr="00C85FA3" w:rsidRDefault="00D95FA5" w:rsidP="00790E6F">
      <w:pPr>
        <w:pStyle w:val="Heading2"/>
        <w:spacing w:line="360" w:lineRule="auto"/>
        <w:jc w:val="both"/>
        <w:rPr>
          <w:rFonts w:ascii="Times New Roman" w:hAnsi="Times New Roman" w:cs="Times New Roman"/>
        </w:rPr>
      </w:pPr>
      <w:r w:rsidRPr="00C85FA3">
        <w:rPr>
          <w:rFonts w:ascii="Times New Roman" w:hAnsi="Times New Roman" w:cs="Times New Roman"/>
        </w:rPr>
        <w:t>Procedure</w:t>
      </w:r>
      <w:r w:rsidR="00C85FA3">
        <w:rPr>
          <w:rFonts w:ascii="Times New Roman" w:hAnsi="Times New Roman" w:cs="Times New Roman"/>
        </w:rPr>
        <w:br/>
      </w:r>
    </w:p>
    <w:p w:rsidR="00D95FA5" w:rsidRPr="001D58FF" w:rsidRDefault="00D95FA5" w:rsidP="00790E6F">
      <w:pPr>
        <w:spacing w:line="360" w:lineRule="auto"/>
        <w:ind w:firstLine="720"/>
        <w:jc w:val="both"/>
        <w:rPr>
          <w:rFonts w:ascii="Times New Roman" w:hAnsi="Times New Roman" w:cs="Times New Roman"/>
          <w:sz w:val="24"/>
          <w:szCs w:val="24"/>
        </w:rPr>
      </w:pPr>
      <w:r w:rsidRPr="001D58FF">
        <w:rPr>
          <w:rFonts w:ascii="Times New Roman" w:hAnsi="Times New Roman" w:cs="Times New Roman"/>
          <w:sz w:val="24"/>
          <w:szCs w:val="24"/>
        </w:rPr>
        <w:t xml:space="preserve">After selecting the link on the Facebook forum, participants will be directed to KwikSurvey where the survey will be situated. This health forum is also used by individuals who are waiting for diagnosis, family and friends of patients and by individuals diagnosed with irritable bowel syndrome, proctitis and Diverticulitis. </w:t>
      </w:r>
      <w:r w:rsidR="00B056D6" w:rsidRPr="001D58FF">
        <w:rPr>
          <w:rFonts w:ascii="Times New Roman" w:hAnsi="Times New Roman" w:cs="Times New Roman"/>
          <w:sz w:val="24"/>
          <w:szCs w:val="24"/>
        </w:rPr>
        <w:t>To</w:t>
      </w:r>
      <w:r w:rsidRPr="001D58FF">
        <w:rPr>
          <w:rFonts w:ascii="Times New Roman" w:hAnsi="Times New Roman" w:cs="Times New Roman"/>
          <w:sz w:val="24"/>
          <w:szCs w:val="24"/>
        </w:rPr>
        <w:t xml:space="preserve"> ensure that the appropriate people are selected, the questionnaire will begin by asking whether: the individual the individual suffers </w:t>
      </w:r>
      <w:r w:rsidR="00FC7F87">
        <w:rPr>
          <w:rFonts w:ascii="Times New Roman" w:hAnsi="Times New Roman" w:cs="Times New Roman"/>
          <w:sz w:val="24"/>
          <w:szCs w:val="24"/>
        </w:rPr>
        <w:t xml:space="preserve">with CD </w:t>
      </w:r>
      <w:r w:rsidRPr="001D58FF">
        <w:rPr>
          <w:rFonts w:ascii="Times New Roman" w:hAnsi="Times New Roman" w:cs="Times New Roman"/>
          <w:sz w:val="24"/>
          <w:szCs w:val="24"/>
        </w:rPr>
        <w:t xml:space="preserve">or </w:t>
      </w:r>
      <w:r w:rsidR="00FC7F87">
        <w:rPr>
          <w:rFonts w:ascii="Times New Roman" w:hAnsi="Times New Roman" w:cs="Times New Roman"/>
          <w:sz w:val="24"/>
          <w:szCs w:val="24"/>
        </w:rPr>
        <w:t>UC</w:t>
      </w:r>
      <w:r w:rsidRPr="001D58FF">
        <w:rPr>
          <w:rFonts w:ascii="Times New Roman" w:hAnsi="Times New Roman" w:cs="Times New Roman"/>
          <w:sz w:val="24"/>
          <w:szCs w:val="24"/>
        </w:rPr>
        <w:t xml:space="preserve">; proctitis; </w:t>
      </w:r>
      <w:r w:rsidR="00FC7F87">
        <w:rPr>
          <w:rFonts w:ascii="Times New Roman" w:hAnsi="Times New Roman" w:cs="Times New Roman"/>
          <w:sz w:val="24"/>
          <w:szCs w:val="24"/>
        </w:rPr>
        <w:t>IBS</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or</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Awaiting diagnosis</w:t>
      </w:r>
      <w:r w:rsidRPr="001D58FF">
        <w:rPr>
          <w:rFonts w:ascii="Times New Roman" w:hAnsi="Times New Roman" w:cs="Times New Roman"/>
          <w:sz w:val="24"/>
          <w:szCs w:val="24"/>
        </w:rPr>
        <w:t>. If the individual does not suffer from</w:t>
      </w:r>
      <w:r w:rsidR="00FC7F87">
        <w:rPr>
          <w:rFonts w:ascii="Times New Roman" w:hAnsi="Times New Roman" w:cs="Times New Roman"/>
          <w:sz w:val="24"/>
          <w:szCs w:val="24"/>
        </w:rPr>
        <w:t xml:space="preserve"> either</w:t>
      </w:r>
      <w:r w:rsidRPr="001D58FF">
        <w:rPr>
          <w:rFonts w:ascii="Times New Roman" w:hAnsi="Times New Roman" w:cs="Times New Roman"/>
          <w:sz w:val="24"/>
          <w:szCs w:val="24"/>
        </w:rPr>
        <w:t xml:space="preserve"> </w:t>
      </w:r>
      <w:r w:rsidR="00FC7F87">
        <w:rPr>
          <w:rFonts w:ascii="Times New Roman" w:hAnsi="Times New Roman" w:cs="Times New Roman"/>
          <w:sz w:val="24"/>
          <w:szCs w:val="24"/>
        </w:rPr>
        <w:t xml:space="preserve">UC, CD or </w:t>
      </w:r>
      <w:r w:rsidR="00B056D6">
        <w:rPr>
          <w:rFonts w:ascii="Times New Roman" w:hAnsi="Times New Roman" w:cs="Times New Roman"/>
          <w:sz w:val="24"/>
          <w:szCs w:val="24"/>
        </w:rPr>
        <w:t>Proctitis</w:t>
      </w:r>
      <w:r w:rsidRPr="001D58FF">
        <w:rPr>
          <w:rFonts w:ascii="Times New Roman" w:hAnsi="Times New Roman" w:cs="Times New Roman"/>
          <w:sz w:val="24"/>
          <w:szCs w:val="24"/>
        </w:rPr>
        <w:t xml:space="preserve">, they will be directed to an exit page where they will be thanked for their interest in taking part. Participants who meet the survey criteria will be directed to an information sheet, informing them of the relevant information needed to ensure that they understand what is expected of them. The participants will then be asked to complete an informed consent form. This will ensure that participants are aware that they have the right to </w:t>
      </w:r>
      <w:r w:rsidRPr="001D58FF">
        <w:rPr>
          <w:rFonts w:ascii="Times New Roman" w:hAnsi="Times New Roman" w:cs="Times New Roman"/>
          <w:sz w:val="24"/>
          <w:szCs w:val="24"/>
        </w:rPr>
        <w:lastRenderedPageBreak/>
        <w:t xml:space="preserve">withdraw their data at any time before, during and after completion of the study without any repercussions. All statements on the informed consent form will be followed by a checkbox to ensure that the participants have read and fully understood all statements before continuing with the study. If full informed consent is not received, participants will be directed to an exit page where they will be thanked for their interest in taking part. </w:t>
      </w:r>
      <w:r w:rsidR="00FC7F87">
        <w:rPr>
          <w:rFonts w:ascii="Times New Roman" w:hAnsi="Times New Roman" w:cs="Times New Roman"/>
          <w:sz w:val="24"/>
          <w:szCs w:val="24"/>
        </w:rPr>
        <w:t xml:space="preserve">On completion of the questionnaire, all participants will be thanked for their participation and provided with a debriefing form containing the researchers contact details. All data was exported from KwikSurvey to an excel spreadsheet (see appendix E). This data was then input into SPSS-24 for statistical analysis. </w:t>
      </w:r>
    </w:p>
    <w:p w:rsidR="00D95FA5" w:rsidRPr="001D58FF" w:rsidRDefault="00D95FA5" w:rsidP="00790E6F">
      <w:pPr>
        <w:spacing w:line="360" w:lineRule="auto"/>
        <w:jc w:val="both"/>
        <w:rPr>
          <w:rFonts w:ascii="Times New Roman" w:hAnsi="Times New Roman" w:cs="Times New Roman"/>
          <w:sz w:val="24"/>
          <w:szCs w:val="24"/>
        </w:rPr>
      </w:pPr>
    </w:p>
    <w:p w:rsidR="00CB191F" w:rsidRDefault="00D95FA5" w:rsidP="00CB191F">
      <w:pPr>
        <w:pStyle w:val="Heading2"/>
        <w:spacing w:line="360" w:lineRule="auto"/>
        <w:jc w:val="both"/>
        <w:rPr>
          <w:rFonts w:ascii="Times New Roman" w:hAnsi="Times New Roman" w:cs="Times New Roman"/>
        </w:rPr>
      </w:pPr>
      <w:r w:rsidRPr="00C85FA3">
        <w:rPr>
          <w:rFonts w:ascii="Times New Roman" w:hAnsi="Times New Roman" w:cs="Times New Roman"/>
        </w:rPr>
        <w:t>Ethic</w:t>
      </w:r>
      <w:r w:rsidR="00CB191F">
        <w:rPr>
          <w:rFonts w:ascii="Times New Roman" w:hAnsi="Times New Roman" w:cs="Times New Roman"/>
        </w:rPr>
        <w:t>al considerations</w:t>
      </w:r>
    </w:p>
    <w:p w:rsidR="00CB191F" w:rsidRPr="00CB191F" w:rsidRDefault="00CB191F" w:rsidP="00CB191F"/>
    <w:p w:rsidR="00D95FA5" w:rsidRPr="005A126E" w:rsidRDefault="00D95FA5" w:rsidP="00790E6F">
      <w:pPr>
        <w:spacing w:line="360" w:lineRule="auto"/>
        <w:ind w:firstLine="720"/>
        <w:jc w:val="both"/>
        <w:rPr>
          <w:rFonts w:ascii="Times New Roman" w:hAnsi="Times New Roman" w:cs="Times New Roman"/>
          <w:sz w:val="24"/>
          <w:szCs w:val="24"/>
        </w:rPr>
      </w:pPr>
      <w:r w:rsidRPr="005A126E">
        <w:rPr>
          <w:rFonts w:ascii="Times New Roman" w:hAnsi="Times New Roman" w:cs="Times New Roman"/>
          <w:sz w:val="24"/>
          <w:szCs w:val="24"/>
        </w:rPr>
        <w:t xml:space="preserve">In conformance with the </w:t>
      </w:r>
      <w:r w:rsidRPr="005A126E">
        <w:rPr>
          <w:rFonts w:ascii="Times New Roman" w:hAnsi="Times New Roman" w:cs="Times New Roman"/>
          <w:bCs/>
          <w:sz w:val="24"/>
          <w:szCs w:val="24"/>
        </w:rPr>
        <w:t xml:space="preserve">BPS Ethics Guidelines for internet-mediated Research, data collection was collected via an online health forum on a social media platform. The survey link was posted on the </w:t>
      </w:r>
      <w:r w:rsidRPr="005A126E">
        <w:rPr>
          <w:rFonts w:ascii="Times New Roman" w:hAnsi="Times New Roman" w:cs="Times New Roman"/>
          <w:sz w:val="24"/>
          <w:szCs w:val="24"/>
        </w:rPr>
        <w:t>“Crohn’s Disease &amp; Ulcerative Colitis Support UK”</w:t>
      </w:r>
      <w:r w:rsidRPr="005A126E">
        <w:rPr>
          <w:rFonts w:ascii="Times New Roman" w:hAnsi="Times New Roman" w:cs="Times New Roman"/>
          <w:bCs/>
          <w:sz w:val="24"/>
          <w:szCs w:val="24"/>
        </w:rPr>
        <w:t xml:space="preserve"> page using the researchers personal profile. The researcher contacted the </w:t>
      </w:r>
      <w:r w:rsidR="006F1E09">
        <w:rPr>
          <w:rFonts w:ascii="Times New Roman" w:hAnsi="Times New Roman" w:cs="Times New Roman"/>
          <w:bCs/>
          <w:sz w:val="24"/>
          <w:szCs w:val="24"/>
        </w:rPr>
        <w:t>health forum</w:t>
      </w:r>
      <w:r w:rsidRPr="005A126E">
        <w:rPr>
          <w:rFonts w:ascii="Times New Roman" w:hAnsi="Times New Roman" w:cs="Times New Roman"/>
          <w:bCs/>
          <w:sz w:val="24"/>
          <w:szCs w:val="24"/>
        </w:rPr>
        <w:t xml:space="preserve"> admin </w:t>
      </w:r>
      <w:r w:rsidR="00790E6F" w:rsidRPr="005A126E">
        <w:rPr>
          <w:rFonts w:ascii="Times New Roman" w:hAnsi="Times New Roman" w:cs="Times New Roman"/>
          <w:bCs/>
          <w:sz w:val="24"/>
          <w:szCs w:val="24"/>
        </w:rPr>
        <w:t>to</w:t>
      </w:r>
      <w:r w:rsidRPr="005A126E">
        <w:rPr>
          <w:rFonts w:ascii="Times New Roman" w:hAnsi="Times New Roman" w:cs="Times New Roman"/>
          <w:bCs/>
          <w:sz w:val="24"/>
          <w:szCs w:val="24"/>
        </w:rPr>
        <w:t xml:space="preserve"> gain permission for posting the survey on the page.</w:t>
      </w:r>
      <w:r w:rsidR="006F1E09">
        <w:rPr>
          <w:rFonts w:ascii="Times New Roman" w:hAnsi="Times New Roman" w:cs="Times New Roman"/>
          <w:bCs/>
          <w:sz w:val="24"/>
          <w:szCs w:val="24"/>
        </w:rPr>
        <w:t xml:space="preserve"> Once permission was granted, the survey was posted every Wednesday and Friday for a period of six weeks. </w:t>
      </w:r>
      <w:r w:rsidR="00FC7F87">
        <w:rPr>
          <w:rFonts w:ascii="Times New Roman" w:hAnsi="Times New Roman" w:cs="Times New Roman"/>
          <w:bCs/>
          <w:sz w:val="24"/>
          <w:szCs w:val="24"/>
        </w:rPr>
        <w:t xml:space="preserve">Participants will only be included in the study if full informed consent is received. </w:t>
      </w:r>
      <w:r w:rsidR="006F1E09">
        <w:rPr>
          <w:rFonts w:ascii="Times New Roman" w:hAnsi="Times New Roman" w:cs="Times New Roman"/>
          <w:bCs/>
          <w:sz w:val="24"/>
          <w:szCs w:val="24"/>
        </w:rPr>
        <w:t xml:space="preserve">There is a minimal risk of harm to the participant. However, the Harvey Bradshaw Index asks participants about their disabilities. This may be a sensitive topic area for participants. </w:t>
      </w:r>
      <w:r w:rsidR="006240EF">
        <w:rPr>
          <w:rFonts w:ascii="Times New Roman" w:hAnsi="Times New Roman" w:cs="Times New Roman"/>
          <w:bCs/>
          <w:sz w:val="24"/>
          <w:szCs w:val="24"/>
        </w:rPr>
        <w:t>To</w:t>
      </w:r>
      <w:r w:rsidR="006F1E09">
        <w:rPr>
          <w:rFonts w:ascii="Times New Roman" w:hAnsi="Times New Roman" w:cs="Times New Roman"/>
          <w:bCs/>
          <w:sz w:val="24"/>
          <w:szCs w:val="24"/>
        </w:rPr>
        <w:t xml:space="preserve"> minimise this</w:t>
      </w:r>
      <w:r w:rsidR="006240EF">
        <w:rPr>
          <w:rFonts w:ascii="Times New Roman" w:hAnsi="Times New Roman" w:cs="Times New Roman"/>
          <w:bCs/>
          <w:sz w:val="24"/>
          <w:szCs w:val="24"/>
        </w:rPr>
        <w:t xml:space="preserve"> risk</w:t>
      </w:r>
      <w:r w:rsidR="006F1E09">
        <w:rPr>
          <w:rFonts w:ascii="Times New Roman" w:hAnsi="Times New Roman" w:cs="Times New Roman"/>
          <w:bCs/>
          <w:sz w:val="24"/>
          <w:szCs w:val="24"/>
        </w:rPr>
        <w:t xml:space="preserve">, participants will be informed that they are not required to answer any questions that </w:t>
      </w:r>
      <w:r w:rsidR="006240EF">
        <w:rPr>
          <w:rFonts w:ascii="Times New Roman" w:hAnsi="Times New Roman" w:cs="Times New Roman"/>
          <w:bCs/>
          <w:sz w:val="24"/>
          <w:szCs w:val="24"/>
        </w:rPr>
        <w:t xml:space="preserve">cause discomfort. Due to the confidentiality of the participants’ data, the researcher will not be able to identify specific identities therefore, all participants will be completely anonymous. Participants will also be informed of their right to withdraw their data before, during and after completion of the study. </w:t>
      </w:r>
    </w:p>
    <w:p w:rsidR="00D95FA5" w:rsidRPr="00D95FA5" w:rsidRDefault="00D95FA5" w:rsidP="00790E6F">
      <w:pPr>
        <w:spacing w:line="360" w:lineRule="auto"/>
        <w:jc w:val="both"/>
      </w:pPr>
    </w:p>
    <w:p w:rsidR="007D1A3D" w:rsidRPr="007D1A3D" w:rsidRDefault="007D1A3D"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333ED9" w:rsidRDefault="00790E6F" w:rsidP="00333ED9">
      <w:pPr>
        <w:pStyle w:val="Heading2"/>
        <w:spacing w:line="360" w:lineRule="auto"/>
        <w:jc w:val="center"/>
        <w:rPr>
          <w:rFonts w:ascii="Times New Roman" w:hAnsi="Times New Roman" w:cs="Times New Roman"/>
        </w:rPr>
      </w:pPr>
      <w:r w:rsidRPr="00790E6F">
        <w:rPr>
          <w:rFonts w:ascii="Times New Roman" w:hAnsi="Times New Roman" w:cs="Times New Roman"/>
        </w:rPr>
        <w:lastRenderedPageBreak/>
        <w:t>Results</w:t>
      </w:r>
    </w:p>
    <w:p w:rsidR="00790E6F" w:rsidRDefault="00333ED9" w:rsidP="00333ED9">
      <w:pPr>
        <w:pStyle w:val="Heading2"/>
        <w:spacing w:line="360" w:lineRule="auto"/>
        <w:rPr>
          <w:rFonts w:ascii="Times New Roman" w:hAnsi="Times New Roman" w:cs="Times New Roman"/>
        </w:rPr>
      </w:pPr>
      <w:r>
        <w:rPr>
          <w:rFonts w:ascii="Times New Roman" w:hAnsi="Times New Roman" w:cs="Times New Roman"/>
        </w:rPr>
        <w:t>Descriptive Statistics</w:t>
      </w:r>
    </w:p>
    <w:p w:rsidR="00333ED9" w:rsidRPr="00333ED9" w:rsidRDefault="00333ED9" w:rsidP="00333ED9"/>
    <w:p w:rsidR="00790E6F" w:rsidRPr="0081785B" w:rsidRDefault="00790E6F" w:rsidP="00790E6F">
      <w:pPr>
        <w:spacing w:line="360" w:lineRule="auto"/>
        <w:jc w:val="both"/>
        <w:rPr>
          <w:rFonts w:ascii="Times New Roman" w:hAnsi="Times New Roman" w:cs="Times New Roman"/>
          <w:i/>
          <w:sz w:val="24"/>
          <w:szCs w:val="24"/>
        </w:rPr>
      </w:pPr>
      <w:r w:rsidRPr="000B200E">
        <w:rPr>
          <w:rFonts w:ascii="Times New Roman" w:hAnsi="Times New Roman" w:cs="Times New Roman"/>
          <w:i/>
          <w:sz w:val="24"/>
          <w:szCs w:val="24"/>
        </w:rPr>
        <w:t>Table 1</w:t>
      </w:r>
      <w:r w:rsidRPr="0081785B">
        <w:rPr>
          <w:rFonts w:ascii="Times New Roman" w:hAnsi="Times New Roman" w:cs="Times New Roman"/>
          <w:i/>
          <w:sz w:val="24"/>
          <w:szCs w:val="24"/>
        </w:rPr>
        <w:t>: demographic table</w:t>
      </w:r>
    </w:p>
    <w:tbl>
      <w:tblPr>
        <w:tblStyle w:val="PlainTable2"/>
        <w:tblW w:w="0" w:type="auto"/>
        <w:tblLook w:val="04A0" w:firstRow="1" w:lastRow="0" w:firstColumn="1" w:lastColumn="0" w:noHBand="0" w:noVBand="1"/>
      </w:tblPr>
      <w:tblGrid>
        <w:gridCol w:w="2567"/>
        <w:gridCol w:w="2822"/>
        <w:gridCol w:w="2917"/>
      </w:tblGrid>
      <w:tr w:rsidR="00790E6F" w:rsidRPr="0081785B" w:rsidTr="00790E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Characteristic</w:t>
            </w:r>
          </w:p>
        </w:tc>
        <w:tc>
          <w:tcPr>
            <w:tcW w:w="3107" w:type="dxa"/>
          </w:tcPr>
          <w:p w:rsidR="00790E6F" w:rsidRPr="00782C4D"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82C4D">
              <w:rPr>
                <w:rFonts w:ascii="Times New Roman" w:hAnsi="Times New Roman" w:cs="Times New Roman"/>
                <w:b w:val="0"/>
                <w:sz w:val="24"/>
                <w:szCs w:val="24"/>
              </w:rPr>
              <w:t xml:space="preserve"> Frequencies (n) </w:t>
            </w:r>
          </w:p>
        </w:tc>
        <w:tc>
          <w:tcPr>
            <w:tcW w:w="3220" w:type="dxa"/>
          </w:tcPr>
          <w:p w:rsidR="00790E6F" w:rsidRPr="00782C4D"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782C4D">
              <w:rPr>
                <w:rFonts w:ascii="Times New Roman" w:hAnsi="Times New Roman" w:cs="Times New Roman"/>
                <w:b w:val="0"/>
                <w:sz w:val="24"/>
                <w:szCs w:val="24"/>
              </w:rPr>
              <w:t>Frequencies (%)</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 xml:space="preserve"> Disease type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Crohn’s Disease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Ulcerative Colitis</w:t>
            </w:r>
          </w:p>
        </w:tc>
        <w:tc>
          <w:tcPr>
            <w:tcW w:w="3107" w:type="dxa"/>
            <w:tcBorders>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123</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101</w:t>
            </w:r>
          </w:p>
        </w:tc>
        <w:tc>
          <w:tcPr>
            <w:tcW w:w="3220" w:type="dxa"/>
            <w:tcBorders>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54.9</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45.1</w:t>
            </w:r>
          </w:p>
        </w:tc>
      </w:tr>
      <w:tr w:rsidR="00790E6F" w:rsidRPr="0081785B" w:rsidTr="00790E6F">
        <w:trPr>
          <w:trHeight w:val="129"/>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Disease Activity</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Relapse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Remission</w:t>
            </w:r>
          </w:p>
        </w:tc>
        <w:tc>
          <w:tcPr>
            <w:tcW w:w="3107"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122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102</w:t>
            </w:r>
          </w:p>
        </w:tc>
        <w:tc>
          <w:tcPr>
            <w:tcW w:w="3220"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45.5</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 xml:space="preserve">Disease Severity </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Remission</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Mild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Moderate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Severe</w:t>
            </w:r>
          </w:p>
        </w:tc>
        <w:tc>
          <w:tcPr>
            <w:tcW w:w="3107"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38</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53</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69</w:t>
            </w:r>
          </w:p>
        </w:tc>
        <w:tc>
          <w:tcPr>
            <w:tcW w:w="3220"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28.6</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17.0</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23.7</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30.8</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Gender</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Male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Female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Prefer not to say</w:t>
            </w:r>
          </w:p>
        </w:tc>
        <w:tc>
          <w:tcPr>
            <w:tcW w:w="3107"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43</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180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w:t>
            </w:r>
          </w:p>
        </w:tc>
        <w:tc>
          <w:tcPr>
            <w:tcW w:w="3220" w:type="dxa"/>
            <w:tcBorders>
              <w:top w:val="nil"/>
              <w:bottom w:val="nil"/>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80.4</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Borders>
              <w:top w:val="nil"/>
              <w:bottom w:val="nil"/>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Age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18-30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31-40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41-50</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51+</w:t>
            </w:r>
          </w:p>
        </w:tc>
        <w:tc>
          <w:tcPr>
            <w:tcW w:w="3107"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68</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58</w:t>
            </w:r>
          </w:p>
        </w:tc>
        <w:tc>
          <w:tcPr>
            <w:tcW w:w="3220" w:type="dxa"/>
            <w:tcBorders>
              <w:top w:val="nil"/>
              <w:bottom w:val="nil"/>
            </w:tcBorders>
          </w:tcPr>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30.4</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19.6</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24.1</w:t>
            </w:r>
          </w:p>
          <w:p w:rsidR="00790E6F" w:rsidRPr="00782C4D"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25.9</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2689" w:type="dxa"/>
            <w:tcBorders>
              <w:top w:val="nil"/>
              <w:bottom w:val="single" w:sz="4" w:space="0" w:color="auto"/>
            </w:tcBorders>
          </w:tcPr>
          <w:p w:rsidR="00790E6F" w:rsidRPr="00782C4D" w:rsidRDefault="00790E6F" w:rsidP="00790E6F">
            <w:pPr>
              <w:spacing w:line="360" w:lineRule="auto"/>
              <w:jc w:val="both"/>
              <w:rPr>
                <w:rFonts w:ascii="Times New Roman" w:hAnsi="Times New Roman" w:cs="Times New Roman"/>
                <w:b w:val="0"/>
                <w:sz w:val="24"/>
                <w:szCs w:val="24"/>
              </w:rPr>
            </w:pPr>
            <w:r w:rsidRPr="00782C4D">
              <w:rPr>
                <w:rFonts w:ascii="Times New Roman" w:hAnsi="Times New Roman" w:cs="Times New Roman"/>
                <w:b w:val="0"/>
                <w:sz w:val="24"/>
                <w:szCs w:val="24"/>
              </w:rPr>
              <w:t>Country of residence</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Wales</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England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Scotland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Ireland</w:t>
            </w:r>
          </w:p>
          <w:p w:rsidR="00790E6F" w:rsidRPr="00782C4D" w:rsidRDefault="00790E6F" w:rsidP="00790E6F">
            <w:pPr>
              <w:spacing w:line="360" w:lineRule="auto"/>
              <w:ind w:left="720"/>
              <w:jc w:val="both"/>
              <w:rPr>
                <w:rFonts w:ascii="Times New Roman" w:hAnsi="Times New Roman" w:cs="Times New Roman"/>
                <w:b w:val="0"/>
                <w:sz w:val="24"/>
                <w:szCs w:val="24"/>
              </w:rPr>
            </w:pPr>
            <w:r w:rsidRPr="00782C4D">
              <w:rPr>
                <w:rFonts w:ascii="Times New Roman" w:hAnsi="Times New Roman" w:cs="Times New Roman"/>
                <w:b w:val="0"/>
                <w:sz w:val="24"/>
                <w:szCs w:val="24"/>
              </w:rPr>
              <w:t>Other</w:t>
            </w:r>
          </w:p>
        </w:tc>
        <w:tc>
          <w:tcPr>
            <w:tcW w:w="3107" w:type="dxa"/>
            <w:tcBorders>
              <w:top w:val="nil"/>
              <w:bottom w:val="single" w:sz="4" w:space="0" w:color="auto"/>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115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20</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44</w:t>
            </w:r>
          </w:p>
        </w:tc>
        <w:tc>
          <w:tcPr>
            <w:tcW w:w="3220" w:type="dxa"/>
            <w:tcBorders>
              <w:top w:val="nil"/>
              <w:bottom w:val="single" w:sz="4" w:space="0" w:color="auto"/>
            </w:tcBorders>
          </w:tcPr>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17.8</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51.3</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8.9</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2.2</w:t>
            </w:r>
          </w:p>
          <w:p w:rsidR="00790E6F" w:rsidRPr="00782C4D"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82C4D">
              <w:rPr>
                <w:rFonts w:ascii="Times New Roman" w:hAnsi="Times New Roman" w:cs="Times New Roman"/>
                <w:sz w:val="24"/>
                <w:szCs w:val="24"/>
              </w:rPr>
              <w:t>19.6</w:t>
            </w:r>
          </w:p>
        </w:tc>
      </w:tr>
    </w:tbl>
    <w:p w:rsidR="00790E6F"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lastRenderedPageBreak/>
        <w:t>Descriptive statistics were performed to determine the demographic populations of the study</w:t>
      </w:r>
      <w:r>
        <w:rPr>
          <w:rFonts w:ascii="Times New Roman" w:hAnsi="Times New Roman" w:cs="Times New Roman"/>
          <w:sz w:val="24"/>
          <w:szCs w:val="24"/>
        </w:rPr>
        <w:t xml:space="preserve"> displayed in Table 1. Over a period of six weeks, a total of 329 participants chose to participate in the study. Of these, 224 IBD patients were included in the study (CD: n=123, UC: n=101). Twenty-four participants were either awaiting diagnosis or were IBS patients and did not fulfil inclusion criteria and 81 questionnaires were incomplete. These participants were therefore excluded from the study (see figure 1 in methodology). Ten individuals reported a diagnosis of proctitis and were merged with the UC condition (n=91) to produce a total number of 101 UC patients. Therefore, yielding an overall participant rate of 68.1%.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average age of the sample was 40.2, ranging between 18-84 years of age. The sample consisted of 43 males (19.2%) and 180 females (80.4%). 80.2% of the sample reside in the UK with the majority residing in England (51.3%). One hundred and </w:t>
      </w:r>
      <w:r w:rsidR="003B25FA">
        <w:rPr>
          <w:rFonts w:ascii="Times New Roman" w:hAnsi="Times New Roman" w:cs="Times New Roman"/>
          <w:sz w:val="24"/>
          <w:szCs w:val="24"/>
        </w:rPr>
        <w:t>twenty-three</w:t>
      </w:r>
      <w:r>
        <w:rPr>
          <w:rFonts w:ascii="Times New Roman" w:hAnsi="Times New Roman" w:cs="Times New Roman"/>
          <w:sz w:val="24"/>
          <w:szCs w:val="24"/>
        </w:rPr>
        <w:t xml:space="preserve"> participants had Crohn’s disease (54.9%), 91 had Ulcerative Colitis (40.6%) and 10 had Proctitis (4.4%). At the time of the study, 122 participants were in relapse and 102 participants were in remission. Table 1 shows the demographic information of the sample.</w:t>
      </w:r>
    </w:p>
    <w:p w:rsidR="00790E6F" w:rsidRPr="00104701"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Pearson correlation coefficient was used to determine whether collinearity was present and to outline any non-contributory variables.  The data indicated that there were no issues with collinearity.</w:t>
      </w:r>
    </w:p>
    <w:p w:rsidR="00790E6F" w:rsidRPr="00790E6F" w:rsidRDefault="00790E6F" w:rsidP="003B25FA">
      <w:pPr>
        <w:pStyle w:val="Heading2"/>
        <w:spacing w:line="360" w:lineRule="auto"/>
        <w:rPr>
          <w:rFonts w:ascii="Times New Roman" w:hAnsi="Times New Roman" w:cs="Times New Roman"/>
        </w:rPr>
      </w:pPr>
      <w:r w:rsidRPr="00790E6F">
        <w:rPr>
          <w:rFonts w:ascii="Times New Roman" w:hAnsi="Times New Roman" w:cs="Times New Roman"/>
        </w:rPr>
        <w:t>Multiple Regression</w:t>
      </w:r>
      <w:r>
        <w:rPr>
          <w:rFonts w:ascii="Times New Roman" w:hAnsi="Times New Roman" w:cs="Times New Roman"/>
        </w:rPr>
        <w:br/>
      </w:r>
    </w:p>
    <w:p w:rsidR="00790E6F" w:rsidRPr="0081785B" w:rsidRDefault="00790E6F" w:rsidP="00790E6F">
      <w:pPr>
        <w:spacing w:line="360" w:lineRule="auto"/>
        <w:jc w:val="both"/>
        <w:rPr>
          <w:rFonts w:ascii="Times New Roman" w:hAnsi="Times New Roman" w:cs="Times New Roman"/>
          <w:i/>
          <w:sz w:val="24"/>
          <w:szCs w:val="24"/>
        </w:rPr>
      </w:pPr>
      <w:r w:rsidRPr="0081785B">
        <w:rPr>
          <w:rFonts w:ascii="Times New Roman" w:hAnsi="Times New Roman" w:cs="Times New Roman"/>
          <w:i/>
          <w:sz w:val="24"/>
          <w:szCs w:val="24"/>
        </w:rPr>
        <w:t>Table 2: Summary of Multiple Linear regression analysis of Disease activity, perceived social support and sleep quality on Quality of Life.</w:t>
      </w:r>
    </w:p>
    <w:tbl>
      <w:tblPr>
        <w:tblStyle w:val="PlainTable2"/>
        <w:tblW w:w="0" w:type="auto"/>
        <w:tblLook w:val="04A0" w:firstRow="1" w:lastRow="0" w:firstColumn="1" w:lastColumn="0" w:noHBand="0" w:noVBand="1"/>
      </w:tblPr>
      <w:tblGrid>
        <w:gridCol w:w="1732"/>
        <w:gridCol w:w="1094"/>
        <w:gridCol w:w="1380"/>
        <w:gridCol w:w="1360"/>
        <w:gridCol w:w="1380"/>
        <w:gridCol w:w="1360"/>
      </w:tblGrid>
      <w:tr w:rsidR="00790E6F" w:rsidRPr="0081785B" w:rsidTr="00790E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Variables</w:t>
            </w:r>
          </w:p>
        </w:tc>
        <w:tc>
          <w:tcPr>
            <w:tcW w:w="1161"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B</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SE B</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β</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t</w:t>
            </w:r>
          </w:p>
        </w:tc>
        <w:tc>
          <w:tcPr>
            <w:tcW w:w="1503" w:type="dxa"/>
            <w:tcBorders>
              <w:top w:val="single" w:sz="4" w:space="0" w:color="auto"/>
              <w:bottom w:val="single" w:sz="4" w:space="0" w:color="auto"/>
            </w:tcBorders>
          </w:tcPr>
          <w:p w:rsidR="00790E6F" w:rsidRPr="0081785B" w:rsidRDefault="00790E6F" w:rsidP="00790E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81785B">
              <w:rPr>
                <w:rFonts w:ascii="Times New Roman" w:hAnsi="Times New Roman" w:cs="Times New Roman"/>
                <w:b w:val="0"/>
                <w:sz w:val="24"/>
                <w:szCs w:val="24"/>
              </w:rPr>
              <w:t>p</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nil"/>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Disease activity</w:t>
            </w:r>
          </w:p>
        </w:tc>
        <w:tc>
          <w:tcPr>
            <w:tcW w:w="1161"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2.465</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1.727</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.100</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1.428</w:t>
            </w:r>
          </w:p>
        </w:tc>
        <w:tc>
          <w:tcPr>
            <w:tcW w:w="1503" w:type="dxa"/>
            <w:tcBorders>
              <w:top w:val="single" w:sz="4" w:space="0" w:color="auto"/>
              <w:bottom w:val="nil"/>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.155</w:t>
            </w:r>
          </w:p>
        </w:tc>
      </w:tr>
      <w:tr w:rsidR="00790E6F" w:rsidRPr="0081785B" w:rsidTr="00790E6F">
        <w:tc>
          <w:tcPr>
            <w:cnfStyle w:val="001000000000" w:firstRow="0" w:lastRow="0" w:firstColumn="1" w:lastColumn="0" w:oddVBand="0" w:evenVBand="0" w:oddHBand="0" w:evenHBand="0" w:firstRowFirstColumn="0" w:firstRowLastColumn="0" w:lastRowFirstColumn="0" w:lastRowLastColumn="0"/>
            <w:tcW w:w="1843" w:type="dxa"/>
            <w:tcBorders>
              <w:top w:val="nil"/>
              <w:bottom w:val="nil"/>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Perceived social support</w:t>
            </w:r>
          </w:p>
        </w:tc>
        <w:tc>
          <w:tcPr>
            <w:tcW w:w="1161"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-.641</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.545</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-.079</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-.079</w:t>
            </w:r>
          </w:p>
        </w:tc>
        <w:tc>
          <w:tcPr>
            <w:tcW w:w="1503" w:type="dxa"/>
            <w:tcBorders>
              <w:top w:val="nil"/>
              <w:bottom w:val="nil"/>
            </w:tcBorders>
          </w:tcPr>
          <w:p w:rsidR="00790E6F" w:rsidRPr="0081785B" w:rsidRDefault="00790E6F" w:rsidP="00790E6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.241</w:t>
            </w:r>
          </w:p>
        </w:tc>
      </w:tr>
      <w:tr w:rsidR="00790E6F" w:rsidRPr="0081785B" w:rsidTr="00790E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nil"/>
              <w:bottom w:val="single" w:sz="4" w:space="0" w:color="auto"/>
            </w:tcBorders>
          </w:tcPr>
          <w:p w:rsidR="00790E6F" w:rsidRPr="0081785B" w:rsidRDefault="00790E6F" w:rsidP="00790E6F">
            <w:pPr>
              <w:spacing w:line="360" w:lineRule="auto"/>
              <w:jc w:val="both"/>
              <w:rPr>
                <w:rFonts w:ascii="Times New Roman" w:hAnsi="Times New Roman" w:cs="Times New Roman"/>
                <w:b w:val="0"/>
                <w:sz w:val="24"/>
                <w:szCs w:val="24"/>
              </w:rPr>
            </w:pPr>
            <w:r w:rsidRPr="0081785B">
              <w:rPr>
                <w:rFonts w:ascii="Times New Roman" w:hAnsi="Times New Roman" w:cs="Times New Roman"/>
                <w:b w:val="0"/>
                <w:sz w:val="24"/>
                <w:szCs w:val="24"/>
              </w:rPr>
              <w:t>Sleep quality</w:t>
            </w:r>
          </w:p>
        </w:tc>
        <w:tc>
          <w:tcPr>
            <w:tcW w:w="1161"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-.662</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.199</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-.237</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-.237</w:t>
            </w:r>
          </w:p>
        </w:tc>
        <w:tc>
          <w:tcPr>
            <w:tcW w:w="1503" w:type="dxa"/>
            <w:tcBorders>
              <w:top w:val="nil"/>
              <w:bottom w:val="single" w:sz="4" w:space="0" w:color="auto"/>
            </w:tcBorders>
          </w:tcPr>
          <w:p w:rsidR="00790E6F" w:rsidRPr="0081785B" w:rsidRDefault="00790E6F" w:rsidP="00790E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1785B">
              <w:rPr>
                <w:rFonts w:ascii="Times New Roman" w:hAnsi="Times New Roman" w:cs="Times New Roman"/>
                <w:sz w:val="24"/>
                <w:szCs w:val="24"/>
              </w:rPr>
              <w:t>.001</w:t>
            </w:r>
          </w:p>
        </w:tc>
      </w:tr>
    </w:tbl>
    <w:p w:rsidR="00790E6F" w:rsidRPr="0081785B" w:rsidRDefault="00FA3D0C"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br/>
      </w:r>
      <w:r w:rsidR="00790E6F" w:rsidRPr="0081785B">
        <w:rPr>
          <w:rFonts w:ascii="Times New Roman" w:hAnsi="Times New Roman" w:cs="Times New Roman"/>
          <w:sz w:val="24"/>
          <w:szCs w:val="24"/>
        </w:rPr>
        <w:t>A multiple linear regression was performed to predict Quality of life based on Disease activity, perceived social support and sleep quality. A significant regression equation was found (</w:t>
      </w:r>
      <w:r w:rsidR="00B056D6" w:rsidRPr="0081785B">
        <w:rPr>
          <w:rFonts w:ascii="Times New Roman" w:hAnsi="Times New Roman" w:cs="Times New Roman"/>
          <w:sz w:val="24"/>
          <w:szCs w:val="24"/>
        </w:rPr>
        <w:t>F (</w:t>
      </w:r>
      <w:r w:rsidR="00790E6F" w:rsidRPr="0081785B">
        <w:rPr>
          <w:rFonts w:ascii="Times New Roman" w:hAnsi="Times New Roman" w:cs="Times New Roman"/>
          <w:sz w:val="24"/>
          <w:szCs w:val="24"/>
        </w:rPr>
        <w:t>5, 13)</w:t>
      </w:r>
      <w:r w:rsidR="00B056D6">
        <w:rPr>
          <w:rFonts w:ascii="Times New Roman" w:hAnsi="Times New Roman" w:cs="Times New Roman"/>
          <w:sz w:val="24"/>
          <w:szCs w:val="24"/>
        </w:rPr>
        <w:t xml:space="preserve"> </w:t>
      </w:r>
      <w:r w:rsidR="00790E6F" w:rsidRPr="0081785B">
        <w:rPr>
          <w:rFonts w:ascii="Times New Roman" w:hAnsi="Times New Roman" w:cs="Times New Roman"/>
          <w:sz w:val="24"/>
          <w:szCs w:val="24"/>
        </w:rPr>
        <w:t xml:space="preserve">= 4.853, p&lt; 0.05) with an R2 of .100. Participants predicted Quality </w:t>
      </w:r>
      <w:r w:rsidR="00790E6F" w:rsidRPr="0081785B">
        <w:rPr>
          <w:rFonts w:ascii="Times New Roman" w:hAnsi="Times New Roman" w:cs="Times New Roman"/>
          <w:sz w:val="24"/>
          <w:szCs w:val="24"/>
        </w:rPr>
        <w:lastRenderedPageBreak/>
        <w:t>of Life is equal to 61.50 + 2.465 (Disease activity) -.641 (perceived social support) -.662 (sleep quality) with Disease activity coded as 1=Remission, 2=Mild, 3=Moderate, 4=Severe. The results of the regression indicated that the four predictors explained 80% of the variance. However, only sleep quality (β =-.662, p&lt;0.001) was found to be a significant predictor of Quality of Life.</w:t>
      </w:r>
      <w:r w:rsidR="00790E6F">
        <w:rPr>
          <w:rFonts w:ascii="Times New Roman" w:hAnsi="Times New Roman" w:cs="Times New Roman"/>
          <w:sz w:val="24"/>
          <w:szCs w:val="24"/>
        </w:rPr>
        <w:t xml:space="preserve"> </w:t>
      </w:r>
      <w:r w:rsidR="00B056D6">
        <w:rPr>
          <w:rFonts w:ascii="Times New Roman" w:hAnsi="Times New Roman" w:cs="Times New Roman"/>
          <w:sz w:val="24"/>
          <w:szCs w:val="24"/>
        </w:rPr>
        <w:t>Thus,</w:t>
      </w:r>
      <w:r w:rsidR="00790E6F">
        <w:rPr>
          <w:rFonts w:ascii="Times New Roman" w:hAnsi="Times New Roman" w:cs="Times New Roman"/>
          <w:sz w:val="24"/>
          <w:szCs w:val="24"/>
        </w:rPr>
        <w:t xml:space="preserve"> supporting hypothesis 6 that there will be a significant relationship between sleep quality and QoL. </w:t>
      </w:r>
      <w:r w:rsidR="00790E6F" w:rsidRPr="0081785B">
        <w:rPr>
          <w:rFonts w:ascii="Times New Roman" w:hAnsi="Times New Roman" w:cs="Times New Roman"/>
          <w:sz w:val="24"/>
          <w:szCs w:val="24"/>
        </w:rPr>
        <w:t xml:space="preserve"> </w:t>
      </w:r>
      <w:r w:rsidR="008A2280">
        <w:rPr>
          <w:rFonts w:ascii="Times New Roman" w:hAnsi="Times New Roman" w:cs="Times New Roman"/>
          <w:sz w:val="24"/>
          <w:szCs w:val="24"/>
        </w:rPr>
        <w:t xml:space="preserve">There were no significant effects of age on Quality of Life, therefore </w:t>
      </w:r>
      <w:r w:rsidR="0011225F">
        <w:rPr>
          <w:rFonts w:ascii="Times New Roman" w:hAnsi="Times New Roman" w:cs="Times New Roman"/>
          <w:sz w:val="24"/>
          <w:szCs w:val="24"/>
        </w:rPr>
        <w:t>age</w:t>
      </w:r>
      <w:r w:rsidR="008A2280">
        <w:rPr>
          <w:rFonts w:ascii="Times New Roman" w:hAnsi="Times New Roman" w:cs="Times New Roman"/>
          <w:sz w:val="24"/>
          <w:szCs w:val="24"/>
        </w:rPr>
        <w:t xml:space="preserve"> was removed from further analyses.</w:t>
      </w:r>
    </w:p>
    <w:p w:rsidR="00790E6F" w:rsidRPr="00790E6F"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As Quality of Life as a single measure did not highlight any significant relationships with any variable in exclusion to sleep quality, three One-Way ANOVA</w:t>
      </w:r>
      <w:r>
        <w:rPr>
          <w:rFonts w:ascii="Times New Roman" w:hAnsi="Times New Roman" w:cs="Times New Roman"/>
          <w:sz w:val="24"/>
          <w:szCs w:val="24"/>
        </w:rPr>
        <w:t>’s</w:t>
      </w:r>
      <w:r w:rsidRPr="0081785B">
        <w:rPr>
          <w:rFonts w:ascii="Times New Roman" w:hAnsi="Times New Roman" w:cs="Times New Roman"/>
          <w:sz w:val="24"/>
          <w:szCs w:val="24"/>
        </w:rPr>
        <w:t xml:space="preserve"> were performed with the QoL subscales (anxiety, depression and self-esteem). </w:t>
      </w:r>
      <w:r>
        <w:rPr>
          <w:rFonts w:ascii="Times New Roman" w:hAnsi="Times New Roman" w:cs="Times New Roman"/>
          <w:sz w:val="24"/>
          <w:szCs w:val="24"/>
        </w:rPr>
        <w:t xml:space="preserve">The ANOVA’s were </w:t>
      </w:r>
      <w:r w:rsidRPr="0081785B">
        <w:rPr>
          <w:rFonts w:ascii="Times New Roman" w:hAnsi="Times New Roman" w:cs="Times New Roman"/>
          <w:sz w:val="24"/>
          <w:szCs w:val="24"/>
        </w:rPr>
        <w:t xml:space="preserve">used to explore the different effects of disease activity, according to the Harvey Bradshaw index (disease severity), perceived social support and sleep quality on Quality of Life. </w:t>
      </w:r>
    </w:p>
    <w:p w:rsidR="00790E6F" w:rsidRPr="00790E6F" w:rsidRDefault="00790E6F" w:rsidP="003B25FA">
      <w:pPr>
        <w:pStyle w:val="Heading2"/>
        <w:spacing w:line="360" w:lineRule="auto"/>
        <w:rPr>
          <w:rFonts w:ascii="Times New Roman" w:hAnsi="Times New Roman" w:cs="Times New Roman"/>
        </w:rPr>
      </w:pPr>
      <w:r w:rsidRPr="00790E6F">
        <w:rPr>
          <w:rFonts w:ascii="Times New Roman" w:hAnsi="Times New Roman" w:cs="Times New Roman"/>
        </w:rPr>
        <w:t>A</w:t>
      </w:r>
      <w:r>
        <w:rPr>
          <w:rFonts w:ascii="Times New Roman" w:hAnsi="Times New Roman" w:cs="Times New Roman"/>
        </w:rPr>
        <w:t>nalysis of Variance</w:t>
      </w:r>
      <w:r>
        <w:rPr>
          <w:rFonts w:ascii="Times New Roman" w:hAnsi="Times New Roman" w:cs="Times New Roman"/>
        </w:rPr>
        <w:br/>
      </w:r>
    </w:p>
    <w:p w:rsidR="00790E6F" w:rsidRDefault="00790E6F" w:rsidP="00790E6F">
      <w:pPr>
        <w:spacing w:line="360" w:lineRule="auto"/>
        <w:jc w:val="both"/>
        <w:rPr>
          <w:rFonts w:ascii="Times New Roman" w:hAnsi="Times New Roman" w:cs="Times New Roman"/>
          <w:i/>
          <w:sz w:val="24"/>
          <w:szCs w:val="24"/>
        </w:rPr>
      </w:pPr>
      <w:r>
        <w:rPr>
          <w:rFonts w:ascii="Times New Roman" w:hAnsi="Times New Roman" w:cs="Times New Roman"/>
          <w:i/>
          <w:sz w:val="24"/>
          <w:szCs w:val="24"/>
        </w:rPr>
        <w:t>Table 3: Means and Standard Deviations for self-esteem levels for Disease activity, social support and sleep quality</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99"/>
        <w:gridCol w:w="2359"/>
        <w:gridCol w:w="2753"/>
      </w:tblGrid>
      <w:tr w:rsidR="00790E6F" w:rsidRPr="00740859" w:rsidTr="00790E6F">
        <w:tc>
          <w:tcPr>
            <w:tcW w:w="3397"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 xml:space="preserve">Variable </w:t>
            </w:r>
          </w:p>
        </w:tc>
        <w:tc>
          <w:tcPr>
            <w:tcW w:w="2613"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Mean</w:t>
            </w:r>
          </w:p>
        </w:tc>
        <w:tc>
          <w:tcPr>
            <w:tcW w:w="3006" w:type="dxa"/>
            <w:tcBorders>
              <w:top w:val="single" w:sz="4" w:space="0" w:color="auto"/>
              <w:bottom w:val="single" w:sz="4" w:space="0" w:color="auto"/>
            </w:tcBorders>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Standard Deviation</w:t>
            </w:r>
          </w:p>
        </w:tc>
      </w:tr>
      <w:tr w:rsidR="00790E6F" w:rsidTr="00790E6F">
        <w:tc>
          <w:tcPr>
            <w:tcW w:w="3397" w:type="dxa"/>
            <w:tcBorders>
              <w:top w:val="single" w:sz="4" w:space="0" w:color="auto"/>
            </w:tcBorders>
          </w:tcPr>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Disease activity</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Remission</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Mild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Moderate</w:t>
            </w:r>
          </w:p>
          <w:p w:rsidR="00790E6F" w:rsidRPr="00740859"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Severe </w:t>
            </w:r>
          </w:p>
        </w:tc>
        <w:tc>
          <w:tcPr>
            <w:tcW w:w="2613" w:type="dxa"/>
            <w:tcBorders>
              <w:top w:val="single" w:sz="4" w:space="0" w:color="auto"/>
            </w:tcBorders>
          </w:tcPr>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28.20</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27.55</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24.58</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24.53</w:t>
            </w:r>
          </w:p>
        </w:tc>
        <w:tc>
          <w:tcPr>
            <w:tcW w:w="3006" w:type="dxa"/>
            <w:tcBorders>
              <w:top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5.30</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6.37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6.70</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7.39</w:t>
            </w:r>
          </w:p>
        </w:tc>
      </w:tr>
      <w:tr w:rsidR="00790E6F" w:rsidTr="00790E6F">
        <w:tc>
          <w:tcPr>
            <w:tcW w:w="3397" w:type="dxa"/>
          </w:tcPr>
          <w:p w:rsidR="00790E6F" w:rsidRPr="00740859"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Perceived social support group</w:t>
            </w:r>
          </w:p>
          <w:p w:rsidR="00790E6F" w:rsidRPr="00740859" w:rsidRDefault="00790E6F" w:rsidP="00790E6F">
            <w:pPr>
              <w:spacing w:line="360" w:lineRule="auto"/>
              <w:ind w:left="720"/>
              <w:jc w:val="both"/>
              <w:rPr>
                <w:rFonts w:ascii="Times New Roman" w:hAnsi="Times New Roman" w:cs="Times New Roman"/>
                <w:sz w:val="24"/>
                <w:szCs w:val="24"/>
              </w:rPr>
            </w:pPr>
            <w:r w:rsidRPr="00740859">
              <w:rPr>
                <w:rFonts w:ascii="Times New Roman" w:hAnsi="Times New Roman" w:cs="Times New Roman"/>
                <w:sz w:val="24"/>
                <w:szCs w:val="24"/>
              </w:rPr>
              <w:t>Low</w:t>
            </w:r>
          </w:p>
          <w:p w:rsidR="00790E6F" w:rsidRPr="00740859" w:rsidRDefault="00790E6F" w:rsidP="00790E6F">
            <w:pPr>
              <w:spacing w:line="360" w:lineRule="auto"/>
              <w:ind w:left="720"/>
              <w:jc w:val="both"/>
              <w:rPr>
                <w:rFonts w:ascii="Times New Roman" w:hAnsi="Times New Roman" w:cs="Times New Roman"/>
                <w:sz w:val="24"/>
                <w:szCs w:val="24"/>
              </w:rPr>
            </w:pPr>
            <w:r w:rsidRPr="00740859">
              <w:rPr>
                <w:rFonts w:ascii="Times New Roman" w:hAnsi="Times New Roman" w:cs="Times New Roman"/>
                <w:sz w:val="24"/>
                <w:szCs w:val="24"/>
              </w:rPr>
              <w:t>Medium</w:t>
            </w:r>
          </w:p>
          <w:p w:rsidR="00790E6F" w:rsidRDefault="00790E6F" w:rsidP="00790E6F">
            <w:pPr>
              <w:spacing w:line="360" w:lineRule="auto"/>
              <w:ind w:left="720"/>
              <w:jc w:val="both"/>
              <w:rPr>
                <w:rFonts w:ascii="Times New Roman" w:hAnsi="Times New Roman" w:cs="Times New Roman"/>
                <w:i/>
                <w:sz w:val="24"/>
                <w:szCs w:val="24"/>
              </w:rPr>
            </w:pPr>
            <w:r w:rsidRPr="00740859">
              <w:rPr>
                <w:rFonts w:ascii="Times New Roman" w:hAnsi="Times New Roman" w:cs="Times New Roman"/>
                <w:sz w:val="24"/>
                <w:szCs w:val="24"/>
              </w:rPr>
              <w:t>High</w:t>
            </w:r>
          </w:p>
        </w:tc>
        <w:tc>
          <w:tcPr>
            <w:tcW w:w="2613" w:type="dxa"/>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28.77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24.10</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24.34</w:t>
            </w:r>
          </w:p>
        </w:tc>
        <w:tc>
          <w:tcPr>
            <w:tcW w:w="3006" w:type="dxa"/>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5.11</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6.69</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7.82</w:t>
            </w:r>
          </w:p>
        </w:tc>
      </w:tr>
      <w:tr w:rsidR="00790E6F" w:rsidTr="00790E6F">
        <w:tc>
          <w:tcPr>
            <w:tcW w:w="3397" w:type="dxa"/>
            <w:tcBorders>
              <w:bottom w:val="single" w:sz="4" w:space="0" w:color="auto"/>
            </w:tcBorders>
          </w:tcPr>
          <w:p w:rsidR="00790E6F" w:rsidRDefault="00790E6F" w:rsidP="00790E6F">
            <w:pPr>
              <w:spacing w:line="360" w:lineRule="auto"/>
              <w:jc w:val="both"/>
              <w:rPr>
                <w:rFonts w:ascii="Times New Roman" w:hAnsi="Times New Roman" w:cs="Times New Roman"/>
                <w:sz w:val="24"/>
                <w:szCs w:val="24"/>
              </w:rPr>
            </w:pPr>
            <w:r w:rsidRPr="00740859">
              <w:rPr>
                <w:rFonts w:ascii="Times New Roman" w:hAnsi="Times New Roman" w:cs="Times New Roman"/>
                <w:sz w:val="24"/>
                <w:szCs w:val="24"/>
              </w:rPr>
              <w:t>Sleep Quality</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Very Poor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Poor </w:t>
            </w:r>
          </w:p>
          <w:p w:rsidR="00790E6F"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Good</w:t>
            </w:r>
          </w:p>
          <w:p w:rsidR="00790E6F" w:rsidRPr="00740859" w:rsidRDefault="00790E6F" w:rsidP="00790E6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Very Good</w:t>
            </w:r>
          </w:p>
        </w:tc>
        <w:tc>
          <w:tcPr>
            <w:tcW w:w="2613" w:type="dxa"/>
            <w:tcBorders>
              <w:bottom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sidRPr="009664F7">
              <w:rPr>
                <w:rFonts w:ascii="Times New Roman" w:hAnsi="Times New Roman" w:cs="Times New Roman"/>
                <w:sz w:val="24"/>
                <w:szCs w:val="24"/>
              </w:rPr>
              <w:t>31.45</w:t>
            </w:r>
          </w:p>
          <w:p w:rsidR="00790E6F" w:rsidRDefault="00790E6F" w:rsidP="00790E6F">
            <w:pPr>
              <w:spacing w:line="360" w:lineRule="auto"/>
              <w:jc w:val="both"/>
              <w:rPr>
                <w:rFonts w:ascii="Times New Roman" w:hAnsi="Times New Roman" w:cs="Times New Roman"/>
                <w:sz w:val="24"/>
                <w:szCs w:val="24"/>
              </w:rPr>
            </w:pPr>
            <w:r w:rsidRPr="009664F7">
              <w:rPr>
                <w:rFonts w:ascii="Times New Roman" w:hAnsi="Times New Roman" w:cs="Times New Roman"/>
                <w:sz w:val="24"/>
                <w:szCs w:val="24"/>
              </w:rPr>
              <w:t>27.07</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24.59</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22.80</w:t>
            </w:r>
          </w:p>
        </w:tc>
        <w:tc>
          <w:tcPr>
            <w:tcW w:w="3006" w:type="dxa"/>
            <w:tcBorders>
              <w:bottom w:val="single" w:sz="4" w:space="0" w:color="auto"/>
            </w:tcBorders>
          </w:tcPr>
          <w:p w:rsidR="00790E6F" w:rsidRDefault="00790E6F" w:rsidP="00790E6F">
            <w:pPr>
              <w:spacing w:line="360" w:lineRule="auto"/>
              <w:jc w:val="both"/>
              <w:rPr>
                <w:rFonts w:ascii="Times New Roman" w:hAnsi="Times New Roman" w:cs="Times New Roman"/>
                <w:i/>
                <w:sz w:val="24"/>
                <w:szCs w:val="24"/>
              </w:rPr>
            </w:pP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4.71</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5.85</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6.41</w:t>
            </w:r>
          </w:p>
          <w:p w:rsidR="00790E6F" w:rsidRPr="00740859"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7.45</w:t>
            </w:r>
          </w:p>
        </w:tc>
      </w:tr>
    </w:tbl>
    <w:p w:rsidR="00790E6F" w:rsidRDefault="00790E6F" w:rsidP="00790E6F">
      <w:pPr>
        <w:spacing w:line="360" w:lineRule="auto"/>
        <w:jc w:val="both"/>
        <w:rPr>
          <w:rFonts w:ascii="Times New Roman" w:hAnsi="Times New Roman" w:cs="Times New Roman"/>
          <w:i/>
          <w:sz w:val="24"/>
          <w:szCs w:val="24"/>
        </w:rPr>
      </w:pPr>
    </w:p>
    <w:p w:rsidR="00790E6F" w:rsidRPr="00CE6B57"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suggests that individuals in remission display lower levels of self-esteem compared to those with severe disease. The means show that individuals with moderate or severe disease display the highest self-esteem levels, with a difference of 0.05 between the two conditions. The means for social support suggest that individuals with high social support display better self-esteem scores than those with low social support. The mean self-esteem scores for sleep quality, suggest that individuals with very poor sleep quality report lower self-esteem scores than those who reported very good sleep quality. Individuals in relapse may be receiving higher levels of social support, resulting in the higher scores of self-esteem in comparison to those in remission. Therefore, Secondary analyses of the data in the form of three one-way analyses of variance were conducted to explore whether there are any significant differences between the variables. </w:t>
      </w:r>
    </w:p>
    <w:p w:rsidR="00790E6F" w:rsidRDefault="00790E6F" w:rsidP="00790E6F">
      <w:pPr>
        <w:spacing w:line="360" w:lineRule="auto"/>
        <w:jc w:val="both"/>
        <w:rPr>
          <w:rFonts w:ascii="Times New Roman" w:hAnsi="Times New Roman" w:cs="Times New Roman"/>
          <w:i/>
          <w:sz w:val="24"/>
          <w:szCs w:val="24"/>
        </w:rPr>
      </w:pPr>
    </w:p>
    <w:p w:rsidR="00790E6F" w:rsidRPr="009D6997" w:rsidRDefault="00790E6F" w:rsidP="00790E6F">
      <w:pPr>
        <w:spacing w:line="360" w:lineRule="auto"/>
        <w:jc w:val="both"/>
        <w:rPr>
          <w:i/>
          <w:color w:val="FF0000"/>
        </w:rPr>
      </w:pPr>
      <w:r w:rsidRPr="009D6997">
        <w:rPr>
          <w:rFonts w:ascii="Times New Roman" w:hAnsi="Times New Roman" w:cs="Times New Roman"/>
          <w:i/>
          <w:sz w:val="24"/>
          <w:szCs w:val="24"/>
        </w:rPr>
        <w:t>Table 3: One-Way analysis of Variance of self-esteem by perceived social support, sleep quality and disease activity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44"/>
        <w:gridCol w:w="1002"/>
        <w:gridCol w:w="1222"/>
        <w:gridCol w:w="1409"/>
        <w:gridCol w:w="1387"/>
        <w:gridCol w:w="1342"/>
      </w:tblGrid>
      <w:tr w:rsidR="00790E6F" w:rsidRPr="00F3582E" w:rsidTr="00790E6F">
        <w:tc>
          <w:tcPr>
            <w:tcW w:w="2122"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p>
        </w:tc>
        <w:tc>
          <w:tcPr>
            <w:tcW w:w="1139"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i/>
                <w:sz w:val="24"/>
                <w:szCs w:val="24"/>
              </w:rPr>
            </w:pPr>
            <w:r w:rsidRPr="00F3582E">
              <w:rPr>
                <w:rFonts w:ascii="Times New Roman" w:hAnsi="Times New Roman" w:cs="Times New Roman"/>
                <w:i/>
                <w:sz w:val="24"/>
                <w:szCs w:val="24"/>
              </w:rPr>
              <w:t>df</w:t>
            </w:r>
          </w:p>
        </w:tc>
        <w:tc>
          <w:tcPr>
            <w:tcW w:w="1246"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SS</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MS</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F</w:t>
            </w:r>
          </w:p>
        </w:tc>
        <w:tc>
          <w:tcPr>
            <w:tcW w:w="1503" w:type="dxa"/>
            <w:tcBorders>
              <w:top w:val="single" w:sz="4" w:space="0" w:color="auto"/>
              <w:bottom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p</w:t>
            </w:r>
          </w:p>
        </w:tc>
      </w:tr>
      <w:tr w:rsidR="00790E6F" w:rsidRPr="00F3582E" w:rsidTr="00790E6F">
        <w:tc>
          <w:tcPr>
            <w:tcW w:w="2122"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Disease activity</w:t>
            </w:r>
          </w:p>
        </w:tc>
        <w:tc>
          <w:tcPr>
            <w:tcW w:w="1139"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3</w:t>
            </w:r>
          </w:p>
        </w:tc>
        <w:tc>
          <w:tcPr>
            <w:tcW w:w="1246"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653.647</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217.882</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5.136</w:t>
            </w:r>
          </w:p>
        </w:tc>
        <w:tc>
          <w:tcPr>
            <w:tcW w:w="1503" w:type="dxa"/>
            <w:tcBorders>
              <w:top w:val="single" w:sz="4" w:space="0" w:color="auto"/>
            </w:tcBorders>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.002</w:t>
            </w:r>
          </w:p>
        </w:tc>
      </w:tr>
      <w:tr w:rsidR="00790E6F" w:rsidRPr="00F3582E" w:rsidTr="00790E6F">
        <w:tc>
          <w:tcPr>
            <w:tcW w:w="2122"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Perceived social support</w:t>
            </w:r>
          </w:p>
        </w:tc>
        <w:tc>
          <w:tcPr>
            <w:tcW w:w="1139"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2</w:t>
            </w:r>
          </w:p>
        </w:tc>
        <w:tc>
          <w:tcPr>
            <w:tcW w:w="1246"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1155.811</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577.905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14.461</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.000</w:t>
            </w:r>
          </w:p>
        </w:tc>
      </w:tr>
      <w:tr w:rsidR="00790E6F" w:rsidRPr="00F3582E" w:rsidTr="00790E6F">
        <w:tc>
          <w:tcPr>
            <w:tcW w:w="2122"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sidRPr="00F3582E">
              <w:rPr>
                <w:rFonts w:ascii="Times New Roman" w:hAnsi="Times New Roman" w:cs="Times New Roman"/>
                <w:sz w:val="24"/>
                <w:szCs w:val="24"/>
              </w:rPr>
              <w:t>Sleep quality</w:t>
            </w:r>
          </w:p>
        </w:tc>
        <w:tc>
          <w:tcPr>
            <w:tcW w:w="1139"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3</w:t>
            </w:r>
          </w:p>
        </w:tc>
        <w:tc>
          <w:tcPr>
            <w:tcW w:w="1246"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1526.905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508.968</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13.235</w:t>
            </w:r>
          </w:p>
        </w:tc>
        <w:tc>
          <w:tcPr>
            <w:tcW w:w="1503" w:type="dxa"/>
          </w:tcPr>
          <w:p w:rsidR="00790E6F" w:rsidRPr="00F3582E" w:rsidRDefault="00790E6F" w:rsidP="00790E6F">
            <w:pPr>
              <w:spacing w:line="360" w:lineRule="auto"/>
              <w:contextualSpacing/>
              <w:jc w:val="both"/>
              <w:textAlignment w:val="baseline"/>
              <w:rPr>
                <w:rFonts w:ascii="Times New Roman" w:hAnsi="Times New Roman" w:cs="Times New Roman"/>
                <w:sz w:val="24"/>
                <w:szCs w:val="24"/>
              </w:rPr>
            </w:pPr>
            <w:r>
              <w:rPr>
                <w:rFonts w:ascii="Times New Roman" w:hAnsi="Times New Roman" w:cs="Times New Roman"/>
                <w:sz w:val="24"/>
                <w:szCs w:val="24"/>
              </w:rPr>
              <w:t>.000</w:t>
            </w:r>
          </w:p>
        </w:tc>
      </w:tr>
    </w:tbl>
    <w:p w:rsidR="00790E6F" w:rsidRPr="009664F7" w:rsidRDefault="00790E6F" w:rsidP="00790E6F">
      <w:pPr>
        <w:spacing w:line="360" w:lineRule="auto"/>
        <w:jc w:val="both"/>
        <w:rPr>
          <w:rFonts w:ascii="Times New Roman" w:hAnsi="Times New Roman" w:cs="Times New Roman"/>
          <w:i/>
          <w:sz w:val="24"/>
          <w:szCs w:val="24"/>
        </w:rPr>
      </w:pPr>
    </w:p>
    <w:p w:rsidR="00790E6F" w:rsidRPr="0081785B" w:rsidRDefault="00790E6F" w:rsidP="00790E6F">
      <w:pPr>
        <w:spacing w:line="360" w:lineRule="auto"/>
        <w:jc w:val="both"/>
        <w:rPr>
          <w:rFonts w:ascii="Times New Roman" w:hAnsi="Times New Roman" w:cs="Times New Roman"/>
          <w:sz w:val="24"/>
          <w:szCs w:val="24"/>
        </w:rPr>
      </w:pPr>
      <w:r w:rsidRPr="0081785B">
        <w:rPr>
          <w:rFonts w:ascii="Times New Roman" w:hAnsi="Times New Roman" w:cs="Times New Roman"/>
          <w:sz w:val="24"/>
          <w:szCs w:val="24"/>
        </w:rPr>
        <w:t xml:space="preserve">A One-way ANOVA was conducted to compare </w:t>
      </w:r>
      <w:r>
        <w:rPr>
          <w:rFonts w:ascii="Times New Roman" w:hAnsi="Times New Roman" w:cs="Times New Roman"/>
          <w:sz w:val="24"/>
          <w:szCs w:val="24"/>
        </w:rPr>
        <w:t xml:space="preserve">the </w:t>
      </w:r>
      <w:r w:rsidRPr="0081785B">
        <w:rPr>
          <w:rFonts w:ascii="Times New Roman" w:hAnsi="Times New Roman" w:cs="Times New Roman"/>
          <w:sz w:val="24"/>
          <w:szCs w:val="24"/>
        </w:rPr>
        <w:t>effect of perceived social support on self-esteem</w:t>
      </w:r>
      <w:r>
        <w:rPr>
          <w:rFonts w:ascii="Times New Roman" w:hAnsi="Times New Roman" w:cs="Times New Roman"/>
          <w:sz w:val="24"/>
          <w:szCs w:val="24"/>
        </w:rPr>
        <w:t>, w</w:t>
      </w:r>
      <w:r w:rsidRPr="00107311">
        <w:rPr>
          <w:rFonts w:ascii="Times New Roman" w:hAnsi="Times New Roman" w:cs="Times New Roman"/>
          <w:sz w:val="24"/>
          <w:szCs w:val="24"/>
        </w:rPr>
        <w:t>ith perceived social support coded as</w:t>
      </w:r>
      <w:r>
        <w:rPr>
          <w:rFonts w:ascii="Times New Roman" w:hAnsi="Times New Roman" w:cs="Times New Roman"/>
          <w:sz w:val="24"/>
          <w:szCs w:val="24"/>
        </w:rPr>
        <w:t>:</w:t>
      </w:r>
      <w:r w:rsidRPr="00107311">
        <w:rPr>
          <w:rFonts w:ascii="Times New Roman" w:hAnsi="Times New Roman" w:cs="Times New Roman"/>
          <w:sz w:val="24"/>
          <w:szCs w:val="24"/>
        </w:rPr>
        <w:t xml:space="preserve"> </w:t>
      </w:r>
      <w:r w:rsidRPr="0081785B">
        <w:rPr>
          <w:rFonts w:ascii="Times New Roman" w:hAnsi="Times New Roman" w:cs="Times New Roman"/>
          <w:sz w:val="24"/>
          <w:szCs w:val="24"/>
        </w:rPr>
        <w:t>1=</w:t>
      </w:r>
      <w:r>
        <w:rPr>
          <w:rFonts w:ascii="Times New Roman" w:hAnsi="Times New Roman" w:cs="Times New Roman"/>
          <w:sz w:val="24"/>
          <w:szCs w:val="24"/>
        </w:rPr>
        <w:t>Low</w:t>
      </w:r>
      <w:r w:rsidRPr="0081785B">
        <w:rPr>
          <w:rFonts w:ascii="Times New Roman" w:hAnsi="Times New Roman" w:cs="Times New Roman"/>
          <w:sz w:val="24"/>
          <w:szCs w:val="24"/>
        </w:rPr>
        <w:t>, 2=</w:t>
      </w:r>
      <w:r>
        <w:rPr>
          <w:rFonts w:ascii="Times New Roman" w:hAnsi="Times New Roman" w:cs="Times New Roman"/>
          <w:sz w:val="24"/>
          <w:szCs w:val="24"/>
        </w:rPr>
        <w:t>Medium</w:t>
      </w:r>
      <w:r w:rsidRPr="0081785B">
        <w:rPr>
          <w:rFonts w:ascii="Times New Roman" w:hAnsi="Times New Roman" w:cs="Times New Roman"/>
          <w:sz w:val="24"/>
          <w:szCs w:val="24"/>
        </w:rPr>
        <w:t>, 3=</w:t>
      </w:r>
      <w:r>
        <w:rPr>
          <w:rFonts w:ascii="Times New Roman" w:hAnsi="Times New Roman" w:cs="Times New Roman"/>
          <w:sz w:val="24"/>
          <w:szCs w:val="24"/>
        </w:rPr>
        <w:t xml:space="preserve">High.  </w:t>
      </w:r>
      <w:r w:rsidRPr="0081785B">
        <w:rPr>
          <w:rFonts w:ascii="Times New Roman" w:hAnsi="Times New Roman" w:cs="Times New Roman"/>
          <w:sz w:val="24"/>
          <w:szCs w:val="24"/>
        </w:rPr>
        <w:t>An analysis of variance showed that the effect of perceived social support on self-esteem was significant, F (2,221) = 14.461, p=.000</w:t>
      </w:r>
      <w:r>
        <w:rPr>
          <w:rFonts w:ascii="Times New Roman" w:hAnsi="Times New Roman" w:cs="Times New Roman"/>
          <w:sz w:val="24"/>
          <w:szCs w:val="24"/>
        </w:rPr>
        <w:t>. This supports the hypothesis that those with higher levels of perceived social support will report higher levels of self-esteem. W</w:t>
      </w:r>
      <w:r w:rsidRPr="00107311">
        <w:rPr>
          <w:rFonts w:ascii="Times New Roman" w:hAnsi="Times New Roman" w:cs="Times New Roman"/>
          <w:sz w:val="24"/>
          <w:szCs w:val="24"/>
        </w:rPr>
        <w:t xml:space="preserve">ith Sleep </w:t>
      </w:r>
      <w:r>
        <w:rPr>
          <w:rFonts w:ascii="Times New Roman" w:hAnsi="Times New Roman" w:cs="Times New Roman"/>
          <w:sz w:val="24"/>
          <w:szCs w:val="24"/>
        </w:rPr>
        <w:t xml:space="preserve">quality coded as: </w:t>
      </w:r>
      <w:r w:rsidRPr="0081785B">
        <w:rPr>
          <w:rFonts w:ascii="Times New Roman" w:hAnsi="Times New Roman" w:cs="Times New Roman"/>
          <w:sz w:val="24"/>
          <w:szCs w:val="24"/>
        </w:rPr>
        <w:t>1=</w:t>
      </w:r>
      <w:r>
        <w:rPr>
          <w:rFonts w:ascii="Times New Roman" w:hAnsi="Times New Roman" w:cs="Times New Roman"/>
          <w:sz w:val="24"/>
          <w:szCs w:val="24"/>
        </w:rPr>
        <w:t>Very Poor</w:t>
      </w:r>
      <w:r w:rsidRPr="0081785B">
        <w:rPr>
          <w:rFonts w:ascii="Times New Roman" w:hAnsi="Times New Roman" w:cs="Times New Roman"/>
          <w:sz w:val="24"/>
          <w:szCs w:val="24"/>
        </w:rPr>
        <w:t>, 2=</w:t>
      </w:r>
      <w:r>
        <w:rPr>
          <w:rFonts w:ascii="Times New Roman" w:hAnsi="Times New Roman" w:cs="Times New Roman"/>
          <w:sz w:val="24"/>
          <w:szCs w:val="24"/>
        </w:rPr>
        <w:t>Poor</w:t>
      </w:r>
      <w:r w:rsidRPr="0081785B">
        <w:rPr>
          <w:rFonts w:ascii="Times New Roman" w:hAnsi="Times New Roman" w:cs="Times New Roman"/>
          <w:sz w:val="24"/>
          <w:szCs w:val="24"/>
        </w:rPr>
        <w:t>, 3=</w:t>
      </w:r>
      <w:r>
        <w:rPr>
          <w:rFonts w:ascii="Times New Roman" w:hAnsi="Times New Roman" w:cs="Times New Roman"/>
          <w:sz w:val="24"/>
          <w:szCs w:val="24"/>
        </w:rPr>
        <w:t>Good</w:t>
      </w:r>
      <w:r w:rsidRPr="0081785B">
        <w:rPr>
          <w:rFonts w:ascii="Times New Roman" w:hAnsi="Times New Roman" w:cs="Times New Roman"/>
          <w:sz w:val="24"/>
          <w:szCs w:val="24"/>
        </w:rPr>
        <w:t>, 4=</w:t>
      </w:r>
      <w:r>
        <w:rPr>
          <w:rFonts w:ascii="Times New Roman" w:hAnsi="Times New Roman" w:cs="Times New Roman"/>
          <w:sz w:val="24"/>
          <w:szCs w:val="24"/>
        </w:rPr>
        <w:t>Very Good, a</w:t>
      </w:r>
      <w:r w:rsidRPr="0081785B">
        <w:rPr>
          <w:rFonts w:ascii="Times New Roman" w:hAnsi="Times New Roman" w:cs="Times New Roman"/>
          <w:sz w:val="24"/>
          <w:szCs w:val="24"/>
        </w:rPr>
        <w:t xml:space="preserve"> second analysis of variance showed that the effect of sleep quality on self-esteem was not significant, F (3, 220) =</w:t>
      </w:r>
      <w:r>
        <w:rPr>
          <w:rFonts w:ascii="Times New Roman" w:hAnsi="Times New Roman" w:cs="Times New Roman"/>
          <w:sz w:val="24"/>
          <w:szCs w:val="24"/>
        </w:rPr>
        <w:t xml:space="preserve"> 13.235, p=</w:t>
      </w:r>
      <w:r w:rsidRPr="0081785B">
        <w:rPr>
          <w:rFonts w:ascii="Times New Roman" w:hAnsi="Times New Roman" w:cs="Times New Roman"/>
          <w:sz w:val="24"/>
          <w:szCs w:val="24"/>
        </w:rPr>
        <w:t>.000.</w:t>
      </w:r>
      <w:r>
        <w:rPr>
          <w:rFonts w:ascii="Times New Roman" w:hAnsi="Times New Roman" w:cs="Times New Roman"/>
          <w:sz w:val="24"/>
          <w:szCs w:val="24"/>
        </w:rPr>
        <w:t xml:space="preserve"> </w:t>
      </w:r>
      <w:r w:rsidRPr="0081785B">
        <w:rPr>
          <w:rFonts w:ascii="Times New Roman" w:hAnsi="Times New Roman" w:cs="Times New Roman"/>
          <w:sz w:val="24"/>
          <w:szCs w:val="24"/>
        </w:rPr>
        <w:t xml:space="preserve">A third analysis of variance showed that the effect of disease activity on self-esteem was significant, F (3,220) = 5.136, p&lt;.002. </w:t>
      </w:r>
    </w:p>
    <w:p w:rsidR="00790E6F" w:rsidRDefault="00790E6F" w:rsidP="00790E6F">
      <w:pPr>
        <w:spacing w:line="360" w:lineRule="auto"/>
        <w:jc w:val="both"/>
        <w:rPr>
          <w:rFonts w:ascii="Times New Roman" w:hAnsi="Times New Roman" w:cs="Times New Roman"/>
          <w:sz w:val="24"/>
          <w:szCs w:val="24"/>
          <w:u w:val="single"/>
        </w:rPr>
      </w:pPr>
    </w:p>
    <w:p w:rsidR="00790E6F" w:rsidRDefault="00790E6F" w:rsidP="00790E6F">
      <w:pPr>
        <w:spacing w:line="360" w:lineRule="auto"/>
        <w:jc w:val="both"/>
        <w:rPr>
          <w:rFonts w:ascii="Times New Roman" w:hAnsi="Times New Roman" w:cs="Times New Roman"/>
          <w:sz w:val="24"/>
          <w:szCs w:val="24"/>
        </w:rPr>
      </w:pPr>
    </w:p>
    <w:p w:rsidR="00790E6F" w:rsidRPr="00790E6F" w:rsidRDefault="00790E6F" w:rsidP="003B25FA">
      <w:pPr>
        <w:pStyle w:val="Heading2"/>
        <w:spacing w:line="360" w:lineRule="auto"/>
        <w:rPr>
          <w:rFonts w:ascii="Times New Roman" w:hAnsi="Times New Roman" w:cs="Times New Roman"/>
        </w:rPr>
      </w:pPr>
      <w:r w:rsidRPr="00790E6F">
        <w:rPr>
          <w:rFonts w:ascii="Times New Roman" w:hAnsi="Times New Roman" w:cs="Times New Roman"/>
        </w:rPr>
        <w:t>Post hoc analyses</w:t>
      </w:r>
      <w:r>
        <w:rPr>
          <w:rFonts w:ascii="Times New Roman" w:hAnsi="Times New Roman" w:cs="Times New Roman"/>
        </w:rPr>
        <w:br/>
      </w:r>
    </w:p>
    <w:p w:rsidR="00790E6F" w:rsidRPr="00B45975" w:rsidRDefault="00790E6F" w:rsidP="00790E6F">
      <w:pPr>
        <w:spacing w:line="360" w:lineRule="auto"/>
        <w:ind w:firstLine="720"/>
        <w:jc w:val="both"/>
        <w:rPr>
          <w:rFonts w:ascii="Times New Roman" w:hAnsi="Times New Roman" w:cs="Times New Roman"/>
          <w:sz w:val="24"/>
          <w:szCs w:val="24"/>
          <w:u w:val="single"/>
        </w:rPr>
      </w:pPr>
      <w:r w:rsidRPr="00B45975">
        <w:rPr>
          <w:rFonts w:ascii="Times New Roman" w:hAnsi="Times New Roman" w:cs="Times New Roman"/>
          <w:sz w:val="24"/>
          <w:szCs w:val="24"/>
        </w:rPr>
        <w:t>A one-way ANOVA was used to explore the impact of disease severity on self-esteem. A significant effect of disease</w:t>
      </w:r>
      <w:r>
        <w:rPr>
          <w:rFonts w:ascii="Times New Roman" w:hAnsi="Times New Roman" w:cs="Times New Roman"/>
          <w:sz w:val="24"/>
          <w:szCs w:val="24"/>
        </w:rPr>
        <w:t xml:space="preserve"> severity</w:t>
      </w:r>
      <w:r w:rsidRPr="00B45975">
        <w:rPr>
          <w:rFonts w:ascii="Times New Roman" w:hAnsi="Times New Roman" w:cs="Times New Roman"/>
          <w:sz w:val="24"/>
          <w:szCs w:val="24"/>
        </w:rPr>
        <w:t xml:space="preserve"> was found</w:t>
      </w:r>
      <w:r w:rsidRPr="00B45975">
        <w:rPr>
          <w:rFonts w:ascii="Times New Roman" w:hAnsi="Times New Roman" w:cs="Times New Roman"/>
          <w:i/>
          <w:sz w:val="24"/>
          <w:szCs w:val="24"/>
        </w:rPr>
        <w:t xml:space="preserve"> </w:t>
      </w:r>
      <w:r w:rsidR="00B056D6" w:rsidRPr="00B45975">
        <w:rPr>
          <w:rFonts w:ascii="Times New Roman" w:hAnsi="Times New Roman" w:cs="Times New Roman"/>
          <w:i/>
          <w:sz w:val="24"/>
          <w:szCs w:val="24"/>
        </w:rPr>
        <w:t>F</w:t>
      </w:r>
      <w:r w:rsidR="00B056D6" w:rsidRPr="00B45975">
        <w:rPr>
          <w:rFonts w:ascii="Times New Roman" w:hAnsi="Times New Roman" w:cs="Times New Roman"/>
          <w:sz w:val="24"/>
          <w:szCs w:val="24"/>
        </w:rPr>
        <w:t xml:space="preserve"> (</w:t>
      </w:r>
      <w:r w:rsidRPr="00B45975">
        <w:rPr>
          <w:rFonts w:ascii="Times New Roman" w:hAnsi="Times New Roman" w:cs="Times New Roman"/>
          <w:sz w:val="24"/>
          <w:szCs w:val="24"/>
        </w:rPr>
        <w:t xml:space="preserve">3,220) = 5.136, p = .002. </w:t>
      </w:r>
      <w:r>
        <w:rPr>
          <w:rFonts w:ascii="Times New Roman" w:hAnsi="Times New Roman" w:cs="Times New Roman"/>
          <w:sz w:val="24"/>
          <w:szCs w:val="24"/>
        </w:rPr>
        <w:t>The results from the Le</w:t>
      </w:r>
      <w:r w:rsidRPr="00B94D11">
        <w:rPr>
          <w:rFonts w:ascii="Times New Roman" w:hAnsi="Times New Roman" w:cs="Times New Roman"/>
          <w:sz w:val="24"/>
          <w:szCs w:val="24"/>
        </w:rPr>
        <w:t>venes test</w:t>
      </w:r>
      <w:r>
        <w:rPr>
          <w:rFonts w:ascii="Times New Roman" w:hAnsi="Times New Roman" w:cs="Times New Roman"/>
          <w:sz w:val="24"/>
          <w:szCs w:val="24"/>
        </w:rPr>
        <w:t xml:space="preserve"> of equality of Error Variances</w:t>
      </w:r>
      <w:r w:rsidRPr="00B94D11">
        <w:rPr>
          <w:rFonts w:ascii="Times New Roman" w:hAnsi="Times New Roman" w:cs="Times New Roman"/>
          <w:sz w:val="24"/>
          <w:szCs w:val="24"/>
        </w:rPr>
        <w:t xml:space="preserve"> violated the assumption of ho</w:t>
      </w:r>
      <w:r>
        <w:rPr>
          <w:rFonts w:ascii="Times New Roman" w:hAnsi="Times New Roman" w:cs="Times New Roman"/>
          <w:sz w:val="24"/>
          <w:szCs w:val="24"/>
        </w:rPr>
        <w:t xml:space="preserve">mogeneity of variance Therefore, the Games-Howell test was used as it does not assume equal sample sizes (Ruxton &amp; Beauchamp, 2008). </w:t>
      </w:r>
      <w:r w:rsidRPr="00B45975">
        <w:rPr>
          <w:rFonts w:ascii="Times New Roman" w:hAnsi="Times New Roman" w:cs="Times New Roman"/>
          <w:sz w:val="24"/>
          <w:szCs w:val="24"/>
        </w:rPr>
        <w:t>Post hoc comparisons using the Games-Howell test indicated that the mean scores</w:t>
      </w:r>
      <w:r>
        <w:rPr>
          <w:rFonts w:ascii="Times New Roman" w:hAnsi="Times New Roman" w:cs="Times New Roman"/>
          <w:sz w:val="24"/>
          <w:szCs w:val="24"/>
        </w:rPr>
        <w:t xml:space="preserve"> (as seen in Table 3)</w:t>
      </w:r>
      <w:r w:rsidRPr="00B45975">
        <w:rPr>
          <w:rFonts w:ascii="Times New Roman" w:hAnsi="Times New Roman" w:cs="Times New Roman"/>
          <w:sz w:val="24"/>
          <w:szCs w:val="24"/>
        </w:rPr>
        <w:t xml:space="preserve"> for moderate (M=24.58) and remission (M=28.20) and severe (M=24.53) and remission (M=28.20) were significantly different, but for mild (M=27.55) and remission (M=28.20) were not</w:t>
      </w:r>
      <w:r>
        <w:rPr>
          <w:rFonts w:ascii="Times New Roman" w:hAnsi="Times New Roman" w:cs="Times New Roman"/>
          <w:sz w:val="24"/>
          <w:szCs w:val="24"/>
        </w:rPr>
        <w:t xml:space="preserve"> (see table 3)</w:t>
      </w:r>
      <w:r w:rsidRPr="00B45975">
        <w:rPr>
          <w:rFonts w:ascii="Times New Roman" w:hAnsi="Times New Roman" w:cs="Times New Roman"/>
          <w:sz w:val="24"/>
          <w:szCs w:val="24"/>
        </w:rPr>
        <w:t>.</w:t>
      </w:r>
      <w:r>
        <w:rPr>
          <w:rFonts w:ascii="Times New Roman" w:hAnsi="Times New Roman" w:cs="Times New Roman"/>
          <w:sz w:val="24"/>
          <w:szCs w:val="24"/>
        </w:rPr>
        <w:t xml:space="preserve"> This supports the hypothesis that individuals in remission will report increased levels of Quality of Life in comparison to those in remission. </w:t>
      </w:r>
    </w:p>
    <w:p w:rsidR="00790E6F" w:rsidRPr="0081785B" w:rsidRDefault="00790E6F" w:rsidP="00790E6F">
      <w:pPr>
        <w:spacing w:line="360" w:lineRule="auto"/>
        <w:jc w:val="both"/>
        <w:rPr>
          <w:rFonts w:ascii="Times New Roman" w:hAnsi="Times New Roman" w:cs="Times New Roman"/>
          <w:sz w:val="24"/>
          <w:szCs w:val="24"/>
        </w:rPr>
      </w:pPr>
      <w:r>
        <w:rPr>
          <w:rFonts w:ascii="Arial" w:hAnsi="Arial" w:cs="Arial"/>
          <w:color w:val="545454"/>
          <w:shd w:val="clear" w:color="auto" w:fill="FFFFFF"/>
        </w:rPr>
        <w:t> </w:t>
      </w: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Default="00790E6F" w:rsidP="00790E6F">
      <w:pPr>
        <w:spacing w:line="360" w:lineRule="auto"/>
        <w:jc w:val="both"/>
        <w:rPr>
          <w:rFonts w:ascii="Times New Roman" w:hAnsi="Times New Roman" w:cs="Times New Roman"/>
          <w:sz w:val="24"/>
          <w:szCs w:val="24"/>
        </w:rPr>
      </w:pPr>
    </w:p>
    <w:p w:rsidR="00790E6F" w:rsidRPr="00790E6F" w:rsidRDefault="00790E6F" w:rsidP="00FC1571">
      <w:pPr>
        <w:pStyle w:val="Heading2"/>
        <w:spacing w:line="360" w:lineRule="auto"/>
        <w:jc w:val="center"/>
        <w:rPr>
          <w:rFonts w:ascii="Times New Roman" w:hAnsi="Times New Roman" w:cs="Times New Roman"/>
        </w:rPr>
      </w:pPr>
      <w:r w:rsidRPr="00790E6F">
        <w:rPr>
          <w:rFonts w:ascii="Times New Roman" w:hAnsi="Times New Roman" w:cs="Times New Roman"/>
        </w:rPr>
        <w:lastRenderedPageBreak/>
        <w:t>Discussion</w:t>
      </w:r>
      <w:r>
        <w:rPr>
          <w:rFonts w:ascii="Times New Roman" w:hAnsi="Times New Roman" w:cs="Times New Roman"/>
        </w:rPr>
        <w:br/>
      </w:r>
    </w:p>
    <w:p w:rsidR="00790E6F" w:rsidRPr="002D0851" w:rsidRDefault="00790E6F" w:rsidP="00790E6F">
      <w:pPr>
        <w:spacing w:line="360" w:lineRule="auto"/>
        <w:ind w:firstLine="720"/>
        <w:jc w:val="both"/>
        <w:rPr>
          <w:rFonts w:ascii="Times New Roman" w:hAnsi="Times New Roman" w:cs="Times New Roman"/>
          <w:sz w:val="24"/>
          <w:szCs w:val="24"/>
          <w:highlight w:val="yellow"/>
        </w:rPr>
      </w:pPr>
      <w:bookmarkStart w:id="2" w:name="_Hlk509728651"/>
      <w:r>
        <w:rPr>
          <w:rFonts w:ascii="Times New Roman" w:hAnsi="Times New Roman" w:cs="Times New Roman"/>
          <w:sz w:val="24"/>
          <w:szCs w:val="24"/>
        </w:rPr>
        <w:t>This study investigated the relationship between IBD and Quality of Life, whilst also exploring the effects of perceived social support and sleep quality on disease activity. The results of the multiple regression found a significant relationship between sleep quality and QoL</w:t>
      </w:r>
      <w:r w:rsidR="00455302">
        <w:rPr>
          <w:rFonts w:ascii="Times New Roman" w:hAnsi="Times New Roman" w:cs="Times New Roman"/>
          <w:sz w:val="24"/>
          <w:szCs w:val="24"/>
        </w:rPr>
        <w:t>. H</w:t>
      </w:r>
      <w:r>
        <w:rPr>
          <w:rFonts w:ascii="Times New Roman" w:hAnsi="Times New Roman" w:cs="Times New Roman"/>
          <w:sz w:val="24"/>
          <w:szCs w:val="24"/>
        </w:rPr>
        <w:t xml:space="preserve">owever, the results </w:t>
      </w:r>
      <w:r w:rsidR="00455302">
        <w:rPr>
          <w:rFonts w:ascii="Times New Roman" w:hAnsi="Times New Roman" w:cs="Times New Roman"/>
          <w:sz w:val="24"/>
          <w:szCs w:val="24"/>
        </w:rPr>
        <w:t xml:space="preserve">of the </w:t>
      </w:r>
      <w:r>
        <w:rPr>
          <w:rFonts w:ascii="Times New Roman" w:hAnsi="Times New Roman" w:cs="Times New Roman"/>
          <w:sz w:val="24"/>
          <w:szCs w:val="24"/>
        </w:rPr>
        <w:t>ANOVA on the effect of sleep quality on QoL found no significant effect of sleep quality on self-esteem.</w:t>
      </w:r>
      <w:r w:rsidRPr="00B73960">
        <w:rPr>
          <w:rFonts w:ascii="Times New Roman" w:hAnsi="Times New Roman" w:cs="Times New Roman"/>
          <w:sz w:val="24"/>
          <w:szCs w:val="24"/>
        </w:rPr>
        <w:t xml:space="preserve"> </w:t>
      </w:r>
      <w:r>
        <w:rPr>
          <w:rFonts w:ascii="Times New Roman" w:hAnsi="Times New Roman" w:cs="Times New Roman"/>
          <w:sz w:val="24"/>
          <w:szCs w:val="24"/>
        </w:rPr>
        <w:t>This result is inconsistent with Anathakrishnan et al’s (2013) results that poor sleep quality decreases a patient</w:t>
      </w:r>
      <w:r w:rsidR="00370B2A">
        <w:rPr>
          <w:rFonts w:ascii="Times New Roman" w:hAnsi="Times New Roman" w:cs="Times New Roman"/>
          <w:sz w:val="24"/>
          <w:szCs w:val="24"/>
        </w:rPr>
        <w:t>’</w:t>
      </w:r>
      <w:r>
        <w:rPr>
          <w:rFonts w:ascii="Times New Roman" w:hAnsi="Times New Roman" w:cs="Times New Roman"/>
          <w:sz w:val="24"/>
          <w:szCs w:val="24"/>
        </w:rPr>
        <w:t xml:space="preserve">s QoL. A series of secondary analyses were performed to explore the effects of the variables on the subscales of QoL (anxiety, depression and self-esteem) as no significant effects were found between perceived social support, disease activity and disease severity on QoL as a single measure. The analyses found no significant difference in effects between anxiety and depression on QoL. However, the results </w:t>
      </w:r>
      <w:r w:rsidRPr="00FE0AAB">
        <w:rPr>
          <w:rFonts w:ascii="Times New Roman" w:hAnsi="Times New Roman" w:cs="Times New Roman"/>
          <w:sz w:val="24"/>
          <w:szCs w:val="24"/>
        </w:rPr>
        <w:t>support an effect of perceived social support and disease activity on self-esteem</w:t>
      </w:r>
      <w:r>
        <w:rPr>
          <w:rFonts w:ascii="Times New Roman" w:hAnsi="Times New Roman" w:cs="Times New Roman"/>
          <w:sz w:val="24"/>
          <w:szCs w:val="24"/>
        </w:rPr>
        <w:t>. This supports the hypotheses that those with higher levels of perceived social support will report higher levels of self-esteem and those in remission will report higher self-esteem than those in relapse</w:t>
      </w:r>
      <w:r w:rsidRPr="00FE0AAB">
        <w:rPr>
          <w:rFonts w:ascii="Times New Roman" w:hAnsi="Times New Roman" w:cs="Times New Roman"/>
          <w:sz w:val="24"/>
          <w:szCs w:val="24"/>
        </w:rPr>
        <w:t>.</w:t>
      </w:r>
      <w:r>
        <w:rPr>
          <w:rFonts w:ascii="Times New Roman" w:hAnsi="Times New Roman" w:cs="Times New Roman"/>
          <w:sz w:val="24"/>
          <w:szCs w:val="24"/>
        </w:rPr>
        <w:t xml:space="preserve"> A significant effect of disease severity was found on self-esteem, with the main differences between moderate and remission and sever</w:t>
      </w:r>
      <w:r w:rsidR="00370B2A">
        <w:rPr>
          <w:rFonts w:ascii="Times New Roman" w:hAnsi="Times New Roman" w:cs="Times New Roman"/>
          <w:sz w:val="24"/>
          <w:szCs w:val="24"/>
        </w:rPr>
        <w:t>e</w:t>
      </w:r>
      <w:r>
        <w:rPr>
          <w:rFonts w:ascii="Times New Roman" w:hAnsi="Times New Roman" w:cs="Times New Roman"/>
          <w:sz w:val="24"/>
          <w:szCs w:val="24"/>
        </w:rPr>
        <w:t xml:space="preserve"> and remission. However, the difference in self-esteem levels were not significantly different between mild and remission. This supports the hypothesis that individuals in remission will report increased levels of Q</w:t>
      </w:r>
      <w:r w:rsidR="00370B2A">
        <w:rPr>
          <w:rFonts w:ascii="Times New Roman" w:hAnsi="Times New Roman" w:cs="Times New Roman"/>
          <w:sz w:val="24"/>
          <w:szCs w:val="24"/>
        </w:rPr>
        <w:t xml:space="preserve">oL </w:t>
      </w:r>
      <w:r>
        <w:rPr>
          <w:rFonts w:ascii="Times New Roman" w:hAnsi="Times New Roman" w:cs="Times New Roman"/>
          <w:sz w:val="24"/>
          <w:szCs w:val="24"/>
        </w:rPr>
        <w:t>in comparison to those in remission.</w:t>
      </w:r>
      <w:r w:rsidRPr="00FE0AAB">
        <w:rPr>
          <w:rFonts w:ascii="Times New Roman" w:hAnsi="Times New Roman" w:cs="Times New Roman"/>
          <w:sz w:val="24"/>
          <w:szCs w:val="24"/>
        </w:rPr>
        <w:t xml:space="preserve"> </w:t>
      </w:r>
      <w:r>
        <w:rPr>
          <w:rFonts w:ascii="Times New Roman" w:hAnsi="Times New Roman" w:cs="Times New Roman"/>
          <w:sz w:val="24"/>
          <w:szCs w:val="24"/>
        </w:rPr>
        <w:t>This result also offers support to Lindfred et al’s (2007) findings that patients with severe disease report significantly lower self-esteem scores than those with mild disease.</w:t>
      </w:r>
    </w:p>
    <w:bookmarkEnd w:id="2"/>
    <w:p w:rsidR="00790E6F" w:rsidRDefault="00790E6F" w:rsidP="00790E6F">
      <w:pPr>
        <w:spacing w:line="360" w:lineRule="auto"/>
        <w:jc w:val="both"/>
        <w:rPr>
          <w:rFonts w:ascii="Times New Roman" w:hAnsi="Times New Roman" w:cs="Times New Roman"/>
          <w:sz w:val="24"/>
          <w:szCs w:val="24"/>
        </w:rPr>
      </w:pPr>
      <w:r w:rsidRPr="003A3CF9">
        <w:rPr>
          <w:rFonts w:ascii="Times New Roman" w:hAnsi="Times New Roman" w:cs="Times New Roman"/>
          <w:sz w:val="24"/>
          <w:szCs w:val="24"/>
        </w:rPr>
        <w:t xml:space="preserve">The researcher acknowledges many limitations to this study. </w:t>
      </w:r>
      <w:r w:rsidR="00370B2A">
        <w:rPr>
          <w:rFonts w:ascii="Times New Roman" w:hAnsi="Times New Roman" w:cs="Times New Roman"/>
          <w:sz w:val="24"/>
          <w:szCs w:val="24"/>
        </w:rPr>
        <w:t>There</w:t>
      </w:r>
      <w:r w:rsidRPr="007D0D88">
        <w:rPr>
          <w:rFonts w:ascii="Times New Roman" w:hAnsi="Times New Roman" w:cs="Times New Roman"/>
          <w:sz w:val="24"/>
          <w:szCs w:val="24"/>
        </w:rPr>
        <w:t xml:space="preserve"> is </w:t>
      </w:r>
      <w:r>
        <w:rPr>
          <w:rFonts w:ascii="Times New Roman" w:hAnsi="Times New Roman" w:cs="Times New Roman"/>
          <w:sz w:val="24"/>
          <w:szCs w:val="24"/>
        </w:rPr>
        <w:t xml:space="preserve">no singular measure of disease activity and severity for both UC and CD (Hanauer &amp; Baert, 1995). The Harvey Bradshaw Index was developed to assess disease activity in CD patients, whilst scales such as the Partial-Mayo Index and the Truelove Witts criteria were designed for UC (Hanauer &amp; Baert, 1995). This study chose to use the Harvey Bradshaw index to assess disease activity and severity in both UC and CD for the following reasons. Firstly, there is a lack of standardised indicators of IBD disease activity that apply to both CD and UC (Sewitch et al., 2001). The Truelove and Witts criteria for UC lacks information regarding the magnitude and severity of the qualities that are being assessed. Furthermore, many researchers have modified their own scales </w:t>
      </w:r>
      <w:r>
        <w:rPr>
          <w:rFonts w:ascii="Times New Roman" w:hAnsi="Times New Roman" w:cs="Times New Roman"/>
          <w:sz w:val="24"/>
          <w:szCs w:val="24"/>
        </w:rPr>
        <w:lastRenderedPageBreak/>
        <w:t xml:space="preserve">for measuring disease severity using a combination of the Crohn’s Disease Activity Index and the Truelove and Witts criteria (Drossman et al., 1991). However, the validity of these modified scales is questionable due to the lack of empirical evidence (Drossman et al., 1991). In addition, the Truelove and Witts criteria was not an appropriate measure for this study. This is due to the requirement for blood work and medical chart reviews (Truelove &amp; Witts, 1959). The researcher would not be able to access such resources therefore, providing a further justification for using the Harvey Bradshaw Index as a single measure for both UC and CD. The Harvey Bradshaw Index collects data regarding the patients’ well-being, abdominal pain and frequency of liquid stools, which are all common symptoms for both UC and CD (Truelove &amp; Witts, 1959).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Irrespective of the justifications for using the Harvey Bradshaw Index as a single measure for both UC and CD, this may have contributed towards the insignificant results for disease activity on QoL. Although CD and UC are characterised by many common symptoms, they also differ in symptoms</w:t>
      </w:r>
      <w:r w:rsidR="00370B2A">
        <w:rPr>
          <w:rFonts w:ascii="Times New Roman" w:hAnsi="Times New Roman" w:cs="Times New Roman"/>
          <w:sz w:val="24"/>
          <w:szCs w:val="24"/>
        </w:rPr>
        <w:t>,</w:t>
      </w:r>
      <w:r>
        <w:rPr>
          <w:rFonts w:ascii="Times New Roman" w:hAnsi="Times New Roman" w:cs="Times New Roman"/>
          <w:sz w:val="24"/>
          <w:szCs w:val="24"/>
        </w:rPr>
        <w:t xml:space="preserve"> for example, blood in stools in UC and </w:t>
      </w:r>
      <w:r w:rsidR="00370B2A">
        <w:rPr>
          <w:rFonts w:ascii="Times New Roman" w:hAnsi="Times New Roman" w:cs="Times New Roman"/>
          <w:sz w:val="24"/>
          <w:szCs w:val="24"/>
        </w:rPr>
        <w:t>a</w:t>
      </w:r>
      <w:r>
        <w:rPr>
          <w:rFonts w:ascii="Times New Roman" w:hAnsi="Times New Roman" w:cs="Times New Roman"/>
          <w:sz w:val="24"/>
          <w:szCs w:val="24"/>
        </w:rPr>
        <w:t xml:space="preserve">bdominal masses in CD (Wijmenga, 2005). Taking this into consideration, disease activity may be better assessed using different indexes for CD and UC </w:t>
      </w:r>
      <w:r w:rsidR="00B056D6">
        <w:rPr>
          <w:rFonts w:ascii="Times New Roman" w:hAnsi="Times New Roman" w:cs="Times New Roman"/>
          <w:sz w:val="24"/>
          <w:szCs w:val="24"/>
        </w:rPr>
        <w:t>to</w:t>
      </w:r>
      <w:r>
        <w:rPr>
          <w:rFonts w:ascii="Times New Roman" w:hAnsi="Times New Roman" w:cs="Times New Roman"/>
          <w:sz w:val="24"/>
          <w:szCs w:val="24"/>
        </w:rPr>
        <w:t xml:space="preserve"> accommodate for the different aetiologies of the diseases. With the application of separate scales of assessment for CD and UC, significant differences may have been found between the two conditions. This may explain why the results did not support hypothesis 2 that CD patients will show higher scores on the QoL subscales (anxiety, depression and self-esteem) than UC patients. It is also important to acknowledge that the Harvey </w:t>
      </w:r>
      <w:r w:rsidR="00B056D6">
        <w:rPr>
          <w:rFonts w:ascii="Times New Roman" w:hAnsi="Times New Roman" w:cs="Times New Roman"/>
          <w:sz w:val="24"/>
          <w:szCs w:val="24"/>
        </w:rPr>
        <w:t>Bradshaw</w:t>
      </w:r>
      <w:r>
        <w:rPr>
          <w:rFonts w:ascii="Times New Roman" w:hAnsi="Times New Roman" w:cs="Times New Roman"/>
          <w:sz w:val="24"/>
          <w:szCs w:val="24"/>
        </w:rPr>
        <w:t xml:space="preserve"> Index can only give an estimate of IBD activity and severity. Definitive activity and severity can only be established by health professionals. Consequently, the reports of disease activity in this study should be interpreted with caution. Further research would benefit from incorporating clinical diagnoses of disease activity to improve the reliability of the results.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The inconsistent findings of the effect of sleep quality on QoL could be due to many factors. Firstly, Anathakrishnan et al (2013) found that 50% of patients in remission also reported poor sleep quality. This could be due to the subclinical inflammation that occurs during remission episodes, resulting in nocturnal bowel movements and abdominal pain that can result in sleep disturbance (Anathakrishnan et al., 2013). Thus, suggesting that those in</w:t>
      </w:r>
      <w:r w:rsidR="00370B2A">
        <w:rPr>
          <w:rFonts w:ascii="Times New Roman" w:hAnsi="Times New Roman" w:cs="Times New Roman"/>
          <w:sz w:val="24"/>
          <w:szCs w:val="24"/>
        </w:rPr>
        <w:t xml:space="preserve"> </w:t>
      </w:r>
      <w:r>
        <w:rPr>
          <w:rFonts w:ascii="Times New Roman" w:hAnsi="Times New Roman" w:cs="Times New Roman"/>
          <w:sz w:val="24"/>
          <w:szCs w:val="24"/>
        </w:rPr>
        <w:t xml:space="preserve">remission and relapse experience poor sleep quality, which could account for the lack of significant differences between disease activity and sleep </w:t>
      </w:r>
      <w:r>
        <w:rPr>
          <w:rFonts w:ascii="Times New Roman" w:hAnsi="Times New Roman" w:cs="Times New Roman"/>
          <w:sz w:val="24"/>
          <w:szCs w:val="24"/>
        </w:rPr>
        <w:lastRenderedPageBreak/>
        <w:t xml:space="preserve">quality found in this study. Furthermore, information regarding the patients’ current medications were not collected prior to the study.  The inclusion of more detailed measures of health care would have strengthened the results of this study. Active disease is commonly treated using pharmaceutical interventions such as narcotics and corticosteroids. A common side effect of these medications is impaired sleep in the form of restlessness and insomnia (Curtis et al., 2006). The researchers also did not collect information regarding possible sleeping aids being used by participants. The patients’ courses of treatment may have been a confounding variable in this study and therefore, may have skewed the results.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Participants self-reported disease activity, psychological health, sleep quality and perceived social support. This may have introduced response bias, meaning the participant may have answered the questions untruthfully or misleadingly </w:t>
      </w:r>
      <w:r w:rsidR="00B056D6">
        <w:rPr>
          <w:rFonts w:ascii="Times New Roman" w:hAnsi="Times New Roman" w:cs="Times New Roman"/>
          <w:sz w:val="24"/>
          <w:szCs w:val="24"/>
        </w:rPr>
        <w:t>to</w:t>
      </w:r>
      <w:r>
        <w:rPr>
          <w:rFonts w:ascii="Times New Roman" w:hAnsi="Times New Roman" w:cs="Times New Roman"/>
          <w:sz w:val="24"/>
          <w:szCs w:val="24"/>
        </w:rPr>
        <w:t xml:space="preserve"> please the researcher and give socially acceptable answers. In addition, individuals may interpret the questions differently. A patient who is familiar with the symptoms of IBD may report a lower rating in severity than an individual who is newly diagnosed and experiencing the same symptoms</w:t>
      </w:r>
      <w:r w:rsidRPr="00FA587C">
        <w:rPr>
          <w:rFonts w:ascii="Times New Roman" w:hAnsi="Times New Roman" w:cs="Times New Roman"/>
          <w:sz w:val="24"/>
          <w:szCs w:val="24"/>
        </w:rPr>
        <w:t xml:space="preserve"> </w:t>
      </w:r>
      <w:r>
        <w:rPr>
          <w:rFonts w:ascii="Times New Roman" w:hAnsi="Times New Roman" w:cs="Times New Roman"/>
          <w:sz w:val="24"/>
          <w:szCs w:val="24"/>
        </w:rPr>
        <w:t>(</w:t>
      </w:r>
      <w:r w:rsidRPr="00BF201E">
        <w:rPr>
          <w:rFonts w:ascii="Times New Roman" w:hAnsi="Times New Roman" w:cs="Times New Roman"/>
          <w:sz w:val="24"/>
          <w:szCs w:val="24"/>
        </w:rPr>
        <w:t>Lonnfors</w:t>
      </w:r>
      <w:r>
        <w:rPr>
          <w:rFonts w:ascii="Times New Roman" w:hAnsi="Times New Roman" w:cs="Times New Roman"/>
          <w:sz w:val="24"/>
          <w:szCs w:val="24"/>
        </w:rPr>
        <w:t xml:space="preserve"> et al., 2014</w:t>
      </w:r>
      <w:r w:rsidRPr="00BF201E">
        <w:rPr>
          <w:rFonts w:ascii="Times New Roman" w:hAnsi="Times New Roman" w:cs="Times New Roman"/>
          <w:sz w:val="24"/>
          <w:szCs w:val="24"/>
        </w:rPr>
        <w:t>)</w:t>
      </w:r>
      <w:r>
        <w:rPr>
          <w:rFonts w:ascii="Times New Roman" w:hAnsi="Times New Roman" w:cs="Times New Roman"/>
          <w:sz w:val="24"/>
          <w:szCs w:val="24"/>
        </w:rPr>
        <w:t>. This confounding variable could have been controlled by asking how long the individual</w:t>
      </w:r>
      <w:r w:rsidR="005B3ED4">
        <w:rPr>
          <w:rFonts w:ascii="Times New Roman" w:hAnsi="Times New Roman" w:cs="Times New Roman"/>
          <w:sz w:val="24"/>
          <w:szCs w:val="24"/>
        </w:rPr>
        <w:t xml:space="preserve"> has</w:t>
      </w:r>
      <w:r>
        <w:rPr>
          <w:rFonts w:ascii="Times New Roman" w:hAnsi="Times New Roman" w:cs="Times New Roman"/>
          <w:sz w:val="24"/>
          <w:szCs w:val="24"/>
        </w:rPr>
        <w:t xml:space="preserve"> </w:t>
      </w:r>
      <w:r w:rsidR="005B3ED4">
        <w:rPr>
          <w:rFonts w:ascii="Times New Roman" w:hAnsi="Times New Roman" w:cs="Times New Roman"/>
          <w:sz w:val="24"/>
          <w:szCs w:val="24"/>
        </w:rPr>
        <w:t>had</w:t>
      </w:r>
      <w:r>
        <w:rPr>
          <w:rFonts w:ascii="Times New Roman" w:hAnsi="Times New Roman" w:cs="Times New Roman"/>
          <w:sz w:val="24"/>
          <w:szCs w:val="24"/>
        </w:rPr>
        <w:t xml:space="preserve"> the diagnosis. Moreover, this study may lack generalisability </w:t>
      </w:r>
      <w:r w:rsidR="00B056D6">
        <w:rPr>
          <w:rFonts w:ascii="Times New Roman" w:hAnsi="Times New Roman" w:cs="Times New Roman"/>
          <w:sz w:val="24"/>
          <w:szCs w:val="24"/>
        </w:rPr>
        <w:t>regarding</w:t>
      </w:r>
      <w:r>
        <w:rPr>
          <w:rFonts w:ascii="Times New Roman" w:hAnsi="Times New Roman" w:cs="Times New Roman"/>
          <w:sz w:val="24"/>
          <w:szCs w:val="24"/>
        </w:rPr>
        <w:t xml:space="preserve"> gender. The sample consisted of 43 males (19.2%) and 180 females (80.4%). </w:t>
      </w:r>
      <w:r w:rsidR="00B056D6">
        <w:rPr>
          <w:rFonts w:ascii="Times New Roman" w:hAnsi="Times New Roman" w:cs="Times New Roman"/>
          <w:sz w:val="24"/>
          <w:szCs w:val="24"/>
        </w:rPr>
        <w:t>Consequently</w:t>
      </w:r>
      <w:r>
        <w:rPr>
          <w:rFonts w:ascii="Times New Roman" w:hAnsi="Times New Roman" w:cs="Times New Roman"/>
          <w:sz w:val="24"/>
          <w:szCs w:val="24"/>
        </w:rPr>
        <w:t>, gender could not be included as a variable and therefore, no gender effects were studied as a part of this study. This may also be due to a response bias, as the questionnaire was posted on an online health forum named “Crohn</w:t>
      </w:r>
      <w:r w:rsidR="00B056D6">
        <w:rPr>
          <w:rFonts w:ascii="Times New Roman" w:hAnsi="Times New Roman" w:cs="Times New Roman"/>
          <w:sz w:val="24"/>
          <w:szCs w:val="24"/>
        </w:rPr>
        <w:t>’</w:t>
      </w:r>
      <w:r>
        <w:rPr>
          <w:rFonts w:ascii="Times New Roman" w:hAnsi="Times New Roman" w:cs="Times New Roman"/>
          <w:sz w:val="24"/>
          <w:szCs w:val="24"/>
        </w:rPr>
        <w:t xml:space="preserve">s and </w:t>
      </w:r>
      <w:r w:rsidR="00B056D6">
        <w:rPr>
          <w:rFonts w:ascii="Times New Roman" w:hAnsi="Times New Roman" w:cs="Times New Roman"/>
          <w:sz w:val="24"/>
          <w:szCs w:val="24"/>
        </w:rPr>
        <w:t>Colitis</w:t>
      </w:r>
      <w:r>
        <w:rPr>
          <w:rFonts w:ascii="Times New Roman" w:hAnsi="Times New Roman" w:cs="Times New Roman"/>
          <w:sz w:val="24"/>
          <w:szCs w:val="24"/>
        </w:rPr>
        <w:t xml:space="preserve"> Support UK” via an online social media platform. Researchers have previously found that although men and women interact with social media sites equally, women are more likely to interact with health forums and support groups than men (Arsenault, Blouin and Guitton., 2016). This explains the increased interest and response rates received from women in comparison to men. However, it would be difficult to recruit a high number of UC and CD patients through other platforms. In contrast, the sample size of this study was appropriate, in exclusion to gender, as it included a generalisable representation of the IBD community</w:t>
      </w:r>
      <w:r w:rsidR="005B3ED4">
        <w:rPr>
          <w:rFonts w:ascii="Times New Roman" w:hAnsi="Times New Roman" w:cs="Times New Roman"/>
          <w:sz w:val="24"/>
          <w:szCs w:val="24"/>
        </w:rPr>
        <w:t>,</w:t>
      </w:r>
      <w:r>
        <w:rPr>
          <w:rFonts w:ascii="Times New Roman" w:hAnsi="Times New Roman" w:cs="Times New Roman"/>
          <w:sz w:val="24"/>
          <w:szCs w:val="24"/>
        </w:rPr>
        <w:t xml:space="preserve"> with similar numbers of CD patients (54.9%) and UC patients (45.1%). As IBD is a relatively rare disease, a sample number of 224 IBD patients with a response rate of 68.1%. Haapamaki (2001) reported that a response rate of over 55% for IBD patients can be considered satisfactory due to the difficulties in recruiting a large </w:t>
      </w:r>
      <w:r>
        <w:rPr>
          <w:rFonts w:ascii="Times New Roman" w:hAnsi="Times New Roman" w:cs="Times New Roman"/>
          <w:sz w:val="24"/>
          <w:szCs w:val="24"/>
        </w:rPr>
        <w:lastRenderedPageBreak/>
        <w:t>volume of a specific population. Although no significant results were found between UC and CD patients, the sample size allowed for the differentiation and comparisons of both</w:t>
      </w:r>
      <w:r w:rsidR="005B3ED4">
        <w:rPr>
          <w:rFonts w:ascii="Times New Roman" w:hAnsi="Times New Roman" w:cs="Times New Roman"/>
          <w:sz w:val="24"/>
          <w:szCs w:val="24"/>
        </w:rPr>
        <w:t xml:space="preserve"> the</w:t>
      </w:r>
      <w:r>
        <w:rPr>
          <w:rFonts w:ascii="Times New Roman" w:hAnsi="Times New Roman" w:cs="Times New Roman"/>
          <w:sz w:val="24"/>
          <w:szCs w:val="24"/>
        </w:rPr>
        <w:t xml:space="preserve"> IBD categories for analyses.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The lack of a control group is also a possible limitation to this study. Individuals with health conditions are more likely to seek medical care for other conditions</w:t>
      </w:r>
      <w:r w:rsidR="005B3ED4">
        <w:rPr>
          <w:rFonts w:ascii="Times New Roman" w:hAnsi="Times New Roman" w:cs="Times New Roman"/>
          <w:sz w:val="24"/>
          <w:szCs w:val="24"/>
        </w:rPr>
        <w:t>,</w:t>
      </w:r>
      <w:r>
        <w:rPr>
          <w:rFonts w:ascii="Times New Roman" w:hAnsi="Times New Roman" w:cs="Times New Roman"/>
          <w:sz w:val="24"/>
          <w:szCs w:val="24"/>
        </w:rPr>
        <w:t xml:space="preserve"> such as anxiety and depression</w:t>
      </w:r>
      <w:r w:rsidR="005B3ED4">
        <w:rPr>
          <w:rFonts w:ascii="Times New Roman" w:hAnsi="Times New Roman" w:cs="Times New Roman"/>
          <w:sz w:val="24"/>
          <w:szCs w:val="24"/>
        </w:rPr>
        <w:t>,</w:t>
      </w:r>
      <w:r>
        <w:rPr>
          <w:rFonts w:ascii="Times New Roman" w:hAnsi="Times New Roman" w:cs="Times New Roman"/>
          <w:sz w:val="24"/>
          <w:szCs w:val="24"/>
        </w:rPr>
        <w:t xml:space="preserve"> more frequently than ‘healthy’ individuals (Henk et al., 1996). This could have inflated the rates of depression and anxiety reported by both CD and UC patients, subsequently reducing the relationship between mental health conditions and IBD. IBD patients may also be documented as being more anxious or depressed than the general population due to their frequent GP visits. Patients may feel more confident reporting psychological distress if they have a confirmed diagnosis, compared to those who may be suffering with anxiety or depression without diagnosis (Sewitch et al., 2001). This could have contributed to the insignificant results found in this study regarding the relationship between depression, anxiety and IBD</w:t>
      </w:r>
      <w:r w:rsidR="005B3ED4">
        <w:rPr>
          <w:rFonts w:ascii="Times New Roman" w:hAnsi="Times New Roman" w:cs="Times New Roman"/>
          <w:sz w:val="24"/>
          <w:szCs w:val="24"/>
        </w:rPr>
        <w:t>,</w:t>
      </w:r>
      <w:r>
        <w:rPr>
          <w:rFonts w:ascii="Times New Roman" w:hAnsi="Times New Roman" w:cs="Times New Roman"/>
          <w:sz w:val="24"/>
          <w:szCs w:val="24"/>
        </w:rPr>
        <w:t xml:space="preserve"> </w:t>
      </w:r>
      <w:r w:rsidR="005B3ED4">
        <w:rPr>
          <w:rFonts w:ascii="Times New Roman" w:hAnsi="Times New Roman" w:cs="Times New Roman"/>
          <w:sz w:val="24"/>
          <w:szCs w:val="24"/>
        </w:rPr>
        <w:t>o</w:t>
      </w:r>
      <w:r>
        <w:rPr>
          <w:rFonts w:ascii="Times New Roman" w:hAnsi="Times New Roman" w:cs="Times New Roman"/>
          <w:sz w:val="24"/>
          <w:szCs w:val="24"/>
        </w:rPr>
        <w:t>ffering an explanation as to why hypothesis 3</w:t>
      </w:r>
      <w:r w:rsidR="005B3ED4">
        <w:rPr>
          <w:rFonts w:ascii="Times New Roman" w:hAnsi="Times New Roman" w:cs="Times New Roman"/>
          <w:sz w:val="24"/>
          <w:szCs w:val="24"/>
        </w:rPr>
        <w:t>- ‘t</w:t>
      </w:r>
      <w:r>
        <w:rPr>
          <w:rFonts w:ascii="Times New Roman" w:hAnsi="Times New Roman" w:cs="Times New Roman"/>
          <w:sz w:val="24"/>
          <w:szCs w:val="24"/>
        </w:rPr>
        <w:t>here will be a relationship between anxiety, depression and self-esteem and IBD activity</w:t>
      </w:r>
      <w:r w:rsidR="005B3ED4">
        <w:rPr>
          <w:rFonts w:ascii="Times New Roman" w:hAnsi="Times New Roman" w:cs="Times New Roman"/>
          <w:sz w:val="24"/>
          <w:szCs w:val="24"/>
        </w:rPr>
        <w:t>’</w:t>
      </w:r>
      <w:r>
        <w:rPr>
          <w:rFonts w:ascii="Times New Roman" w:hAnsi="Times New Roman" w:cs="Times New Roman"/>
          <w:sz w:val="24"/>
          <w:szCs w:val="24"/>
        </w:rPr>
        <w:t xml:space="preserve"> was not supported. Introducing a ‘healthy’ control group would have provided a comparison condition to compare the anxiety and depression rates of IBD</w:t>
      </w:r>
      <w:r w:rsidR="005B3ED4">
        <w:rPr>
          <w:rFonts w:ascii="Times New Roman" w:hAnsi="Times New Roman" w:cs="Times New Roman"/>
          <w:sz w:val="24"/>
          <w:szCs w:val="24"/>
        </w:rPr>
        <w:t xml:space="preserve"> patients</w:t>
      </w:r>
      <w:r>
        <w:rPr>
          <w:rFonts w:ascii="Times New Roman" w:hAnsi="Times New Roman" w:cs="Times New Roman"/>
          <w:sz w:val="24"/>
          <w:szCs w:val="24"/>
        </w:rPr>
        <w:t xml:space="preserve"> to the general population. </w:t>
      </w:r>
    </w:p>
    <w:p w:rsidR="00790E6F" w:rsidRDefault="00370B2A"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Many studies investigating the relationship between IBD activity and QoL recruited their participants via outpatient gastroenterology clinics. Although sampling patients from a clinical setting may seem more valid, it could be a disadvantage. This is due to the patients possessing an increased likelihood of severe disease, leading to a biased sample (Sewitch et al., 2001). Thus, providing justification for the use of online research, as a broad sample of participants can be easily accessed.</w:t>
      </w:r>
      <w:r>
        <w:rPr>
          <w:rFonts w:ascii="Times New Roman" w:hAnsi="Times New Roman" w:cs="Times New Roman"/>
          <w:sz w:val="24"/>
          <w:szCs w:val="24"/>
        </w:rPr>
        <w:t xml:space="preserve"> </w:t>
      </w:r>
      <w:r w:rsidR="00790E6F">
        <w:rPr>
          <w:rFonts w:ascii="Times New Roman" w:hAnsi="Times New Roman" w:cs="Times New Roman"/>
          <w:sz w:val="24"/>
          <w:szCs w:val="24"/>
        </w:rPr>
        <w:t xml:space="preserve">Online questionnaires are one of the most cost-effective quantitative data collection methods. They are also very practical as they can target a high volume of participants that would be difficult to reach in person </w:t>
      </w:r>
      <w:r w:rsidR="00790E6F" w:rsidRPr="005A126E">
        <w:rPr>
          <w:rFonts w:ascii="Times New Roman" w:hAnsi="Times New Roman" w:cs="Times New Roman"/>
          <w:sz w:val="24"/>
          <w:szCs w:val="24"/>
        </w:rPr>
        <w:t>(Garton, Haythornthwaite &amp; Wellman, 1999).</w:t>
      </w:r>
      <w:r w:rsidR="00790E6F">
        <w:rPr>
          <w:rFonts w:ascii="Times New Roman" w:hAnsi="Times New Roman" w:cs="Times New Roman"/>
          <w:sz w:val="24"/>
          <w:szCs w:val="24"/>
        </w:rPr>
        <w:t xml:space="preserve"> Online data collection is also time-effective as the surveys are accessible via mobile, computer and tablet devices. Therefore, participants are more likely to reply within shorter time frames. </w:t>
      </w:r>
      <w:r w:rsidR="00B056D6">
        <w:rPr>
          <w:rFonts w:ascii="Times New Roman" w:hAnsi="Times New Roman" w:cs="Times New Roman"/>
          <w:sz w:val="24"/>
          <w:szCs w:val="24"/>
        </w:rPr>
        <w:t>Since</w:t>
      </w:r>
      <w:r w:rsidR="00790E6F">
        <w:rPr>
          <w:rFonts w:ascii="Times New Roman" w:hAnsi="Times New Roman" w:cs="Times New Roman"/>
          <w:sz w:val="24"/>
          <w:szCs w:val="24"/>
        </w:rPr>
        <w:t xml:space="preserve"> the questionnaires have no time limits, respondents can take their time to complete the questionnaire, leading to increased reliability of the data. Social desirability is also decreased in comparison to other data collection methods (such as interviews)</w:t>
      </w:r>
      <w:r w:rsidR="005B3ED4">
        <w:rPr>
          <w:rFonts w:ascii="Times New Roman" w:hAnsi="Times New Roman" w:cs="Times New Roman"/>
          <w:sz w:val="24"/>
          <w:szCs w:val="24"/>
        </w:rPr>
        <w:t>,</w:t>
      </w:r>
      <w:r w:rsidR="00790E6F">
        <w:rPr>
          <w:rFonts w:ascii="Times New Roman" w:hAnsi="Times New Roman" w:cs="Times New Roman"/>
          <w:sz w:val="24"/>
          <w:szCs w:val="24"/>
        </w:rPr>
        <w:t xml:space="preserve"> as there are no pressures from the researcher leading to increased honesty </w:t>
      </w:r>
      <w:r w:rsidR="00790E6F">
        <w:rPr>
          <w:rFonts w:ascii="Times New Roman" w:hAnsi="Times New Roman" w:cs="Times New Roman"/>
          <w:sz w:val="24"/>
          <w:szCs w:val="24"/>
        </w:rPr>
        <w:lastRenderedPageBreak/>
        <w:t xml:space="preserve">in </w:t>
      </w:r>
      <w:r w:rsidR="00B056D6">
        <w:rPr>
          <w:rFonts w:ascii="Times New Roman" w:hAnsi="Times New Roman" w:cs="Times New Roman"/>
          <w:sz w:val="24"/>
          <w:szCs w:val="24"/>
        </w:rPr>
        <w:t>responses</w:t>
      </w:r>
      <w:r w:rsidR="00790E6F">
        <w:rPr>
          <w:rFonts w:ascii="Times New Roman" w:hAnsi="Times New Roman" w:cs="Times New Roman"/>
          <w:sz w:val="24"/>
          <w:szCs w:val="24"/>
        </w:rPr>
        <w:t>. However, the questionnaire contained a total of 59 questions. Research has outlined that longer questionnaires lead to lower response rates (Galesic &amp; Bosnjak, 2009). Participant fatigue could have affected the validity of the data collected as participants are more likely to skim through questions during a long questionnaire, leading to decreased reliability (Galesic &amp; Bosnjak, 2009). Galesic &amp; Bosnjak (2009) state that questionnaires over 30 minutes significantly increase the risk of participant fatigue</w:t>
      </w:r>
      <w:r w:rsidR="002E5404">
        <w:rPr>
          <w:rFonts w:ascii="Times New Roman" w:hAnsi="Times New Roman" w:cs="Times New Roman"/>
          <w:sz w:val="24"/>
          <w:szCs w:val="24"/>
        </w:rPr>
        <w:t>. H</w:t>
      </w:r>
      <w:r w:rsidR="00790E6F">
        <w:rPr>
          <w:rFonts w:ascii="Times New Roman" w:hAnsi="Times New Roman" w:cs="Times New Roman"/>
          <w:sz w:val="24"/>
          <w:szCs w:val="24"/>
        </w:rPr>
        <w:t>owever, the time taken to complete the</w:t>
      </w:r>
      <w:r w:rsidR="002E5404">
        <w:rPr>
          <w:rFonts w:ascii="Times New Roman" w:hAnsi="Times New Roman" w:cs="Times New Roman"/>
          <w:sz w:val="24"/>
          <w:szCs w:val="24"/>
        </w:rPr>
        <w:t xml:space="preserve"> questionnaire</w:t>
      </w:r>
      <w:r w:rsidR="00790E6F">
        <w:rPr>
          <w:rFonts w:ascii="Times New Roman" w:hAnsi="Times New Roman" w:cs="Times New Roman"/>
          <w:sz w:val="24"/>
          <w:szCs w:val="24"/>
        </w:rPr>
        <w:t xml:space="preserve"> was approximately 20 minutes</w:t>
      </w:r>
      <w:r w:rsidR="002E5404">
        <w:rPr>
          <w:rFonts w:ascii="Times New Roman" w:hAnsi="Times New Roman" w:cs="Times New Roman"/>
          <w:sz w:val="24"/>
          <w:szCs w:val="24"/>
        </w:rPr>
        <w:t>,</w:t>
      </w:r>
      <w:r w:rsidR="00790E6F">
        <w:rPr>
          <w:rFonts w:ascii="Times New Roman" w:hAnsi="Times New Roman" w:cs="Times New Roman"/>
          <w:sz w:val="24"/>
          <w:szCs w:val="24"/>
        </w:rPr>
        <w:t xml:space="preserve"> therefore</w:t>
      </w:r>
      <w:r w:rsidR="002E5404">
        <w:rPr>
          <w:rFonts w:ascii="Times New Roman" w:hAnsi="Times New Roman" w:cs="Times New Roman"/>
          <w:sz w:val="24"/>
          <w:szCs w:val="24"/>
        </w:rPr>
        <w:t xml:space="preserve"> </w:t>
      </w:r>
      <w:r w:rsidR="00790E6F">
        <w:rPr>
          <w:rFonts w:ascii="Times New Roman" w:hAnsi="Times New Roman" w:cs="Times New Roman"/>
          <w:sz w:val="24"/>
          <w:szCs w:val="24"/>
        </w:rPr>
        <w:t xml:space="preserve">the risk of participant fatigue was relatively low in comparison to prior research.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The multiple regression analyses found a significant effect of social support on IBD severity. Observations of the means for perceived social support show that individuals with high perceived social support report increased self-esteem scores</w:t>
      </w:r>
      <w:r w:rsidR="002E5404">
        <w:rPr>
          <w:rFonts w:ascii="Times New Roman" w:hAnsi="Times New Roman" w:cs="Times New Roman"/>
          <w:sz w:val="24"/>
          <w:szCs w:val="24"/>
        </w:rPr>
        <w:t>,</w:t>
      </w:r>
      <w:r>
        <w:rPr>
          <w:rFonts w:ascii="Times New Roman" w:hAnsi="Times New Roman" w:cs="Times New Roman"/>
          <w:sz w:val="24"/>
          <w:szCs w:val="24"/>
        </w:rPr>
        <w:t xml:space="preserve"> compared to those with low perceived social support</w:t>
      </w:r>
      <w:r w:rsidR="002E5404">
        <w:rPr>
          <w:rFonts w:ascii="Times New Roman" w:hAnsi="Times New Roman" w:cs="Times New Roman"/>
          <w:sz w:val="24"/>
          <w:szCs w:val="24"/>
        </w:rPr>
        <w:t>, w</w:t>
      </w:r>
      <w:r>
        <w:rPr>
          <w:rFonts w:ascii="Times New Roman" w:hAnsi="Times New Roman" w:cs="Times New Roman"/>
          <w:sz w:val="24"/>
          <w:szCs w:val="24"/>
        </w:rPr>
        <w:t xml:space="preserve">ith the main differences observed between remission and severe disease. This may be due to individuals in relapse possessing a higher need for support </w:t>
      </w:r>
      <w:r w:rsidR="00B056D6">
        <w:rPr>
          <w:rFonts w:ascii="Times New Roman" w:hAnsi="Times New Roman" w:cs="Times New Roman"/>
          <w:sz w:val="24"/>
          <w:szCs w:val="24"/>
        </w:rPr>
        <w:t>to</w:t>
      </w:r>
      <w:r>
        <w:rPr>
          <w:rFonts w:ascii="Times New Roman" w:hAnsi="Times New Roman" w:cs="Times New Roman"/>
          <w:sz w:val="24"/>
          <w:szCs w:val="24"/>
        </w:rPr>
        <w:t xml:space="preserve"> cope with the symptoms and adverse health consequences that are associated with periods of severe disease activity. This supports Sewitch et al (2001) and Rogala et al’s (2008) findings that IBD patients have higher levels of perceived social support than the general population. The results support the notion that IBD patients use their social support networks as coping methods to adjust to the disease (Sewitch et al, 2001). This study also found that increased levels of perceived social support increases self-esteem scores. These findings could offer justification to the use of social interventions for the maintenance of remission periods and the reduction of relapse episodes in IBD patients. Interventions and strategies aimed at improving an individual’s social support networks may improve a patient’s </w:t>
      </w:r>
      <w:r w:rsidR="002E5404">
        <w:rPr>
          <w:rFonts w:ascii="Times New Roman" w:hAnsi="Times New Roman" w:cs="Times New Roman"/>
          <w:sz w:val="24"/>
          <w:szCs w:val="24"/>
        </w:rPr>
        <w:t>QoL</w:t>
      </w:r>
      <w:r>
        <w:rPr>
          <w:rFonts w:ascii="Times New Roman" w:hAnsi="Times New Roman" w:cs="Times New Roman"/>
          <w:sz w:val="24"/>
          <w:szCs w:val="24"/>
        </w:rPr>
        <w:t xml:space="preserve"> and disease activity in a less invasive manner than that of medication and surgery (Berkman, 1995).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adds to the controversial subject as to whether anxiety and depression </w:t>
      </w:r>
      <w:r w:rsidR="00B056D6">
        <w:rPr>
          <w:rFonts w:ascii="Times New Roman" w:hAnsi="Times New Roman" w:cs="Times New Roman"/>
          <w:sz w:val="24"/>
          <w:szCs w:val="24"/>
        </w:rPr>
        <w:t>influence</w:t>
      </w:r>
      <w:r>
        <w:rPr>
          <w:rFonts w:ascii="Times New Roman" w:hAnsi="Times New Roman" w:cs="Times New Roman"/>
          <w:sz w:val="24"/>
          <w:szCs w:val="24"/>
        </w:rPr>
        <w:t xml:space="preserve"> IBD activity. Many studies have found a significant relationship between mental health issues and IBD activity</w:t>
      </w:r>
      <w:r w:rsidR="002E5404">
        <w:rPr>
          <w:rFonts w:ascii="Times New Roman" w:hAnsi="Times New Roman" w:cs="Times New Roman"/>
          <w:sz w:val="24"/>
          <w:szCs w:val="24"/>
        </w:rPr>
        <w:t>,</w:t>
      </w:r>
      <w:r>
        <w:rPr>
          <w:rFonts w:ascii="Times New Roman" w:hAnsi="Times New Roman" w:cs="Times New Roman"/>
          <w:sz w:val="24"/>
          <w:szCs w:val="24"/>
        </w:rPr>
        <w:t xml:space="preserve"> whereas others have found no significant relationship (Mikocka-Walus et al, 2008). This study was unable to determine whether anxiety and depression were present before diagnosis</w:t>
      </w:r>
      <w:r w:rsidR="002E5404">
        <w:rPr>
          <w:rFonts w:ascii="Times New Roman" w:hAnsi="Times New Roman" w:cs="Times New Roman"/>
          <w:sz w:val="24"/>
          <w:szCs w:val="24"/>
        </w:rPr>
        <w:t>,</w:t>
      </w:r>
      <w:r>
        <w:rPr>
          <w:rFonts w:ascii="Times New Roman" w:hAnsi="Times New Roman" w:cs="Times New Roman"/>
          <w:sz w:val="24"/>
          <w:szCs w:val="24"/>
        </w:rPr>
        <w:t xml:space="preserve"> or whether they developed post diagnosis as no pre-test screening was conducted. Kurina et al (2001) state that IBD patients should be thoroughly screened for pre-existing mental health disorders. Had </w:t>
      </w:r>
      <w:r>
        <w:rPr>
          <w:rFonts w:ascii="Times New Roman" w:hAnsi="Times New Roman" w:cs="Times New Roman"/>
          <w:sz w:val="24"/>
          <w:szCs w:val="24"/>
        </w:rPr>
        <w:lastRenderedPageBreak/>
        <w:t xml:space="preserve">the researcher screened participants for pre-existing anxiety or depression diagnoses, these conclusions could have been drawn. This may offer an explanation as to why no significant findings occurred regarding anxiety and depression. However, Kurina et al (2001) also stated that there is no empirical evidence to suggest whether treatment of depression and anxiety in IBD patients reduces symptoms and frequencies of relapse. Therefore, further research could investigate the use of psychotherapy in the treatment of IBD to explore whether this would be a beneficial area of treatment. </w:t>
      </w:r>
    </w:p>
    <w:p w:rsidR="00790E6F" w:rsidRDefault="00790E6F" w:rsidP="00790E6F">
      <w:pPr>
        <w:spacing w:line="360" w:lineRule="auto"/>
        <w:jc w:val="both"/>
        <w:rPr>
          <w:rFonts w:ascii="Times New Roman" w:hAnsi="Times New Roman" w:cs="Times New Roman"/>
          <w:sz w:val="24"/>
          <w:szCs w:val="24"/>
        </w:rPr>
      </w:pPr>
      <w:r w:rsidRPr="00FF5051">
        <w:rPr>
          <w:rFonts w:ascii="Times New Roman" w:hAnsi="Times New Roman" w:cs="Times New Roman"/>
          <w:sz w:val="24"/>
          <w:szCs w:val="24"/>
        </w:rPr>
        <w:t xml:space="preserve">The outcome of this study may </w:t>
      </w:r>
      <w:r w:rsidR="00B056D6" w:rsidRPr="00FF5051">
        <w:rPr>
          <w:rFonts w:ascii="Times New Roman" w:hAnsi="Times New Roman" w:cs="Times New Roman"/>
          <w:sz w:val="24"/>
          <w:szCs w:val="24"/>
        </w:rPr>
        <w:t>aid</w:t>
      </w:r>
      <w:r w:rsidRPr="00FF5051">
        <w:rPr>
          <w:rFonts w:ascii="Times New Roman" w:hAnsi="Times New Roman" w:cs="Times New Roman"/>
          <w:sz w:val="24"/>
          <w:szCs w:val="24"/>
        </w:rPr>
        <w:t xml:space="preserve"> medical professionals in the identification of patients who require additional support.</w:t>
      </w:r>
      <w:r>
        <w:rPr>
          <w:rFonts w:ascii="Times New Roman" w:hAnsi="Times New Roman" w:cs="Times New Roman"/>
          <w:sz w:val="24"/>
          <w:szCs w:val="24"/>
        </w:rPr>
        <w:t xml:space="preserve"> Disease activity was found to significantly </w:t>
      </w:r>
      <w:r w:rsidR="002E5404">
        <w:rPr>
          <w:rFonts w:ascii="Times New Roman" w:hAnsi="Times New Roman" w:cs="Times New Roman"/>
          <w:sz w:val="24"/>
          <w:szCs w:val="24"/>
        </w:rPr>
        <w:t>a</w:t>
      </w:r>
      <w:r>
        <w:rPr>
          <w:rFonts w:ascii="Times New Roman" w:hAnsi="Times New Roman" w:cs="Times New Roman"/>
          <w:sz w:val="24"/>
          <w:szCs w:val="24"/>
        </w:rPr>
        <w:t>ffect an individual’s self-esteem. Therefore, it can be assumed that if self-esteem is increased, disease relapse episodes will decrease. Cognitive behavioural therapy</w:t>
      </w:r>
      <w:r w:rsidR="002E5404">
        <w:rPr>
          <w:rFonts w:ascii="Times New Roman" w:hAnsi="Times New Roman" w:cs="Times New Roman"/>
          <w:sz w:val="24"/>
          <w:szCs w:val="24"/>
        </w:rPr>
        <w:t xml:space="preserve"> (CBT)</w:t>
      </w:r>
      <w:r>
        <w:rPr>
          <w:rFonts w:ascii="Times New Roman" w:hAnsi="Times New Roman" w:cs="Times New Roman"/>
          <w:sz w:val="24"/>
          <w:szCs w:val="24"/>
        </w:rPr>
        <w:t xml:space="preserve"> may be an appropriate form of treatment for IBD patients. The development of a CBT intervention focussing specifically on disease-specific characteristics and developing coping mechanisms for the disease could aid in the decrease of relapse episodes by increasing self-esteem and disease awareness. This study contributes to the previous research that self-esteem plays an important part in IBD activity. Identifying individuals with low self-esteem levels may aid health professionals in monitoring these patients and improving their self-esteem levels </w:t>
      </w:r>
      <w:r w:rsidR="00B056D6">
        <w:rPr>
          <w:rFonts w:ascii="Times New Roman" w:hAnsi="Times New Roman" w:cs="Times New Roman"/>
          <w:sz w:val="24"/>
          <w:szCs w:val="24"/>
        </w:rPr>
        <w:t>through</w:t>
      </w:r>
      <w:r>
        <w:rPr>
          <w:rFonts w:ascii="Times New Roman" w:hAnsi="Times New Roman" w:cs="Times New Roman"/>
          <w:sz w:val="24"/>
          <w:szCs w:val="24"/>
        </w:rPr>
        <w:t xml:space="preserve"> therapeutic interventions </w:t>
      </w:r>
      <w:r w:rsidR="00B056D6">
        <w:rPr>
          <w:rFonts w:ascii="Times New Roman" w:hAnsi="Times New Roman" w:cs="Times New Roman"/>
          <w:sz w:val="24"/>
          <w:szCs w:val="24"/>
        </w:rPr>
        <w:t>to</w:t>
      </w:r>
      <w:r>
        <w:rPr>
          <w:rFonts w:ascii="Times New Roman" w:hAnsi="Times New Roman" w:cs="Times New Roman"/>
          <w:sz w:val="24"/>
          <w:szCs w:val="24"/>
        </w:rPr>
        <w:t xml:space="preserve"> decrease the frequencies of relapse and maintain remission episodes.  </w:t>
      </w:r>
    </w:p>
    <w:p w:rsidR="00790E6F" w:rsidRDefault="00790E6F" w:rsidP="00790E6F">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identified a negative effect of sleep quality on QoL. Many studies have found that poor sleep quality increases the frequenc</w:t>
      </w:r>
      <w:r w:rsidR="002E5404">
        <w:rPr>
          <w:rFonts w:ascii="Times New Roman" w:hAnsi="Times New Roman" w:cs="Times New Roman"/>
          <w:sz w:val="24"/>
          <w:szCs w:val="24"/>
        </w:rPr>
        <w:t>y</w:t>
      </w:r>
      <w:r>
        <w:rPr>
          <w:rFonts w:ascii="Times New Roman" w:hAnsi="Times New Roman" w:cs="Times New Roman"/>
          <w:sz w:val="24"/>
          <w:szCs w:val="24"/>
        </w:rPr>
        <w:t xml:space="preserve"> of disease flares (Anathakrishnan et al., 2013; Ranjbaran et al., 2006). Further research is needed to understand the mechanisms behind this relationship </w:t>
      </w:r>
      <w:r w:rsidR="00B056D6">
        <w:rPr>
          <w:rFonts w:ascii="Times New Roman" w:hAnsi="Times New Roman" w:cs="Times New Roman"/>
          <w:sz w:val="24"/>
          <w:szCs w:val="24"/>
        </w:rPr>
        <w:t>to</w:t>
      </w:r>
      <w:r>
        <w:rPr>
          <w:rFonts w:ascii="Times New Roman" w:hAnsi="Times New Roman" w:cs="Times New Roman"/>
          <w:sz w:val="24"/>
          <w:szCs w:val="24"/>
        </w:rPr>
        <w:t xml:space="preserve"> determine the potential benefits of improved sleep on IBD. Future research could highlight the possible advantages of intervention-based studies focussed on improving sleep quality in IBD patients, which may consequently reduce the frequencies of relapse and in turn increase QoL. Despite the numerous studies outlining the relationship between anxiety, depression and IBD, there are limited studies that incorporate a generalisable number of control participants. Future research could investigate this further </w:t>
      </w:r>
      <w:r w:rsidR="00B056D6">
        <w:rPr>
          <w:rFonts w:ascii="Times New Roman" w:hAnsi="Times New Roman" w:cs="Times New Roman"/>
          <w:sz w:val="24"/>
          <w:szCs w:val="24"/>
        </w:rPr>
        <w:t>to</w:t>
      </w:r>
      <w:r>
        <w:rPr>
          <w:rFonts w:ascii="Times New Roman" w:hAnsi="Times New Roman" w:cs="Times New Roman"/>
          <w:sz w:val="24"/>
          <w:szCs w:val="24"/>
        </w:rPr>
        <w:t xml:space="preserve"> determine the strength of this relationship</w:t>
      </w:r>
      <w:r w:rsidR="002E5404">
        <w:rPr>
          <w:rFonts w:ascii="Times New Roman" w:hAnsi="Times New Roman" w:cs="Times New Roman"/>
          <w:sz w:val="24"/>
          <w:szCs w:val="24"/>
        </w:rPr>
        <w:t xml:space="preserve">. If </w:t>
      </w:r>
      <w:r>
        <w:rPr>
          <w:rFonts w:ascii="Times New Roman" w:hAnsi="Times New Roman" w:cs="Times New Roman"/>
          <w:sz w:val="24"/>
          <w:szCs w:val="24"/>
        </w:rPr>
        <w:t>anxiety and depression are more prevalent in IBD patients</w:t>
      </w:r>
      <w:r w:rsidR="002E5404">
        <w:rPr>
          <w:rFonts w:ascii="Times New Roman" w:hAnsi="Times New Roman" w:cs="Times New Roman"/>
          <w:sz w:val="24"/>
          <w:szCs w:val="24"/>
        </w:rPr>
        <w:t>, f</w:t>
      </w:r>
      <w:r>
        <w:rPr>
          <w:rFonts w:ascii="Times New Roman" w:hAnsi="Times New Roman" w:cs="Times New Roman"/>
          <w:sz w:val="24"/>
          <w:szCs w:val="24"/>
        </w:rPr>
        <w:t xml:space="preserve">uture research could investigate the relationship between anxiety, depression and IBD in a longitudinal study. This would be beneficial due to the regular fluctuations in moods </w:t>
      </w:r>
      <w:r w:rsidR="00B056D6">
        <w:rPr>
          <w:rFonts w:ascii="Times New Roman" w:hAnsi="Times New Roman" w:cs="Times New Roman"/>
          <w:sz w:val="24"/>
          <w:szCs w:val="24"/>
        </w:rPr>
        <w:t>daily</w:t>
      </w:r>
      <w:r>
        <w:rPr>
          <w:rFonts w:ascii="Times New Roman" w:hAnsi="Times New Roman" w:cs="Times New Roman"/>
          <w:sz w:val="24"/>
          <w:szCs w:val="24"/>
        </w:rPr>
        <w:t>, resulting in mood-</w:t>
      </w:r>
      <w:r>
        <w:rPr>
          <w:rFonts w:ascii="Times New Roman" w:hAnsi="Times New Roman" w:cs="Times New Roman"/>
          <w:sz w:val="24"/>
          <w:szCs w:val="24"/>
        </w:rPr>
        <w:lastRenderedPageBreak/>
        <w:t xml:space="preserve">congruent bias. This would aid in the differentiation between mood swings and depressive symptoms in participants. </w:t>
      </w:r>
    </w:p>
    <w:p w:rsidR="00790E6F" w:rsidRPr="00790E6F" w:rsidRDefault="00790E6F" w:rsidP="00790E6F">
      <w:pPr>
        <w:pStyle w:val="Heading2"/>
        <w:spacing w:line="360" w:lineRule="auto"/>
        <w:jc w:val="both"/>
        <w:rPr>
          <w:rFonts w:ascii="Times New Roman" w:hAnsi="Times New Roman" w:cs="Times New Roman"/>
        </w:rPr>
      </w:pPr>
      <w:r>
        <w:br/>
      </w:r>
      <w:r w:rsidRPr="00790E6F">
        <w:rPr>
          <w:rFonts w:ascii="Times New Roman" w:hAnsi="Times New Roman" w:cs="Times New Roman"/>
        </w:rPr>
        <w:t>Conclusions</w:t>
      </w:r>
      <w:r>
        <w:rPr>
          <w:rFonts w:ascii="Times New Roman" w:hAnsi="Times New Roman" w:cs="Times New Roman"/>
        </w:rPr>
        <w:br/>
      </w:r>
    </w:p>
    <w:p w:rsidR="00790E6F" w:rsidRPr="00B66915" w:rsidRDefault="00790E6F" w:rsidP="00790E6F">
      <w:pPr>
        <w:spacing w:line="360" w:lineRule="auto"/>
        <w:jc w:val="both"/>
        <w:rPr>
          <w:rFonts w:ascii="Times New Roman" w:hAnsi="Times New Roman" w:cs="Times New Roman"/>
          <w:sz w:val="24"/>
          <w:szCs w:val="24"/>
        </w:rPr>
      </w:pPr>
      <w:r w:rsidRPr="00EA07F2">
        <w:rPr>
          <w:rFonts w:ascii="Times New Roman" w:hAnsi="Times New Roman" w:cs="Times New Roman"/>
          <w:sz w:val="24"/>
          <w:szCs w:val="24"/>
        </w:rPr>
        <w:t>IBD is a chronic disease that is characterised by relapse and remission episodes. It is common for patients to experience low QoL, decreased self-esteem and high perceived social support.</w:t>
      </w:r>
      <w:r>
        <w:rPr>
          <w:rFonts w:ascii="Times New Roman" w:hAnsi="Times New Roman" w:cs="Times New Roman"/>
          <w:sz w:val="24"/>
          <w:szCs w:val="24"/>
        </w:rPr>
        <w:t xml:space="preserve"> This study of the relationship between IBD and QoL, social support and sleep quality has supported various aspects of the broad research surrounding the subject. The results of this study supported previous research that perceived social support </w:t>
      </w:r>
      <w:r w:rsidR="00B056D6">
        <w:rPr>
          <w:rFonts w:ascii="Times New Roman" w:hAnsi="Times New Roman" w:cs="Times New Roman"/>
          <w:sz w:val="24"/>
          <w:szCs w:val="24"/>
        </w:rPr>
        <w:t>influences</w:t>
      </w:r>
      <w:r>
        <w:rPr>
          <w:rFonts w:ascii="Times New Roman" w:hAnsi="Times New Roman" w:cs="Times New Roman"/>
          <w:sz w:val="24"/>
          <w:szCs w:val="24"/>
        </w:rPr>
        <w:t xml:space="preserve"> disease activity, suggesting that those with higher levels of perceived social support will experience less frequent relapse episodes. The study also found a significant effect of disease severity on self-esteem. These findings suggest that psychosocial strategies focussing on the improvement of perceived social support and levels of self-esteem can have a positive effect on an individuals’ </w:t>
      </w:r>
      <w:r w:rsidR="002E02AA">
        <w:rPr>
          <w:rFonts w:ascii="Times New Roman" w:hAnsi="Times New Roman" w:cs="Times New Roman"/>
          <w:sz w:val="24"/>
          <w:szCs w:val="24"/>
        </w:rPr>
        <w:t xml:space="preserve">disease activity </w:t>
      </w:r>
      <w:r>
        <w:rPr>
          <w:rFonts w:ascii="Times New Roman" w:hAnsi="Times New Roman" w:cs="Times New Roman"/>
          <w:sz w:val="24"/>
          <w:szCs w:val="24"/>
        </w:rPr>
        <w:t>and QoL</w:t>
      </w:r>
      <w:r w:rsidR="002E02AA">
        <w:rPr>
          <w:rFonts w:ascii="Times New Roman" w:hAnsi="Times New Roman" w:cs="Times New Roman"/>
          <w:sz w:val="24"/>
          <w:szCs w:val="24"/>
        </w:rPr>
        <w:t>, co</w:t>
      </w:r>
      <w:r>
        <w:rPr>
          <w:rFonts w:ascii="Times New Roman" w:hAnsi="Times New Roman" w:cs="Times New Roman"/>
          <w:sz w:val="24"/>
          <w:szCs w:val="24"/>
        </w:rPr>
        <w:t>nsequently decreasing the frequenc</w:t>
      </w:r>
      <w:r w:rsidR="002E02AA">
        <w:rPr>
          <w:rFonts w:ascii="Times New Roman" w:hAnsi="Times New Roman" w:cs="Times New Roman"/>
          <w:sz w:val="24"/>
          <w:szCs w:val="24"/>
        </w:rPr>
        <w:t>y</w:t>
      </w:r>
      <w:r>
        <w:rPr>
          <w:rFonts w:ascii="Times New Roman" w:hAnsi="Times New Roman" w:cs="Times New Roman"/>
          <w:sz w:val="24"/>
          <w:szCs w:val="24"/>
        </w:rPr>
        <w:t xml:space="preserve"> of relapse episodes and aiding the maintenance of remission periods. </w:t>
      </w:r>
    </w:p>
    <w:p w:rsidR="00790E6F" w:rsidRDefault="00790E6F"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2E02AA" w:rsidRDefault="002E02AA" w:rsidP="00790E6F">
      <w:pPr>
        <w:spacing w:line="360" w:lineRule="auto"/>
        <w:jc w:val="both"/>
        <w:rPr>
          <w:rFonts w:ascii="Times New Roman" w:hAnsi="Times New Roman" w:cs="Times New Roman"/>
          <w:sz w:val="24"/>
          <w:szCs w:val="24"/>
        </w:rPr>
      </w:pPr>
    </w:p>
    <w:p w:rsidR="002E02AA" w:rsidRDefault="002E02AA" w:rsidP="00790E6F">
      <w:pPr>
        <w:spacing w:line="360" w:lineRule="auto"/>
        <w:jc w:val="both"/>
        <w:rPr>
          <w:rFonts w:ascii="Times New Roman" w:hAnsi="Times New Roman" w:cs="Times New Roman"/>
          <w:sz w:val="24"/>
          <w:szCs w:val="24"/>
        </w:rPr>
      </w:pPr>
    </w:p>
    <w:p w:rsidR="002E02AA" w:rsidRDefault="002E02AA" w:rsidP="00790E6F">
      <w:pPr>
        <w:spacing w:line="360" w:lineRule="auto"/>
        <w:jc w:val="both"/>
        <w:rPr>
          <w:rFonts w:ascii="Times New Roman" w:hAnsi="Times New Roman" w:cs="Times New Roman"/>
          <w:sz w:val="24"/>
          <w:szCs w:val="24"/>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DE20C9" w:rsidRPr="00B02B9E" w:rsidTr="00FB5194">
        <w:tc>
          <w:tcPr>
            <w:tcW w:w="0" w:type="auto"/>
            <w:shd w:val="clear" w:color="auto" w:fill="FFFFFF"/>
            <w:vAlign w:val="center"/>
            <w:hideMark/>
          </w:tcPr>
          <w:p w:rsidR="00DE20C9" w:rsidRPr="00DE20C9" w:rsidRDefault="00DE20C9" w:rsidP="00DE20C9">
            <w:pPr>
              <w:pStyle w:val="Heading2"/>
              <w:rPr>
                <w:rFonts w:ascii="Times New Roman" w:eastAsia="Times New Roman" w:hAnsi="Times New Roman" w:cs="Times New Roman"/>
                <w:lang w:eastAsia="en-GB"/>
              </w:rPr>
            </w:pPr>
            <w:bookmarkStart w:id="3" w:name="_Hlk509798418"/>
            <w:r w:rsidRPr="00DE20C9">
              <w:rPr>
                <w:rFonts w:ascii="Times New Roman" w:eastAsia="Times New Roman" w:hAnsi="Times New Roman" w:cs="Times New Roman"/>
                <w:lang w:eastAsia="en-GB"/>
              </w:rPr>
              <w:lastRenderedPageBreak/>
              <w:t>References</w:t>
            </w:r>
          </w:p>
        </w:tc>
      </w:tr>
      <w:tr w:rsidR="00DE20C9" w:rsidRPr="00B02B9E" w:rsidTr="00FB5194">
        <w:tc>
          <w:tcPr>
            <w:tcW w:w="0" w:type="auto"/>
            <w:shd w:val="clear" w:color="auto" w:fill="FFFFFF"/>
            <w:tcMar>
              <w:top w:w="120" w:type="dxa"/>
              <w:left w:w="0" w:type="dxa"/>
              <w:bottom w:w="120" w:type="dxa"/>
              <w:right w:w="0" w:type="dxa"/>
            </w:tcMar>
            <w:hideMark/>
          </w:tcPr>
          <w:p w:rsidR="00DE20C9" w:rsidRPr="00A774A2" w:rsidRDefault="00DE20C9" w:rsidP="00FB5194">
            <w:pPr>
              <w:spacing w:after="0" w:line="240" w:lineRule="auto"/>
              <w:rPr>
                <w:rFonts w:ascii="Arial" w:eastAsia="Times New Roman" w:hAnsi="Arial" w:cs="Arial"/>
                <w:color w:val="222222"/>
                <w:sz w:val="20"/>
                <w:szCs w:val="20"/>
                <w:lang w:eastAsia="en-GB"/>
              </w:rPr>
            </w:pPr>
          </w:p>
        </w:tc>
      </w:tr>
    </w:tbl>
    <w:bookmarkEnd w:id="3"/>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About Inflammatory Bowel Disease | Crohn's &amp; Colitis UK</w:t>
      </w:r>
      <w:r w:rsidRPr="0019768D">
        <w:rPr>
          <w:rFonts w:ascii="Times New Roman" w:hAnsi="Times New Roman" w:cs="Times New Roman"/>
          <w:sz w:val="24"/>
          <w:szCs w:val="24"/>
        </w:rPr>
        <w:t>. (2016).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Addolorato, G., Capristo, E., Stefanini, G. F., &amp; Gasbarrini, G. (1997). Inflammatory bowel disease: a study of the association between anxiety and depression, physical morbidity, and nutritional status. </w:t>
      </w:r>
      <w:r w:rsidRPr="0019768D">
        <w:rPr>
          <w:rFonts w:ascii="Times New Roman" w:hAnsi="Times New Roman" w:cs="Times New Roman"/>
          <w:i/>
          <w:iCs/>
          <w:sz w:val="24"/>
          <w:szCs w:val="24"/>
          <w:shd w:val="clear" w:color="auto" w:fill="FFFFFF"/>
        </w:rPr>
        <w:t>Scandinavian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32</w:t>
      </w:r>
      <w:r w:rsidRPr="0019768D">
        <w:rPr>
          <w:rFonts w:ascii="Times New Roman" w:hAnsi="Times New Roman" w:cs="Times New Roman"/>
          <w:sz w:val="24"/>
          <w:szCs w:val="24"/>
          <w:shd w:val="clear" w:color="auto" w:fill="FFFFFF"/>
        </w:rPr>
        <w:t>(10), 1013-1021.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Ali, T., Madhoun, M. F., Orr, W. C., &amp; Rubin, D. T. (2013). Assessment of the relationship between quality of sleep and disease activity in inflammatory bowel disease patients.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19</w:t>
      </w:r>
      <w:r w:rsidRPr="0019768D">
        <w:rPr>
          <w:rFonts w:ascii="Times New Roman" w:hAnsi="Times New Roman" w:cs="Times New Roman"/>
          <w:sz w:val="24"/>
          <w:szCs w:val="24"/>
          <w:shd w:val="clear" w:color="auto" w:fill="FFFFFF"/>
        </w:rPr>
        <w:t>(11), 2440-2443.</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Alvarez, G. G., &amp; Ayas, N. T. (2004). The impact of daily sleep duration on health: a review of the literature. </w:t>
      </w:r>
      <w:r w:rsidRPr="0019768D">
        <w:rPr>
          <w:rFonts w:ascii="Times New Roman" w:hAnsi="Times New Roman" w:cs="Times New Roman"/>
          <w:i/>
          <w:iCs/>
          <w:sz w:val="24"/>
          <w:szCs w:val="24"/>
          <w:shd w:val="clear" w:color="auto" w:fill="FFFFFF"/>
        </w:rPr>
        <w:t>Progress in cardiovascular nursing</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19</w:t>
      </w:r>
      <w:r w:rsidRPr="0019768D">
        <w:rPr>
          <w:rFonts w:ascii="Times New Roman" w:hAnsi="Times New Roman" w:cs="Times New Roman"/>
          <w:sz w:val="24"/>
          <w:szCs w:val="24"/>
          <w:shd w:val="clear" w:color="auto" w:fill="FFFFFF"/>
        </w:rPr>
        <w:t>(2), 56-59.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American Psychiatric Association. (2013). </w:t>
      </w:r>
      <w:r w:rsidRPr="0019768D">
        <w:rPr>
          <w:rFonts w:ascii="Times New Roman" w:hAnsi="Times New Roman" w:cs="Times New Roman"/>
          <w:i/>
          <w:iCs/>
          <w:sz w:val="24"/>
          <w:szCs w:val="24"/>
          <w:shd w:val="clear" w:color="auto" w:fill="FFFFFF"/>
        </w:rPr>
        <w:t>Diagnostic and statistical manual of mental disorders (DSM-5®)</w:t>
      </w:r>
      <w:r w:rsidRPr="0019768D">
        <w:rPr>
          <w:rFonts w:ascii="Times New Roman" w:hAnsi="Times New Roman" w:cs="Times New Roman"/>
          <w:sz w:val="24"/>
          <w:szCs w:val="24"/>
          <w:shd w:val="clear" w:color="auto" w:fill="FFFFFF"/>
        </w:rPr>
        <w:t>. American Psychiatric Pub.</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Ananthakrishnan, A. N., Long, M. D., Martin, C. F., Sandler, R. S., &amp; Kappelman, M. D. (2013). Sleep disturbance and risk of active disease in patients with Crohn's disease and ulcerative colitis. </w:t>
      </w:r>
      <w:r w:rsidRPr="0019768D">
        <w:rPr>
          <w:rFonts w:ascii="Times New Roman" w:hAnsi="Times New Roman" w:cs="Times New Roman"/>
          <w:i/>
          <w:iCs/>
          <w:sz w:val="24"/>
          <w:szCs w:val="24"/>
          <w:shd w:val="clear" w:color="auto" w:fill="FFFFFF"/>
        </w:rPr>
        <w:t>Clinical Gastroenterology and Hepatology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11</w:t>
      </w:r>
      <w:r w:rsidRPr="0019768D">
        <w:rPr>
          <w:rFonts w:ascii="Times New Roman" w:hAnsi="Times New Roman" w:cs="Times New Roman"/>
          <w:sz w:val="24"/>
          <w:szCs w:val="24"/>
          <w:shd w:val="clear" w:color="auto" w:fill="FFFFFF"/>
        </w:rPr>
        <w:t>(8), 965-971.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Arsenault, M., Blouin, M. J., &amp; Guitton, M. J. (2016). Information quality and dynamics of patients' interactions on tonsillectomy web resources. </w:t>
      </w:r>
      <w:r w:rsidRPr="0019768D">
        <w:rPr>
          <w:rFonts w:ascii="Times New Roman" w:hAnsi="Times New Roman" w:cs="Times New Roman"/>
          <w:i/>
          <w:iCs/>
          <w:sz w:val="24"/>
          <w:szCs w:val="24"/>
          <w:shd w:val="clear" w:color="auto" w:fill="FFFFFF"/>
        </w:rPr>
        <w:t>Internet Interventions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w:t>
      </w:r>
      <w:r w:rsidRPr="0019768D">
        <w:rPr>
          <w:rFonts w:ascii="Times New Roman" w:hAnsi="Times New Roman" w:cs="Times New Roman"/>
          <w:sz w:val="24"/>
          <w:szCs w:val="24"/>
          <w:shd w:val="clear" w:color="auto" w:fill="FFFFFF"/>
        </w:rPr>
        <w:t>, 99-104.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Bailey, J. A. (2003). The foundation of self-esteem. </w:t>
      </w:r>
      <w:r w:rsidRPr="0019768D">
        <w:rPr>
          <w:rFonts w:ascii="Times New Roman" w:hAnsi="Times New Roman" w:cs="Times New Roman"/>
          <w:i/>
          <w:iCs/>
          <w:sz w:val="24"/>
          <w:szCs w:val="24"/>
          <w:shd w:val="clear" w:color="auto" w:fill="FFFFFF"/>
        </w:rPr>
        <w:t>Journal of the National Medical Association</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95</w:t>
      </w:r>
      <w:r w:rsidRPr="0019768D">
        <w:rPr>
          <w:rFonts w:ascii="Times New Roman" w:hAnsi="Times New Roman" w:cs="Times New Roman"/>
          <w:sz w:val="24"/>
          <w:szCs w:val="24"/>
          <w:shd w:val="clear" w:color="auto" w:fill="FFFFFF"/>
        </w:rPr>
        <w:t>(5), 388–393.</w:t>
      </w:r>
    </w:p>
    <w:p w:rsidR="0019768D" w:rsidRPr="0019768D" w:rsidRDefault="0019768D" w:rsidP="00DE20C9">
      <w:pPr>
        <w:rPr>
          <w:rFonts w:ascii="Times New Roman" w:eastAsia="Times New Roman" w:hAnsi="Times New Roman" w:cs="Times New Roman"/>
          <w:sz w:val="24"/>
          <w:szCs w:val="24"/>
          <w:lang w:eastAsia="en-GB"/>
        </w:rPr>
      </w:pPr>
      <w:r w:rsidRPr="0019768D">
        <w:rPr>
          <w:rFonts w:ascii="Times New Roman" w:eastAsia="Times New Roman" w:hAnsi="Times New Roman" w:cs="Times New Roman"/>
          <w:sz w:val="24"/>
          <w:szCs w:val="24"/>
          <w:lang w:eastAsia="en-GB"/>
        </w:rPr>
        <w:t>Baumgart, D. C., &amp; Carding, S. R. (2007). Inflammatory bowel disease: cause and immunobiology. </w:t>
      </w:r>
      <w:r w:rsidRPr="0019768D">
        <w:rPr>
          <w:rFonts w:ascii="Times New Roman" w:eastAsia="Times New Roman" w:hAnsi="Times New Roman" w:cs="Times New Roman"/>
          <w:i/>
          <w:iCs/>
          <w:sz w:val="24"/>
          <w:szCs w:val="24"/>
          <w:lang w:eastAsia="en-GB"/>
        </w:rPr>
        <w:t>The Lancet</w:t>
      </w:r>
      <w:r w:rsidRPr="0019768D">
        <w:rPr>
          <w:rFonts w:ascii="Times New Roman" w:eastAsia="Times New Roman" w:hAnsi="Times New Roman" w:cs="Times New Roman"/>
          <w:sz w:val="24"/>
          <w:szCs w:val="24"/>
          <w:lang w:eastAsia="en-GB"/>
        </w:rPr>
        <w:t>, </w:t>
      </w:r>
      <w:r w:rsidRPr="0019768D">
        <w:rPr>
          <w:rFonts w:ascii="Times New Roman" w:eastAsia="Times New Roman" w:hAnsi="Times New Roman" w:cs="Times New Roman"/>
          <w:i/>
          <w:iCs/>
          <w:sz w:val="24"/>
          <w:szCs w:val="24"/>
          <w:lang w:eastAsia="en-GB"/>
        </w:rPr>
        <w:t>369</w:t>
      </w:r>
      <w:r w:rsidRPr="0019768D">
        <w:rPr>
          <w:rFonts w:ascii="Times New Roman" w:eastAsia="Times New Roman" w:hAnsi="Times New Roman" w:cs="Times New Roman"/>
          <w:sz w:val="24"/>
          <w:szCs w:val="24"/>
          <w:lang w:eastAsia="en-GB"/>
        </w:rPr>
        <w:t>(9573), 1627-1640.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Bengtsson, M., Sjöberg, K., Candamio, M., Lerman, A., &amp; Ohlsson, B. (2013). Anxiety in close relationships is higher and self-esteem lower in patients with irritable bowel syndrome compared to patients with inflammatory bowel disease. </w:t>
      </w:r>
      <w:r w:rsidRPr="0019768D">
        <w:rPr>
          <w:rFonts w:ascii="Times New Roman" w:hAnsi="Times New Roman" w:cs="Times New Roman"/>
          <w:i/>
          <w:iCs/>
          <w:sz w:val="24"/>
          <w:szCs w:val="24"/>
          <w:shd w:val="clear" w:color="auto" w:fill="FFFFFF"/>
        </w:rPr>
        <w:t>European journal of internal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24</w:t>
      </w:r>
      <w:r w:rsidRPr="0019768D">
        <w:rPr>
          <w:rFonts w:ascii="Times New Roman" w:hAnsi="Times New Roman" w:cs="Times New Roman"/>
          <w:sz w:val="24"/>
          <w:szCs w:val="24"/>
          <w:shd w:val="clear" w:color="auto" w:fill="FFFFFF"/>
        </w:rPr>
        <w:t>(3), 266-272.</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Berkman, L. F. (1995). The role of social relations in health promotion. </w:t>
      </w:r>
      <w:r w:rsidRPr="0019768D">
        <w:rPr>
          <w:rFonts w:ascii="Times New Roman" w:hAnsi="Times New Roman" w:cs="Times New Roman"/>
          <w:i/>
          <w:iCs/>
          <w:sz w:val="24"/>
          <w:szCs w:val="24"/>
          <w:shd w:val="clear" w:color="auto" w:fill="FFFFFF"/>
        </w:rPr>
        <w:t>Psychosomatic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57</w:t>
      </w:r>
      <w:r w:rsidRPr="0019768D">
        <w:rPr>
          <w:rFonts w:ascii="Times New Roman" w:hAnsi="Times New Roman" w:cs="Times New Roman"/>
          <w:sz w:val="24"/>
          <w:szCs w:val="24"/>
          <w:shd w:val="clear" w:color="auto" w:fill="FFFFFF"/>
        </w:rPr>
        <w:t>(3), 245-254.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Bouma, G., &amp; Strober, W. (2003). The immunological and genetic basis of inflammatory bowel disease. </w:t>
      </w:r>
      <w:r w:rsidRPr="0019768D">
        <w:rPr>
          <w:rFonts w:ascii="Times New Roman" w:hAnsi="Times New Roman" w:cs="Times New Roman"/>
          <w:i/>
          <w:iCs/>
          <w:sz w:val="24"/>
          <w:szCs w:val="24"/>
          <w:shd w:val="clear" w:color="auto" w:fill="FFFFFF"/>
        </w:rPr>
        <w:t>Nature Reviews Immunology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w:t>
      </w:r>
      <w:r w:rsidRPr="0019768D">
        <w:rPr>
          <w:rFonts w:ascii="Times New Roman" w:hAnsi="Times New Roman" w:cs="Times New Roman"/>
          <w:sz w:val="24"/>
          <w:szCs w:val="24"/>
          <w:shd w:val="clear" w:color="auto" w:fill="FFFFFF"/>
        </w:rPr>
        <w:t>(7), 521.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Cooper, J. M., Collier, J., James, V., &amp; Hawkey, C. J. (2010). Beliefs about personal control and self-management in 30–</w:t>
      </w:r>
      <w:r w:rsidR="00B056D6" w:rsidRPr="0019768D">
        <w:rPr>
          <w:rFonts w:ascii="Times New Roman" w:hAnsi="Times New Roman" w:cs="Times New Roman"/>
          <w:sz w:val="24"/>
          <w:szCs w:val="24"/>
          <w:shd w:val="clear" w:color="auto" w:fill="FFFFFF"/>
        </w:rPr>
        <w:t>40-year</w:t>
      </w:r>
      <w:r w:rsidRPr="0019768D">
        <w:rPr>
          <w:rFonts w:ascii="Times New Roman" w:hAnsi="Times New Roman" w:cs="Times New Roman"/>
          <w:sz w:val="24"/>
          <w:szCs w:val="24"/>
          <w:shd w:val="clear" w:color="auto" w:fill="FFFFFF"/>
        </w:rPr>
        <w:t xml:space="preserve"> olds living with inflammatory bowel disease: a qualitative study. </w:t>
      </w:r>
      <w:r w:rsidRPr="0019768D">
        <w:rPr>
          <w:rFonts w:ascii="Times New Roman" w:hAnsi="Times New Roman" w:cs="Times New Roman"/>
          <w:i/>
          <w:iCs/>
          <w:sz w:val="24"/>
          <w:szCs w:val="24"/>
          <w:shd w:val="clear" w:color="auto" w:fill="FFFFFF"/>
        </w:rPr>
        <w:t>International journal of nursing studies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47</w:t>
      </w:r>
      <w:r w:rsidRPr="0019768D">
        <w:rPr>
          <w:rFonts w:ascii="Times New Roman" w:hAnsi="Times New Roman" w:cs="Times New Roman"/>
          <w:sz w:val="24"/>
          <w:szCs w:val="24"/>
          <w:shd w:val="clear" w:color="auto" w:fill="FFFFFF"/>
        </w:rPr>
        <w:t>(12), 1500-1509.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lastRenderedPageBreak/>
        <w:t>Coopersmith, S. (1967). The antecedents of self-esteem. University of California. San Francisco: Ed.</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Crane, C., &amp; Martin, M. (2004). Social learning, affective state and passive coping in irritable bowel syndrome and inflammatory bowel disease. </w:t>
      </w:r>
      <w:r w:rsidRPr="0019768D">
        <w:rPr>
          <w:rFonts w:ascii="Times New Roman" w:hAnsi="Times New Roman" w:cs="Times New Roman"/>
          <w:i/>
          <w:iCs/>
          <w:sz w:val="24"/>
          <w:szCs w:val="24"/>
          <w:shd w:val="clear" w:color="auto" w:fill="FFFFFF"/>
        </w:rPr>
        <w:t>General Hospital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26</w:t>
      </w:r>
      <w:r w:rsidRPr="0019768D">
        <w:rPr>
          <w:rFonts w:ascii="Times New Roman" w:hAnsi="Times New Roman" w:cs="Times New Roman"/>
          <w:sz w:val="24"/>
          <w:szCs w:val="24"/>
          <w:shd w:val="clear" w:color="auto" w:fill="FFFFFF"/>
        </w:rPr>
        <w:t>(1), 50-58.</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Crohn’s Disease | Crohn's &amp; Colitis UK</w:t>
      </w:r>
      <w:r w:rsidRPr="0019768D">
        <w:rPr>
          <w:rFonts w:ascii="Times New Roman" w:hAnsi="Times New Roman" w:cs="Times New Roman"/>
          <w:sz w:val="24"/>
          <w:szCs w:val="24"/>
        </w:rPr>
        <w:t>. (2013).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https://www.crohnsandcolitis.org.uk/about-inflammatory-bowel-disease/crohns-disease</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Cuntz, U., Welt, J., Ruppert, E., &amp; Zillessen, E. (1999). Determination of subjective burden from chronic inflammatory bowel disease and its psychosocial consequences. Results from a study of 200 patients. </w:t>
      </w:r>
      <w:r w:rsidRPr="0019768D">
        <w:rPr>
          <w:rFonts w:ascii="Times New Roman" w:hAnsi="Times New Roman" w:cs="Times New Roman"/>
          <w:i/>
          <w:iCs/>
          <w:sz w:val="24"/>
          <w:szCs w:val="24"/>
          <w:shd w:val="clear" w:color="auto" w:fill="FFFFFF"/>
        </w:rPr>
        <w:t>Psychotherapie, Psychosomatik, medizinische Psychologie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49</w:t>
      </w:r>
      <w:r w:rsidRPr="0019768D">
        <w:rPr>
          <w:rFonts w:ascii="Times New Roman" w:hAnsi="Times New Roman" w:cs="Times New Roman"/>
          <w:sz w:val="24"/>
          <w:szCs w:val="24"/>
          <w:shd w:val="clear" w:color="auto" w:fill="FFFFFF"/>
        </w:rPr>
        <w:t>(12), 494-500.</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Curtis, J. R., Westfall, A. O., Allison, J., Bijlsma, J. W., Freeman, A., George, V., ... &amp; Saag, K. G. (2006). Population‐based assessment of adverse events associated with long‐term glucocorticoid use. </w:t>
      </w:r>
      <w:r w:rsidRPr="0019768D">
        <w:rPr>
          <w:rFonts w:ascii="Times New Roman" w:hAnsi="Times New Roman" w:cs="Times New Roman"/>
          <w:i/>
          <w:iCs/>
          <w:sz w:val="24"/>
          <w:szCs w:val="24"/>
          <w:shd w:val="clear" w:color="auto" w:fill="FFFFFF"/>
        </w:rPr>
        <w:t>Arthritis Care &amp; Research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(3), 420-426.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Davison, K. P., Pennebaker, J. W., &amp; Dickerson, S. S. (2000). Who talks? The social psychology of illness support groups. </w:t>
      </w:r>
      <w:r w:rsidRPr="0019768D">
        <w:rPr>
          <w:rFonts w:ascii="Times New Roman" w:hAnsi="Times New Roman" w:cs="Times New Roman"/>
          <w:i/>
          <w:iCs/>
          <w:sz w:val="24"/>
          <w:szCs w:val="24"/>
          <w:shd w:val="clear" w:color="auto" w:fill="FFFFFF"/>
        </w:rPr>
        <w:t>American Psychologist</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(2), 205.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Drossman, D. A., Leserman, J., Mitchell, C. M., Li, Z., Zagami, E. A., &amp; Patrick, D. L. (1991). Health status and health care use in persons with inflammatory bowel disease. </w:t>
      </w:r>
      <w:r w:rsidRPr="0019768D">
        <w:rPr>
          <w:rFonts w:ascii="Times New Roman" w:hAnsi="Times New Roman" w:cs="Times New Roman"/>
          <w:i/>
          <w:iCs/>
          <w:sz w:val="24"/>
          <w:szCs w:val="24"/>
          <w:shd w:val="clear" w:color="auto" w:fill="FFFFFF"/>
        </w:rPr>
        <w:t>Digestive diseases and sciences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36</w:t>
      </w:r>
      <w:r w:rsidRPr="0019768D">
        <w:rPr>
          <w:rFonts w:ascii="Times New Roman" w:hAnsi="Times New Roman" w:cs="Times New Roman"/>
          <w:sz w:val="24"/>
          <w:szCs w:val="24"/>
          <w:shd w:val="clear" w:color="auto" w:fill="FFFFFF"/>
        </w:rPr>
        <w:t>(12), 1746-1755.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Drossman, D. A., McKee, D. C., Sandler, R. S., Mitchell, C. M., Cramer, E. M., Lowman, B. C., &amp; Burger, A. L. (1988). Psychosocial factors in the irritable bowel syndrome: a multivariate study of patients and nonpatients with irritable bowel syndrome. </w:t>
      </w:r>
      <w:r w:rsidRPr="0019768D">
        <w:rPr>
          <w:rFonts w:ascii="Times New Roman" w:hAnsi="Times New Roman" w:cs="Times New Roman"/>
          <w:i/>
          <w:iCs/>
          <w:sz w:val="24"/>
          <w:szCs w:val="24"/>
          <w:shd w:val="clear" w:color="auto" w:fill="FFFFFF"/>
        </w:rPr>
        <w:t>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95</w:t>
      </w:r>
      <w:r w:rsidRPr="0019768D">
        <w:rPr>
          <w:rFonts w:ascii="Times New Roman" w:hAnsi="Times New Roman" w:cs="Times New Roman"/>
          <w:sz w:val="24"/>
          <w:szCs w:val="24"/>
          <w:shd w:val="clear" w:color="auto" w:fill="FFFFFF"/>
        </w:rPr>
        <w:t>(3), 701-708.</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Engström, I. (1992). Mental health and psychological functioning in children and adolescents with inflammatory bowel disease: a comparison with children having other chronic illnesses and with healthy children. </w:t>
      </w:r>
      <w:r w:rsidRPr="0019768D">
        <w:rPr>
          <w:rFonts w:ascii="Times New Roman" w:hAnsi="Times New Roman" w:cs="Times New Roman"/>
          <w:i/>
          <w:iCs/>
          <w:sz w:val="24"/>
          <w:szCs w:val="24"/>
          <w:shd w:val="clear" w:color="auto" w:fill="FFFFFF"/>
        </w:rPr>
        <w:t>Journal of Child Psychology and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33</w:t>
      </w:r>
      <w:r w:rsidRPr="0019768D">
        <w:rPr>
          <w:rFonts w:ascii="Times New Roman" w:hAnsi="Times New Roman" w:cs="Times New Roman"/>
          <w:sz w:val="24"/>
          <w:szCs w:val="24"/>
          <w:shd w:val="clear" w:color="auto" w:fill="FFFFFF"/>
        </w:rPr>
        <w:t>(3), 563-582.</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F. Casellas, J. Lopez-Vivancos, A. Casado, and J. R. Malagelada. (2002). Factors affecting health related quality of life of patients with inflammatory bowel disease, Quality of Life Research. vol. 11, no. 8, pp. 775–781.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Gearry, R. B., Richardson, A., Frampton, C. M., Collett, J. A., Burt, M. J., Chapman, B. A., &amp; Barclay, M. L. (2006). High incidence of Crohn's disease in Canterbury, New Zealand: results of an epidemiologic study.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12</w:t>
      </w:r>
      <w:r w:rsidRPr="0019768D">
        <w:rPr>
          <w:rFonts w:ascii="Times New Roman" w:hAnsi="Times New Roman" w:cs="Times New Roman"/>
          <w:sz w:val="24"/>
          <w:szCs w:val="24"/>
          <w:shd w:val="clear" w:color="auto" w:fill="FFFFFF"/>
        </w:rPr>
        <w:t>(10), 936-943.</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Graff, L. A., Walker, J. R., &amp; Bernstein, C. N. (2010). It's not just about the gut: managing depression and anxiety in inflammatory bowel disease. </w:t>
      </w:r>
      <w:r w:rsidRPr="0019768D">
        <w:rPr>
          <w:rFonts w:ascii="Times New Roman" w:hAnsi="Times New Roman" w:cs="Times New Roman"/>
          <w:i/>
          <w:iCs/>
          <w:sz w:val="24"/>
          <w:szCs w:val="24"/>
          <w:shd w:val="clear" w:color="auto" w:fill="FFFFFF"/>
        </w:rPr>
        <w:t>Pract Gastroenterol</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14</w:t>
      </w:r>
      <w:r w:rsidRPr="0019768D">
        <w:rPr>
          <w:rFonts w:ascii="Times New Roman" w:hAnsi="Times New Roman" w:cs="Times New Roman"/>
          <w:sz w:val="24"/>
          <w:szCs w:val="24"/>
          <w:shd w:val="clear" w:color="auto" w:fill="FFFFFF"/>
        </w:rPr>
        <w:t>(7), 11-25.</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 xml:space="preserve">Graff, L. A., Walker, J. R., Clara, I., Lix, L., Miller, N., Rogala, L., ... &amp; Bernstein, C. N. (2009). Stress coping, distress, and health perceptions in inflammatory bowel </w:t>
      </w:r>
      <w:r w:rsidRPr="0019768D">
        <w:rPr>
          <w:rFonts w:ascii="Times New Roman" w:hAnsi="Times New Roman" w:cs="Times New Roman"/>
          <w:sz w:val="24"/>
          <w:szCs w:val="24"/>
          <w:shd w:val="clear" w:color="auto" w:fill="FFFFFF"/>
        </w:rPr>
        <w:lastRenderedPageBreak/>
        <w:t>disease and community controls.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104</w:t>
      </w:r>
      <w:r w:rsidRPr="0019768D">
        <w:rPr>
          <w:rFonts w:ascii="Times New Roman" w:hAnsi="Times New Roman" w:cs="Times New Roman"/>
          <w:sz w:val="24"/>
          <w:szCs w:val="24"/>
          <w:shd w:val="clear" w:color="auto" w:fill="FFFFFF"/>
        </w:rPr>
        <w:t>(12), 2959.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Guthrie, E., Jackson, J., Shaffer, J., Thompson, D., Tomenson, B., &amp; Creed, F. (2002). Psychological disorder and severity of inflammatory bowel disease predict health-related quality of life in ulcerative colitis and Crohn's disease.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(8), 1994.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Hanauer, MD, S. B., &amp; Baert, MD, F. J. (1995). The management of ulcerative colitis. </w:t>
      </w:r>
      <w:r w:rsidRPr="0019768D">
        <w:rPr>
          <w:rFonts w:ascii="Times New Roman" w:hAnsi="Times New Roman" w:cs="Times New Roman"/>
          <w:i/>
          <w:iCs/>
          <w:sz w:val="24"/>
          <w:szCs w:val="24"/>
          <w:shd w:val="clear" w:color="auto" w:fill="FFFFFF"/>
        </w:rPr>
        <w:t>Annual review of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46</w:t>
      </w:r>
      <w:r w:rsidRPr="0019768D">
        <w:rPr>
          <w:rFonts w:ascii="Times New Roman" w:hAnsi="Times New Roman" w:cs="Times New Roman"/>
          <w:sz w:val="24"/>
          <w:szCs w:val="24"/>
          <w:shd w:val="clear" w:color="auto" w:fill="FFFFFF"/>
        </w:rPr>
        <w:t>(1), 497-505.</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Henk, H. J., Katzelnick, D. J., Kobak, K. A., Greist, J. H., &amp; Jefferson, J. W. (1996). Medical costs attributed to depression among patients with a history of high medical expenses in a health maintenance organization. </w:t>
      </w:r>
      <w:r w:rsidRPr="0019768D">
        <w:rPr>
          <w:rFonts w:ascii="Times New Roman" w:hAnsi="Times New Roman" w:cs="Times New Roman"/>
          <w:i/>
          <w:iCs/>
          <w:sz w:val="24"/>
          <w:szCs w:val="24"/>
          <w:shd w:val="clear" w:color="auto" w:fill="FFFFFF"/>
        </w:rPr>
        <w:t>Archives of general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53</w:t>
      </w:r>
      <w:r w:rsidRPr="0019768D">
        <w:rPr>
          <w:rFonts w:ascii="Times New Roman" w:hAnsi="Times New Roman" w:cs="Times New Roman"/>
          <w:sz w:val="24"/>
          <w:szCs w:val="24"/>
          <w:shd w:val="clear" w:color="auto" w:fill="FFFFFF"/>
        </w:rPr>
        <w:t>(10), 899-904.</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J. Haapamaki, Health-Related Quality of Life, Symptoms and Comorbidity in Inflammatory Bowel Disease [Ph.D. dissertation], The Medical Faculty of the University of Helsinki, 2011.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Kolowich, L. (2015). The Best Time to Post on Facebook. </w:t>
      </w:r>
      <w:r w:rsidRPr="0019768D">
        <w:rPr>
          <w:rFonts w:ascii="Times New Roman" w:hAnsi="Times New Roman" w:cs="Times New Roman"/>
          <w:i/>
          <w:iCs/>
          <w:sz w:val="24"/>
          <w:szCs w:val="24"/>
          <w:shd w:val="clear" w:color="auto" w:fill="FFFFFF"/>
        </w:rPr>
        <w:t>Twitter, LinkedIn &amp; Other Top Social Networks</w:t>
      </w:r>
      <w:r w:rsidR="00B056D6">
        <w:rPr>
          <w:rFonts w:ascii="Times New Roman" w:hAnsi="Times New Roman" w:cs="Times New Roman"/>
          <w:i/>
          <w:iCs/>
          <w:sz w:val="24"/>
          <w:szCs w:val="24"/>
          <w:shd w:val="clear" w:color="auto" w:fill="FFFFFF"/>
        </w:rPr>
        <w:t>.</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Kovács, Z., &amp; Kovács, F. (2007). Depressive and anxiety symptoms, dysfunctional attitudes and social aspects in irritable bowel syndrome and inflammatory bowel disease. </w:t>
      </w:r>
      <w:r w:rsidRPr="0019768D">
        <w:rPr>
          <w:rFonts w:ascii="Times New Roman" w:hAnsi="Times New Roman" w:cs="Times New Roman"/>
          <w:i/>
          <w:iCs/>
          <w:sz w:val="24"/>
          <w:szCs w:val="24"/>
          <w:shd w:val="clear" w:color="auto" w:fill="FFFFFF"/>
        </w:rPr>
        <w:t>The International Journal of Psychiatry in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37</w:t>
      </w:r>
      <w:r w:rsidRPr="0019768D">
        <w:rPr>
          <w:rFonts w:ascii="Times New Roman" w:hAnsi="Times New Roman" w:cs="Times New Roman"/>
          <w:sz w:val="24"/>
          <w:szCs w:val="24"/>
          <w:shd w:val="clear" w:color="auto" w:fill="FFFFFF"/>
        </w:rPr>
        <w:t>(3), 245-255.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Kurina, L. M., Goldacre, M. J., Yeates, D., &amp; Gill, L. E. (2001). Depression and anxiety in people with inflammatory bowel disease. </w:t>
      </w:r>
      <w:r w:rsidRPr="0019768D">
        <w:rPr>
          <w:rFonts w:ascii="Times New Roman" w:hAnsi="Times New Roman" w:cs="Times New Roman"/>
          <w:i/>
          <w:iCs/>
          <w:sz w:val="24"/>
          <w:szCs w:val="24"/>
          <w:shd w:val="clear" w:color="auto" w:fill="FFFFFF"/>
        </w:rPr>
        <w:t>Journal of Epidemiology &amp; Community Health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55</w:t>
      </w:r>
      <w:r w:rsidRPr="0019768D">
        <w:rPr>
          <w:rFonts w:ascii="Times New Roman" w:hAnsi="Times New Roman" w:cs="Times New Roman"/>
          <w:sz w:val="24"/>
          <w:szCs w:val="24"/>
          <w:shd w:val="clear" w:color="auto" w:fill="FFFFFF"/>
        </w:rPr>
        <w:t>(10), 716-720.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Lindfred, H., Saalman, R., Nilsson, S., &amp; Reichenberg, K. (2008). Inflammatory bowel disease and self‐esteem in adolescence. </w:t>
      </w:r>
      <w:r w:rsidRPr="0019768D">
        <w:rPr>
          <w:rFonts w:ascii="Times New Roman" w:hAnsi="Times New Roman" w:cs="Times New Roman"/>
          <w:i/>
          <w:iCs/>
          <w:sz w:val="24"/>
          <w:szCs w:val="24"/>
          <w:shd w:val="clear" w:color="auto" w:fill="FFFFFF"/>
        </w:rPr>
        <w:t>Acta paediatrica</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(2), 201-205.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Lönnfors, S., Vermeire, S., Greco, M., Hommes, D., Bell, C., &amp; Avedano, L. (2014). IBD and health-related quality of life—discovering the true impact. </w:t>
      </w:r>
      <w:r w:rsidRPr="0019768D">
        <w:rPr>
          <w:rFonts w:ascii="Times New Roman" w:hAnsi="Times New Roman" w:cs="Times New Roman"/>
          <w:i/>
          <w:iCs/>
          <w:sz w:val="24"/>
          <w:szCs w:val="24"/>
          <w:shd w:val="clear" w:color="auto" w:fill="FFFFFF"/>
        </w:rPr>
        <w:t>Journal of Crohn's and Colitis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8</w:t>
      </w:r>
      <w:r w:rsidRPr="0019768D">
        <w:rPr>
          <w:rFonts w:ascii="Times New Roman" w:hAnsi="Times New Roman" w:cs="Times New Roman"/>
          <w:sz w:val="24"/>
          <w:szCs w:val="24"/>
          <w:shd w:val="clear" w:color="auto" w:fill="FFFFFF"/>
        </w:rPr>
        <w:t>(10), 1281-1286.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Mikocka-Walus, A. A., Turnbull, D. A., Andrews, J. M., Moulding, N. T., Wilson, I. G., Harley, H. A., ... &amp; Holtmann, G. J. (2008). Psychological problems in gastroenterology outpatients: A South Australian experience. Psychological co-morbidity in IBD, IBS and hepatitis C. </w:t>
      </w:r>
      <w:r w:rsidRPr="0019768D">
        <w:rPr>
          <w:rFonts w:ascii="Times New Roman" w:hAnsi="Times New Roman" w:cs="Times New Roman"/>
          <w:i/>
          <w:iCs/>
          <w:sz w:val="24"/>
          <w:szCs w:val="24"/>
          <w:shd w:val="clear" w:color="auto" w:fill="FFFFFF"/>
        </w:rPr>
        <w:t>Clinical Practice and Epidemiology in Mental Health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4</w:t>
      </w:r>
      <w:r w:rsidRPr="0019768D">
        <w:rPr>
          <w:rFonts w:ascii="Times New Roman" w:hAnsi="Times New Roman" w:cs="Times New Roman"/>
          <w:sz w:val="24"/>
          <w:szCs w:val="24"/>
          <w:shd w:val="clear" w:color="auto" w:fill="FFFFFF"/>
        </w:rPr>
        <w:t>(1), 15.</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Mikocka‐Walus, A. A., Turnbull, D. A., Moulding, N. T., Wilson, I. G., Andrews, J. M., &amp; Holtmann, G. J. (2007). Controversies surrounding the comorbidity of depression and anxiety in inflammatory bowel disease patients: a literature review. </w:t>
      </w:r>
      <w:r w:rsidRPr="0019768D">
        <w:rPr>
          <w:rFonts w:ascii="Times New Roman" w:hAnsi="Times New Roman" w:cs="Times New Roman"/>
          <w:i/>
          <w:iCs/>
          <w:sz w:val="24"/>
          <w:szCs w:val="24"/>
          <w:shd w:val="clear" w:color="auto" w:fill="FFFFFF"/>
        </w:rPr>
        <w:t>Inflammatory bowel diseases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13</w:t>
      </w:r>
      <w:r w:rsidRPr="0019768D">
        <w:rPr>
          <w:rFonts w:ascii="Times New Roman" w:hAnsi="Times New Roman" w:cs="Times New Roman"/>
          <w:sz w:val="24"/>
          <w:szCs w:val="24"/>
          <w:shd w:val="clear" w:color="auto" w:fill="FFFFFF"/>
        </w:rPr>
        <w:t>(2), 225-234.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 xml:space="preserve">Mittermaier, C., Dejaco, C., Waldhoer, T., Oefferlbauer-Ernst, A., Miehsler, W., Beier, M., ... &amp; Moser, G. (2004). Impact of depressive mood on relapse in patients </w:t>
      </w:r>
      <w:r w:rsidRPr="0019768D">
        <w:rPr>
          <w:rFonts w:ascii="Times New Roman" w:hAnsi="Times New Roman" w:cs="Times New Roman"/>
          <w:sz w:val="24"/>
          <w:szCs w:val="24"/>
          <w:shd w:val="clear" w:color="auto" w:fill="FFFFFF"/>
        </w:rPr>
        <w:lastRenderedPageBreak/>
        <w:t>with inflammatory bowel disease: a prospective 18-month follow-up study. </w:t>
      </w:r>
      <w:r w:rsidRPr="0019768D">
        <w:rPr>
          <w:rFonts w:ascii="Times New Roman" w:hAnsi="Times New Roman" w:cs="Times New Roman"/>
          <w:i/>
          <w:iCs/>
          <w:sz w:val="24"/>
          <w:szCs w:val="24"/>
          <w:shd w:val="clear" w:color="auto" w:fill="FFFFFF"/>
        </w:rPr>
        <w:t>Psychosomatic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66</w:t>
      </w:r>
      <w:r w:rsidRPr="0019768D">
        <w:rPr>
          <w:rFonts w:ascii="Times New Roman" w:hAnsi="Times New Roman" w:cs="Times New Roman"/>
          <w:sz w:val="24"/>
          <w:szCs w:val="24"/>
          <w:shd w:val="clear" w:color="auto" w:fill="FFFFFF"/>
        </w:rPr>
        <w:t>(1), 79-84.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Nayak, B. K. (2010). Understanding the relevance of sample size calculation. </w:t>
      </w:r>
      <w:r w:rsidRPr="0019768D">
        <w:rPr>
          <w:rFonts w:ascii="Times New Roman" w:hAnsi="Times New Roman" w:cs="Times New Roman"/>
          <w:i/>
          <w:iCs/>
          <w:sz w:val="24"/>
          <w:szCs w:val="24"/>
          <w:shd w:val="clear" w:color="auto" w:fill="FFFFFF"/>
        </w:rPr>
        <w:t>Indian journal of ophthalmology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58</w:t>
      </w:r>
      <w:r w:rsidRPr="0019768D">
        <w:rPr>
          <w:rFonts w:ascii="Times New Roman" w:hAnsi="Times New Roman" w:cs="Times New Roman"/>
          <w:sz w:val="24"/>
          <w:szCs w:val="24"/>
          <w:shd w:val="clear" w:color="auto" w:fill="FFFFFF"/>
        </w:rPr>
        <w:t>(6), 469.</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Patten, S. B. (2001). Long-term medical conditions and major depression in a Canadian population study at waves 1 and 2. </w:t>
      </w:r>
      <w:r w:rsidRPr="0019768D">
        <w:rPr>
          <w:rFonts w:ascii="Times New Roman" w:hAnsi="Times New Roman" w:cs="Times New Roman"/>
          <w:i/>
          <w:iCs/>
          <w:sz w:val="24"/>
          <w:szCs w:val="24"/>
          <w:shd w:val="clear" w:color="auto" w:fill="FFFFFF"/>
        </w:rPr>
        <w:t>Journal of affective disorders</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63</w:t>
      </w:r>
      <w:r w:rsidRPr="0019768D">
        <w:rPr>
          <w:rFonts w:ascii="Times New Roman" w:hAnsi="Times New Roman" w:cs="Times New Roman"/>
          <w:sz w:val="24"/>
          <w:szCs w:val="24"/>
          <w:shd w:val="clear" w:color="auto" w:fill="FFFFFF"/>
        </w:rPr>
        <w:t>(1), 35-41.</w:t>
      </w:r>
    </w:p>
    <w:p w:rsidR="0019768D" w:rsidRPr="0019768D" w:rsidRDefault="0019768D" w:rsidP="00DE20C9">
      <w:pPr>
        <w:rPr>
          <w:rFonts w:ascii="Times New Roman" w:hAnsi="Times New Roman" w:cs="Times New Roman"/>
          <w:sz w:val="24"/>
          <w:szCs w:val="24"/>
        </w:rPr>
      </w:pPr>
      <w:bookmarkStart w:id="4" w:name="_Hlk509725073"/>
      <w:r w:rsidRPr="0019768D">
        <w:rPr>
          <w:rFonts w:ascii="Times New Roman" w:hAnsi="Times New Roman" w:cs="Times New Roman"/>
          <w:sz w:val="24"/>
          <w:szCs w:val="24"/>
        </w:rPr>
        <w:t>R. E. Tarter, J. Switala, J. Carra, K. L. Edwards, and D. H. Van Thiel, “Inflammatory bowel disease: psychiatric status of patients before and after disease onset,” International Journal of Psychiatry in Medicine, vol. 17, no. 2, pp. 173–181, 1987.</w:t>
      </w:r>
    </w:p>
    <w:bookmarkEnd w:id="4"/>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Rosenberg, M. (1965). Society and the adolescent self-image. Princeton, NJ: Princeton University Press.</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Sajadinejad, M. S., Asgari, K., Molavi, H., Kalantari, M., &amp; Adibi, P. (2012). Psychological issues in inflammatory bowel disease: an overview. </w:t>
      </w:r>
      <w:r w:rsidRPr="0019768D">
        <w:rPr>
          <w:rFonts w:ascii="Times New Roman" w:hAnsi="Times New Roman" w:cs="Times New Roman"/>
          <w:i/>
          <w:iCs/>
          <w:sz w:val="24"/>
          <w:szCs w:val="24"/>
          <w:shd w:val="clear" w:color="auto" w:fill="FFFFFF"/>
        </w:rPr>
        <w:t>Gastroenterology research and practice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2012</w:t>
      </w:r>
      <w:r w:rsidRPr="0019768D">
        <w:rPr>
          <w:rFonts w:ascii="Times New Roman" w:hAnsi="Times New Roman" w:cs="Times New Roman"/>
          <w:sz w:val="24"/>
          <w:szCs w:val="24"/>
          <w:shd w:val="clear" w:color="auto" w:fill="FFFFFF"/>
        </w:rPr>
        <w:t>.</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Sewitch, M. J., Abrahamowicz, M., Bitton, A., Daly, D., Wild, G. E., Cohen, A., ... &amp; Dobkin, P. L. (2001). Psychological distress, social support, and disease activity in patients with inflammatory bowel disease.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96</w:t>
      </w:r>
      <w:r w:rsidRPr="0019768D">
        <w:rPr>
          <w:rFonts w:ascii="Times New Roman" w:hAnsi="Times New Roman" w:cs="Times New Roman"/>
          <w:sz w:val="24"/>
          <w:szCs w:val="24"/>
          <w:shd w:val="clear" w:color="auto" w:fill="FFFFFF"/>
        </w:rPr>
        <w:t>(5), 1470.</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Simrén, M., Axelsson, J., Gillberg, R., Abrahamsson, H., Svedlund, J., &amp; Björnsson, E. S. (2002). Quality of life in inflammatory bowel disease in remission: the impact of IBS-like symptoms and associated psychological factors. </w:t>
      </w:r>
      <w:r w:rsidRPr="0019768D">
        <w:rPr>
          <w:rFonts w:ascii="Times New Roman" w:hAnsi="Times New Roman" w:cs="Times New Roman"/>
          <w:i/>
          <w:iCs/>
          <w:sz w:val="24"/>
          <w:szCs w:val="24"/>
          <w:shd w:val="clear" w:color="auto" w:fill="FFFFFF"/>
        </w:rPr>
        <w:t>The American journal of gastroenterology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97</w:t>
      </w:r>
      <w:r w:rsidRPr="0019768D">
        <w:rPr>
          <w:rFonts w:ascii="Times New Roman" w:hAnsi="Times New Roman" w:cs="Times New Roman"/>
          <w:sz w:val="24"/>
          <w:szCs w:val="24"/>
          <w:shd w:val="clear" w:color="auto" w:fill="FFFFFF"/>
        </w:rPr>
        <w:t>(2), 389-396.</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Tarter, R. E., Switala, J., Carra, J., Edwards, K. L., &amp; Van Thiel, D. H. (1988). Inflammatory bowel disease: psychiatric status of patients before and after disease onset. </w:t>
      </w:r>
      <w:r w:rsidRPr="0019768D">
        <w:rPr>
          <w:rFonts w:ascii="Times New Roman" w:hAnsi="Times New Roman" w:cs="Times New Roman"/>
          <w:i/>
          <w:iCs/>
          <w:sz w:val="24"/>
          <w:szCs w:val="24"/>
          <w:shd w:val="clear" w:color="auto" w:fill="FFFFFF"/>
        </w:rPr>
        <w:t>The International Journal of Psychiatry in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17</w:t>
      </w:r>
      <w:r w:rsidRPr="0019768D">
        <w:rPr>
          <w:rFonts w:ascii="Times New Roman" w:hAnsi="Times New Roman" w:cs="Times New Roman"/>
          <w:sz w:val="24"/>
          <w:szCs w:val="24"/>
          <w:shd w:val="clear" w:color="auto" w:fill="FFFFFF"/>
        </w:rPr>
        <w:t>(2), 173-181.</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Tinakon, W., &amp; Nahathai, W. (2012). A Comparison of Reliability and Construct Validity between the Original and Revised Versions of the Rosenberg Self-Esteem Scale. </w:t>
      </w:r>
      <w:r w:rsidRPr="0019768D">
        <w:rPr>
          <w:rFonts w:ascii="Times New Roman" w:hAnsi="Times New Roman" w:cs="Times New Roman"/>
          <w:i/>
          <w:iCs/>
          <w:sz w:val="24"/>
          <w:szCs w:val="24"/>
          <w:shd w:val="clear" w:color="auto" w:fill="FFFFFF"/>
        </w:rPr>
        <w:t>Psychiatry Investigation</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9</w:t>
      </w:r>
      <w:r w:rsidRPr="0019768D">
        <w:rPr>
          <w:rFonts w:ascii="Times New Roman" w:hAnsi="Times New Roman" w:cs="Times New Roman"/>
          <w:sz w:val="24"/>
          <w:szCs w:val="24"/>
          <w:shd w:val="clear" w:color="auto" w:fill="FFFFFF"/>
        </w:rPr>
        <w:t xml:space="preserve">(1), 54–58. </w:t>
      </w:r>
      <w:hyperlink r:id="rId12" w:history="1">
        <w:r w:rsidRPr="0019768D">
          <w:rPr>
            <w:rStyle w:val="Hyperlink"/>
            <w:rFonts w:ascii="Times New Roman" w:hAnsi="Times New Roman" w:cs="Times New Roman"/>
            <w:color w:val="auto"/>
            <w:sz w:val="24"/>
            <w:szCs w:val="24"/>
            <w:shd w:val="clear" w:color="auto" w:fill="FFFFFF"/>
          </w:rPr>
          <w:t>http://doi.org/10.4306/pi.2012.9.1.54</w:t>
        </w:r>
      </w:hyperlink>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Tran, T. D., Tran, T., &amp; Fisher, J. (2013). Validation of the depression anxiety stress scales (DASS) 21 as a screening instrument for depression and anxiety in a rural community-based cohort of northern Vietnamese women. </w:t>
      </w:r>
      <w:r w:rsidRPr="0019768D">
        <w:rPr>
          <w:rFonts w:ascii="Times New Roman" w:hAnsi="Times New Roman" w:cs="Times New Roman"/>
          <w:i/>
          <w:iCs/>
          <w:sz w:val="24"/>
          <w:szCs w:val="24"/>
          <w:shd w:val="clear" w:color="auto" w:fill="FFFFFF"/>
        </w:rPr>
        <w:t>BMC psychiatry</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13</w:t>
      </w:r>
      <w:r w:rsidRPr="0019768D">
        <w:rPr>
          <w:rFonts w:ascii="Times New Roman" w:hAnsi="Times New Roman" w:cs="Times New Roman"/>
          <w:sz w:val="24"/>
          <w:szCs w:val="24"/>
          <w:shd w:val="clear" w:color="auto" w:fill="FFFFFF"/>
        </w:rPr>
        <w:t>(1), 24.</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Truelove, S. C., &amp; Witts, L. J. (1959). Cortisone and corticotrophin in ulcerative colitis. </w:t>
      </w:r>
      <w:r w:rsidRPr="0019768D">
        <w:rPr>
          <w:rFonts w:ascii="Times New Roman" w:hAnsi="Times New Roman" w:cs="Times New Roman"/>
          <w:i/>
          <w:iCs/>
          <w:sz w:val="24"/>
          <w:szCs w:val="24"/>
          <w:shd w:val="clear" w:color="auto" w:fill="FFFFFF"/>
        </w:rPr>
        <w:t>British Medical Journal</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1</w:t>
      </w:r>
      <w:r w:rsidRPr="0019768D">
        <w:rPr>
          <w:rFonts w:ascii="Times New Roman" w:hAnsi="Times New Roman" w:cs="Times New Roman"/>
          <w:sz w:val="24"/>
          <w:szCs w:val="24"/>
          <w:shd w:val="clear" w:color="auto" w:fill="FFFFFF"/>
        </w:rPr>
        <w:t>(5119), 387.</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t>Ulcerative Colitis | Crohn's &amp; Colitis UK</w:t>
      </w:r>
      <w:r w:rsidRPr="0019768D">
        <w:rPr>
          <w:rFonts w:ascii="Times New Roman" w:hAnsi="Times New Roman" w:cs="Times New Roman"/>
          <w:sz w:val="24"/>
          <w:szCs w:val="24"/>
        </w:rPr>
        <w:t>. (2013).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https://www.crohnsandcolitis.org.uk/about-inflammatory-bowel-disease/ulcerative-colitis</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i/>
          <w:iCs/>
          <w:sz w:val="24"/>
          <w:szCs w:val="24"/>
        </w:rPr>
        <w:lastRenderedPageBreak/>
        <w:t>What are the symptoms? | Crohn's &amp; Colitis UK</w:t>
      </w:r>
      <w:r w:rsidRPr="0019768D">
        <w:rPr>
          <w:rFonts w:ascii="Times New Roman" w:hAnsi="Times New Roman" w:cs="Times New Roman"/>
          <w:sz w:val="24"/>
          <w:szCs w:val="24"/>
        </w:rPr>
        <w:t>. (2016). </w:t>
      </w:r>
      <w:r w:rsidRPr="0019768D">
        <w:rPr>
          <w:rFonts w:ascii="Times New Roman" w:hAnsi="Times New Roman" w:cs="Times New Roman"/>
          <w:i/>
          <w:iCs/>
          <w:sz w:val="24"/>
          <w:szCs w:val="24"/>
        </w:rPr>
        <w:t>Crohnsandcolitis.org.uk</w:t>
      </w:r>
      <w:r w:rsidRPr="0019768D">
        <w:rPr>
          <w:rFonts w:ascii="Times New Roman" w:hAnsi="Times New Roman" w:cs="Times New Roman"/>
          <w:sz w:val="24"/>
          <w:szCs w:val="24"/>
        </w:rPr>
        <w:t>. Retrieved 26 March 2018, from https://www.crohnsandcolitis.org.uk/about-inflammatory-bowel-disease/what-are-the-symptoms</w:t>
      </w:r>
    </w:p>
    <w:p w:rsidR="0019768D" w:rsidRPr="0019768D" w:rsidRDefault="0019768D" w:rsidP="00DE20C9">
      <w:pPr>
        <w:rPr>
          <w:rFonts w:ascii="Times New Roman" w:hAnsi="Times New Roman" w:cs="Times New Roman"/>
          <w:sz w:val="24"/>
          <w:szCs w:val="24"/>
          <w:shd w:val="clear" w:color="auto" w:fill="FFFFFF"/>
        </w:rPr>
      </w:pPr>
      <w:r w:rsidRPr="0019768D">
        <w:rPr>
          <w:rFonts w:ascii="Times New Roman" w:hAnsi="Times New Roman" w:cs="Times New Roman"/>
          <w:sz w:val="24"/>
          <w:szCs w:val="24"/>
          <w:shd w:val="clear" w:color="auto" w:fill="FFFFFF"/>
        </w:rPr>
        <w:t>Wijmenga, C. (2005). Expressing the differences between Crohn disease and ulcerative colitis. </w:t>
      </w:r>
      <w:r w:rsidRPr="0019768D">
        <w:rPr>
          <w:rFonts w:ascii="Times New Roman" w:hAnsi="Times New Roman" w:cs="Times New Roman"/>
          <w:i/>
          <w:iCs/>
          <w:sz w:val="24"/>
          <w:szCs w:val="24"/>
          <w:shd w:val="clear" w:color="auto" w:fill="FFFFFF"/>
        </w:rPr>
        <w:t>PLoS medicine</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2</w:t>
      </w:r>
      <w:r w:rsidRPr="0019768D">
        <w:rPr>
          <w:rFonts w:ascii="Times New Roman" w:hAnsi="Times New Roman" w:cs="Times New Roman"/>
          <w:sz w:val="24"/>
          <w:szCs w:val="24"/>
          <w:shd w:val="clear" w:color="auto" w:fill="FFFFFF"/>
        </w:rPr>
        <w:t>(8), e230.</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shd w:val="clear" w:color="auto" w:fill="FFFFFF"/>
        </w:rPr>
        <w:t>Wongpakaran, T., Wongpakaran, N., &amp; Ruktrakul, R. (2011). Reliability and Validity of the Multidimensional Scale of Perceived Social Support (MSPSS): Thai Version. </w:t>
      </w:r>
      <w:r w:rsidRPr="0019768D">
        <w:rPr>
          <w:rFonts w:ascii="Times New Roman" w:hAnsi="Times New Roman" w:cs="Times New Roman"/>
          <w:i/>
          <w:iCs/>
          <w:sz w:val="24"/>
          <w:szCs w:val="24"/>
          <w:shd w:val="clear" w:color="auto" w:fill="FFFFFF"/>
        </w:rPr>
        <w:t>Clinical Practice and Epidemiology in Mental Health : CP &amp; EMH</w:t>
      </w:r>
      <w:r w:rsidRPr="0019768D">
        <w:rPr>
          <w:rFonts w:ascii="Times New Roman" w:hAnsi="Times New Roman" w:cs="Times New Roman"/>
          <w:sz w:val="24"/>
          <w:szCs w:val="24"/>
          <w:shd w:val="clear" w:color="auto" w:fill="FFFFFF"/>
        </w:rPr>
        <w:t>, </w:t>
      </w:r>
      <w:r w:rsidRPr="0019768D">
        <w:rPr>
          <w:rFonts w:ascii="Times New Roman" w:hAnsi="Times New Roman" w:cs="Times New Roman"/>
          <w:i/>
          <w:iCs/>
          <w:sz w:val="24"/>
          <w:szCs w:val="24"/>
          <w:shd w:val="clear" w:color="auto" w:fill="FFFFFF"/>
        </w:rPr>
        <w:t>7</w:t>
      </w:r>
      <w:r w:rsidRPr="0019768D">
        <w:rPr>
          <w:rFonts w:ascii="Times New Roman" w:hAnsi="Times New Roman" w:cs="Times New Roman"/>
          <w:sz w:val="24"/>
          <w:szCs w:val="24"/>
          <w:shd w:val="clear" w:color="auto" w:fill="FFFFFF"/>
        </w:rPr>
        <w:t>, 161–166. http://doi.org/10.2174/1745017901107010161</w:t>
      </w:r>
    </w:p>
    <w:p w:rsidR="0019768D" w:rsidRPr="0019768D" w:rsidRDefault="0019768D" w:rsidP="00DE20C9">
      <w:pPr>
        <w:rPr>
          <w:rFonts w:ascii="Times New Roman" w:hAnsi="Times New Roman" w:cs="Times New Roman"/>
          <w:sz w:val="24"/>
          <w:szCs w:val="24"/>
        </w:rPr>
      </w:pPr>
      <w:r w:rsidRPr="0019768D">
        <w:rPr>
          <w:rFonts w:ascii="Times New Roman" w:hAnsi="Times New Roman" w:cs="Times New Roman"/>
          <w:sz w:val="24"/>
          <w:szCs w:val="24"/>
        </w:rPr>
        <w:t>Zimet GD, Dahlem NW, Zimet SG, Farley GK. The Multidimensional Scale of Perceived Social Support. Journal of Personality Assessment 1988;52:30-41.</w:t>
      </w: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DE20C9" w:rsidRDefault="00DE20C9"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6E4D24" w:rsidRDefault="006E4D24" w:rsidP="00790E6F">
      <w:pPr>
        <w:spacing w:line="360" w:lineRule="auto"/>
        <w:jc w:val="both"/>
        <w:rPr>
          <w:rFonts w:ascii="Times New Roman" w:hAnsi="Times New Roman" w:cs="Times New Roman"/>
          <w:sz w:val="24"/>
          <w:szCs w:val="24"/>
        </w:rPr>
      </w:pPr>
    </w:p>
    <w:p w:rsidR="005072AA" w:rsidRPr="00386750" w:rsidRDefault="005072AA" w:rsidP="006F4C9F">
      <w:pPr>
        <w:spacing w:line="360" w:lineRule="auto"/>
        <w:jc w:val="center"/>
        <w:rPr>
          <w:rFonts w:ascii="Times New Roman" w:hAnsi="Times New Roman" w:cs="Times New Roman"/>
          <w:sz w:val="32"/>
          <w:szCs w:val="32"/>
          <w:u w:val="single"/>
        </w:rPr>
      </w:pPr>
      <w:bookmarkStart w:id="5" w:name="_Hlk509794733"/>
      <w:bookmarkEnd w:id="5"/>
      <w:r w:rsidRPr="00386750">
        <w:rPr>
          <w:rFonts w:ascii="Times New Roman" w:hAnsi="Times New Roman" w:cs="Times New Roman"/>
          <w:sz w:val="32"/>
          <w:szCs w:val="32"/>
          <w:u w:val="single"/>
        </w:rPr>
        <w:t>Appendices</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A</w:t>
      </w:r>
      <w:r w:rsidRPr="006F4C9F">
        <w:rPr>
          <w:rFonts w:ascii="Times New Roman" w:hAnsi="Times New Roman" w:cs="Times New Roman"/>
          <w:sz w:val="32"/>
          <w:szCs w:val="32"/>
        </w:rPr>
        <w:t>: Information sheet</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B</w:t>
      </w:r>
      <w:r w:rsidRPr="006F4C9F">
        <w:rPr>
          <w:rFonts w:ascii="Times New Roman" w:hAnsi="Times New Roman" w:cs="Times New Roman"/>
          <w:sz w:val="32"/>
          <w:szCs w:val="32"/>
        </w:rPr>
        <w:t>: Informed consent form</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C</w:t>
      </w:r>
      <w:r w:rsidRPr="006F4C9F">
        <w:rPr>
          <w:rFonts w:ascii="Times New Roman" w:hAnsi="Times New Roman" w:cs="Times New Roman"/>
          <w:sz w:val="32"/>
          <w:szCs w:val="32"/>
        </w:rPr>
        <w:t>: Questionnaire</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D</w:t>
      </w:r>
      <w:r w:rsidRPr="006F4C9F">
        <w:rPr>
          <w:rFonts w:ascii="Times New Roman" w:hAnsi="Times New Roman" w:cs="Times New Roman"/>
          <w:sz w:val="32"/>
          <w:szCs w:val="32"/>
        </w:rPr>
        <w:t>: debriefing sheet</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E</w:t>
      </w:r>
      <w:r w:rsidRPr="006F4C9F">
        <w:rPr>
          <w:rFonts w:ascii="Times New Roman" w:hAnsi="Times New Roman" w:cs="Times New Roman"/>
          <w:sz w:val="32"/>
          <w:szCs w:val="32"/>
        </w:rPr>
        <w:t>: Excel data</w:t>
      </w:r>
    </w:p>
    <w:p w:rsidR="005072AA" w:rsidRPr="006F4C9F" w:rsidRDefault="005072AA" w:rsidP="006F4C9F">
      <w:pPr>
        <w:spacing w:line="360" w:lineRule="auto"/>
        <w:jc w:val="center"/>
        <w:rPr>
          <w:rFonts w:ascii="Times New Roman" w:hAnsi="Times New Roman" w:cs="Times New Roman"/>
          <w:sz w:val="32"/>
          <w:szCs w:val="32"/>
        </w:rPr>
      </w:pPr>
      <w:r w:rsidRPr="006F4C9F">
        <w:rPr>
          <w:rFonts w:ascii="Times New Roman" w:hAnsi="Times New Roman" w:cs="Times New Roman"/>
          <w:sz w:val="32"/>
          <w:szCs w:val="32"/>
        </w:rPr>
        <w:t xml:space="preserve">Appendix </w:t>
      </w:r>
      <w:r w:rsidR="006F4C9F">
        <w:rPr>
          <w:rFonts w:ascii="Times New Roman" w:hAnsi="Times New Roman" w:cs="Times New Roman"/>
          <w:sz w:val="32"/>
          <w:szCs w:val="32"/>
        </w:rPr>
        <w:t>F</w:t>
      </w:r>
      <w:r w:rsidRPr="006F4C9F">
        <w:rPr>
          <w:rFonts w:ascii="Times New Roman" w:hAnsi="Times New Roman" w:cs="Times New Roman"/>
          <w:sz w:val="32"/>
          <w:szCs w:val="32"/>
        </w:rPr>
        <w:t>: SPSS raw data</w:t>
      </w:r>
    </w:p>
    <w:p w:rsidR="005072AA" w:rsidRPr="006F4C9F" w:rsidRDefault="005072AA" w:rsidP="006F4C9F">
      <w:pPr>
        <w:spacing w:line="360" w:lineRule="auto"/>
        <w:jc w:val="center"/>
        <w:rPr>
          <w:rFonts w:ascii="Times New Roman" w:hAnsi="Times New Roman" w:cs="Times New Roman"/>
          <w:sz w:val="32"/>
          <w:szCs w:val="32"/>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Pr="00386750" w:rsidRDefault="005072AA" w:rsidP="00FC1571">
      <w:pPr>
        <w:pStyle w:val="Heading2"/>
        <w:jc w:val="center"/>
        <w:rPr>
          <w:rFonts w:ascii="Times New Roman" w:hAnsi="Times New Roman" w:cs="Times New Roman"/>
        </w:rPr>
      </w:pPr>
      <w:r w:rsidRPr="00386750">
        <w:rPr>
          <w:rFonts w:ascii="Times New Roman" w:hAnsi="Times New Roman" w:cs="Times New Roman"/>
        </w:rPr>
        <w:lastRenderedPageBreak/>
        <w:t xml:space="preserve">Appendix </w:t>
      </w:r>
      <w:r w:rsidR="00386750">
        <w:rPr>
          <w:rFonts w:ascii="Times New Roman" w:hAnsi="Times New Roman" w:cs="Times New Roman"/>
        </w:rPr>
        <w:t>A</w:t>
      </w:r>
      <w:r w:rsidRPr="00386750">
        <w:rPr>
          <w:rFonts w:ascii="Times New Roman" w:hAnsi="Times New Roman" w:cs="Times New Roman"/>
        </w:rPr>
        <w:t>: Information sheet</w:t>
      </w:r>
    </w:p>
    <w:p w:rsidR="005072AA" w:rsidRPr="005072AA" w:rsidRDefault="005072AA" w:rsidP="005072AA">
      <w:pPr>
        <w:spacing w:line="360" w:lineRule="auto"/>
        <w:jc w:val="both"/>
        <w:rPr>
          <w:rFonts w:ascii="Times New Roman" w:hAnsi="Times New Roman" w:cs="Times New Roman"/>
          <w:sz w:val="24"/>
          <w:szCs w:val="24"/>
          <w:u w:val="single"/>
        </w:rPr>
      </w:pP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research project title: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An investigation into the relationship between inflammatory bowel disease activity and psychological well-being.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would like to invite you to voluntarily take part in a research study. Please read the following information carefully in order to understand why the research is being carried out. If any questions should arise, please contact the researcher via the email address provided at the bottom of the page. I am a level 6 BSc Applied Psychology undergraduate. This research is part of my final year dissertation.</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Aim of the study:</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rPr>
        <w:t>This study will aim to investigate the relationship between psychological distress and inflammatory bowel disease.</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Purpose of the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Inflammatory bowel disease is a chronic illness consisting of unpredictable disease flares that can affect an individual’s day-to-day life (</w:t>
      </w:r>
      <w:r w:rsidR="00B056D6">
        <w:rPr>
          <w:rFonts w:ascii="Times New Roman" w:hAnsi="Times New Roman" w:cs="Times New Roman"/>
          <w:sz w:val="24"/>
          <w:szCs w:val="24"/>
        </w:rPr>
        <w:t>L</w:t>
      </w:r>
      <w:r w:rsidRPr="005072AA">
        <w:rPr>
          <w:rFonts w:ascii="Times New Roman" w:hAnsi="Times New Roman" w:cs="Times New Roman"/>
          <w:sz w:val="24"/>
          <w:szCs w:val="24"/>
        </w:rPr>
        <w:t>oftus, 2004). With treatment, an individual suffering with the disease experience at least one relapse a year (panthers et al, 1996). These treatments include medication and/or surgical interventions which can be highly invasive. These treatments could affect an individual’s well-being and quality of life (</w:t>
      </w:r>
      <w:r w:rsidR="00B056D6">
        <w:rPr>
          <w:rFonts w:ascii="Times New Roman" w:hAnsi="Times New Roman" w:cs="Times New Roman"/>
          <w:sz w:val="24"/>
          <w:szCs w:val="24"/>
        </w:rPr>
        <w:t>D</w:t>
      </w:r>
      <w:r w:rsidRPr="005072AA">
        <w:rPr>
          <w:rFonts w:ascii="Times New Roman" w:hAnsi="Times New Roman" w:cs="Times New Roman"/>
          <w:sz w:val="24"/>
          <w:szCs w:val="24"/>
        </w:rPr>
        <w:t>rossman et al, 1989). If this study finds a relationship between IBD disease activity and psychological well-being, it may offer support for further research to investigate whether alternative, less invasive treatments may improve an individual’s rate of relapse and quality of life.</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What will happen?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Participation in this study is completely voluntary. If you do choose to take part in this study, you will be directed to the next page which will contain an informed consent form. You will still be able to withdraw yourself or your data after signing the consent form with no repercussions. After completing the consent form, you will be directed to the questionnaire. this will take approximately 10 minutes. You are not required to answer any questions that you are not comfortable with. However, all data and answers </w:t>
      </w:r>
      <w:r w:rsidRPr="005072AA">
        <w:rPr>
          <w:rFonts w:ascii="Times New Roman" w:hAnsi="Times New Roman" w:cs="Times New Roman"/>
          <w:sz w:val="24"/>
          <w:szCs w:val="24"/>
        </w:rPr>
        <w:lastRenderedPageBreak/>
        <w:t>collected during this study are strictly confidential as no identifiable, personal information will be collected. Only the researcher and the dissertation supervisor will have access to the data.</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Participations rights: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Participation in this study is completely voluntarily. All participants have the right to withdraw their data before, during and after data collection. You are not required to answer questions that you feel uncomfortable answering. All data will be confidential and anonymous and no identifiable data (e.g. names) will be collected. All data will be stored in an encrypted file and will be destroyed six months after completion of the study. If you have any further questions or wish to withdraw your data at any point please contact the email provided below and all questions will be answered.</w:t>
      </w:r>
    </w:p>
    <w:p w:rsidR="005072AA" w:rsidRPr="005072AA" w:rsidRDefault="005072AA" w:rsidP="005072AA">
      <w:pPr>
        <w:spacing w:line="360" w:lineRule="auto"/>
        <w:jc w:val="both"/>
        <w:rPr>
          <w:rFonts w:ascii="Times New Roman" w:hAnsi="Times New Roman" w:cs="Times New Roman"/>
          <w:sz w:val="24"/>
          <w:szCs w:val="24"/>
          <w:u w:val="single"/>
        </w:rPr>
      </w:pPr>
      <w:r w:rsidRPr="005072AA">
        <w:rPr>
          <w:rFonts w:ascii="Times New Roman" w:hAnsi="Times New Roman" w:cs="Times New Roman"/>
          <w:sz w:val="24"/>
          <w:szCs w:val="24"/>
          <w:u w:val="single"/>
        </w:rPr>
        <w:t>contact details: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researchers e-mail: 1502343@student.uwtsd.ac.uk</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dissertation supervisor's e-mail: k.eatonthomas@uwtsd.ac.uk</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Pr="00386750" w:rsidRDefault="005072AA" w:rsidP="00FC1571">
      <w:pPr>
        <w:pStyle w:val="Heading2"/>
        <w:jc w:val="center"/>
        <w:rPr>
          <w:rFonts w:ascii="Times New Roman" w:hAnsi="Times New Roman" w:cs="Times New Roman"/>
        </w:rPr>
      </w:pPr>
      <w:r w:rsidRPr="00386750">
        <w:rPr>
          <w:rFonts w:ascii="Times New Roman" w:hAnsi="Times New Roman" w:cs="Times New Roman"/>
        </w:rPr>
        <w:lastRenderedPageBreak/>
        <w:t xml:space="preserve">Appendix </w:t>
      </w:r>
      <w:r w:rsidR="00386750">
        <w:rPr>
          <w:rFonts w:ascii="Times New Roman" w:hAnsi="Times New Roman" w:cs="Times New Roman"/>
        </w:rPr>
        <w:t>B</w:t>
      </w:r>
      <w:r w:rsidRPr="00386750">
        <w:rPr>
          <w:rFonts w:ascii="Times New Roman" w:hAnsi="Times New Roman" w:cs="Times New Roman"/>
        </w:rPr>
        <w:t>: Informed Consent form</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sz w:val="24"/>
          <w:szCs w:val="24"/>
        </w:rPr>
        <w:t>I​ agree to participate in the research study on Psychological well-being and Inflammatory Bowel Disease.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 Yes                          No</w:t>
      </w:r>
    </w:p>
    <w:p w:rsidR="00386750" w:rsidRDefault="00386750"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understand that:</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My participation in this project is completely voluntary.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will not be identified by name in any reports and my confidentiality will be secure.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 may withdraw myself and my data at any time without penalty.</w:t>
      </w:r>
    </w:p>
    <w:p w:rsidR="00386750" w:rsidRDefault="005072AA" w:rsidP="00386750">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This study involves completing a questionnaire containing 59 questions.</w:t>
      </w:r>
    </w:p>
    <w:p w:rsidR="00386750" w:rsidRDefault="00386750" w:rsidP="00386750">
      <w:pPr>
        <w:spacing w:line="360" w:lineRule="auto"/>
        <w:jc w:val="both"/>
        <w:rPr>
          <w:rFonts w:ascii="Times New Roman" w:eastAsia="Arial" w:hAnsi="Times New Roman" w:cs="Times New Roman"/>
          <w:b/>
          <w:color w:val="444444"/>
          <w:sz w:val="24"/>
          <w:szCs w:val="24"/>
          <w:lang w:eastAsia="en-GB"/>
        </w:rPr>
      </w:pPr>
    </w:p>
    <w:p w:rsidR="00386750" w:rsidRPr="00386750" w:rsidRDefault="00386750" w:rsidP="00386750">
      <w:pPr>
        <w:spacing w:line="360" w:lineRule="auto"/>
        <w:jc w:val="both"/>
        <w:rPr>
          <w:rFonts w:ascii="Times New Roman" w:hAnsi="Times New Roman" w:cs="Times New Roman"/>
          <w:sz w:val="24"/>
          <w:szCs w:val="24"/>
        </w:rPr>
      </w:pPr>
      <w:r w:rsidRPr="00386750">
        <w:rPr>
          <w:rFonts w:ascii="Times New Roman" w:eastAsia="Arial" w:hAnsi="Times New Roman" w:cs="Times New Roman"/>
          <w:b/>
          <w:color w:val="444444"/>
          <w:sz w:val="24"/>
          <w:szCs w:val="24"/>
          <w:lang w:eastAsia="en-GB"/>
        </w:rPr>
        <w:t>I​ have read and understood the information given regarding the study.</w:t>
      </w:r>
    </w:p>
    <w:p w:rsidR="00386750" w:rsidRPr="00386750" w:rsidRDefault="00386750" w:rsidP="00386750">
      <w:pPr>
        <w:spacing w:after="0" w:line="360" w:lineRule="auto"/>
        <w:rPr>
          <w:rFonts w:ascii="Times New Roman" w:eastAsia="Times New Roman" w:hAnsi="Times New Roman" w:cs="Times New Roman"/>
          <w:sz w:val="24"/>
          <w:szCs w:val="24"/>
          <w:lang w:eastAsia="en-GB"/>
        </w:rPr>
      </w:pPr>
    </w:p>
    <w:p w:rsidR="00386750" w:rsidRPr="00386750" w:rsidRDefault="00386750" w:rsidP="00386750">
      <w:pPr>
        <w:spacing w:after="0" w:line="360" w:lineRule="auto"/>
        <w:ind w:left="200"/>
        <w:rPr>
          <w:rFonts w:ascii="Times New Roman" w:eastAsia="Times New Roman" w:hAnsi="Times New Roman" w:cs="Times New Roman"/>
          <w:sz w:val="24"/>
          <w:szCs w:val="24"/>
          <w:lang w:eastAsia="en-GB"/>
        </w:rPr>
      </w:pPr>
      <w:r w:rsidRPr="00386750">
        <w:rPr>
          <w:rFonts w:ascii="Times New Roman" w:eastAsia="Arial" w:hAnsi="Times New Roman" w:cs="Times New Roman"/>
          <w:color w:val="303030"/>
          <w:sz w:val="24"/>
          <w:szCs w:val="24"/>
          <w:lang w:eastAsia="en-GB"/>
        </w:rPr>
        <w:t xml:space="preserve"> Yes                          No</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386750" w:rsidRPr="005072AA" w:rsidRDefault="00386750" w:rsidP="005072AA">
      <w:pPr>
        <w:spacing w:line="360" w:lineRule="auto"/>
        <w:jc w:val="both"/>
        <w:rPr>
          <w:rFonts w:ascii="Times New Roman" w:hAnsi="Times New Roman" w:cs="Times New Roman"/>
          <w:sz w:val="24"/>
          <w:szCs w:val="24"/>
        </w:rPr>
      </w:pPr>
    </w:p>
    <w:p w:rsidR="005072AA" w:rsidRDefault="00386750" w:rsidP="00FC1571">
      <w:pPr>
        <w:pStyle w:val="Heading2"/>
        <w:jc w:val="center"/>
        <w:rPr>
          <w:rFonts w:ascii="Times New Roman" w:hAnsi="Times New Roman" w:cs="Times New Roman"/>
        </w:rPr>
      </w:pPr>
      <w:r w:rsidRPr="00386750">
        <w:rPr>
          <w:rFonts w:ascii="Times New Roman" w:hAnsi="Times New Roman" w:cs="Times New Roman"/>
        </w:rPr>
        <w:lastRenderedPageBreak/>
        <w:t>Appendix C: Questionnaire</w:t>
      </w:r>
    </w:p>
    <w:p w:rsidR="00386750" w:rsidRDefault="00386750" w:rsidP="00386750"/>
    <w:p w:rsidR="00386750" w:rsidRPr="00386750" w:rsidRDefault="00386750" w:rsidP="00386750">
      <w:pPr>
        <w:rPr>
          <w:rFonts w:ascii="Calibri" w:eastAsia="Calibri" w:hAnsi="Calibri" w:cs="Times New Roman"/>
          <w:b/>
        </w:rPr>
      </w:pPr>
      <w:r w:rsidRPr="00386750">
        <w:rPr>
          <w:rFonts w:ascii="Calibri" w:eastAsia="Calibri" w:hAnsi="Calibri" w:cs="Times New Roman"/>
          <w:b/>
        </w:rPr>
        <w:t>Inflammatory​ Bowel Disease</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Ulcerative Colitis        Crohn</w:t>
      </w:r>
      <w:r w:rsidR="00B056D6">
        <w:rPr>
          <w:rFonts w:ascii="Calibri" w:eastAsia="Calibri" w:hAnsi="Calibri" w:cs="Times New Roman"/>
        </w:rPr>
        <w:t>’</w:t>
      </w:r>
      <w:r w:rsidRPr="00386750">
        <w:rPr>
          <w:rFonts w:ascii="Calibri" w:eastAsia="Calibri" w:hAnsi="Calibri" w:cs="Times New Roman"/>
        </w:rPr>
        <w:t xml:space="preserve">s Disease               </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Proctitis                       Irritable Bowel Syndrome</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Awaiting diagnosis</w:t>
      </w:r>
    </w:p>
    <w:p w:rsidR="00386750" w:rsidRPr="00386750" w:rsidRDefault="00386750" w:rsidP="00386750">
      <w:pPr>
        <w:rPr>
          <w:rFonts w:ascii="Calibri" w:eastAsia="Calibri" w:hAnsi="Calibri" w:cs="Times New Roman"/>
        </w:rPr>
      </w:pPr>
      <w:r w:rsidRPr="00386750">
        <w:rPr>
          <w:rFonts w:ascii="Calibri" w:eastAsia="Calibri" w:hAnsi="Calibri" w:cs="Times New Roman"/>
        </w:rPr>
        <w:t>​</w:t>
      </w:r>
    </w:p>
    <w:p w:rsidR="00386750" w:rsidRPr="00386750" w:rsidRDefault="00386750" w:rsidP="00386750">
      <w:pPr>
        <w:rPr>
          <w:rFonts w:ascii="Calibri" w:eastAsia="Calibri" w:hAnsi="Calibri" w:cs="Times New Roman"/>
          <w:b/>
        </w:rPr>
      </w:pPr>
      <w:r w:rsidRPr="00386750">
        <w:rPr>
          <w:rFonts w:ascii="Calibri" w:eastAsia="Calibri" w:hAnsi="Calibri" w:cs="Times New Roman"/>
          <w:b/>
        </w:rPr>
        <w:t>Gender.</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r w:rsidRPr="00386750">
        <w:rPr>
          <w:rFonts w:ascii="Calibri" w:eastAsia="Calibri" w:hAnsi="Calibri" w:cs="Times New Roman"/>
        </w:rPr>
        <w:t xml:space="preserve"> Male                        Female                      Prefer not to say</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b/>
        </w:rPr>
      </w:pPr>
      <w:r w:rsidRPr="00386750">
        <w:rPr>
          <w:rFonts w:ascii="Calibri" w:eastAsia="Calibri" w:hAnsi="Calibri" w:cs="Times New Roman"/>
          <w:b/>
        </w:rPr>
        <w:t>Age​</w:t>
      </w:r>
    </w:p>
    <w:p w:rsidR="00386750" w:rsidRPr="00386750" w:rsidRDefault="00386750" w:rsidP="00386750">
      <w:pPr>
        <w:rPr>
          <w:rFonts w:ascii="Calibri" w:eastAsia="Calibri" w:hAnsi="Calibri" w:cs="Times New Roman"/>
          <w:b/>
        </w:rPr>
      </w:pP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r>
      <w:r w:rsidRPr="00386750">
        <w:rPr>
          <w:rFonts w:ascii="Calibri" w:eastAsia="Calibri" w:hAnsi="Calibri" w:cs="Times New Roman"/>
          <w:b/>
          <w:u w:val="single"/>
        </w:rPr>
        <w:softHyphen/>
        <w:t>_____________________</w:t>
      </w:r>
    </w:p>
    <w:p w:rsidR="00386750" w:rsidRPr="00386750" w:rsidRDefault="00386750" w:rsidP="00386750">
      <w:pPr>
        <w:rPr>
          <w:rFonts w:ascii="Calibri" w:eastAsia="Calibri" w:hAnsi="Calibri" w:cs="Times New Roman"/>
        </w:rPr>
      </w:pPr>
    </w:p>
    <w:p w:rsidR="00386750" w:rsidRPr="00386750" w:rsidRDefault="00386750" w:rsidP="00386750">
      <w:pPr>
        <w:rPr>
          <w:rFonts w:ascii="Calibri" w:eastAsia="Calibri" w:hAnsi="Calibri" w:cs="Times New Roman"/>
          <w:b/>
        </w:rPr>
      </w:pPr>
      <w:r w:rsidRPr="00386750">
        <w:rPr>
          <w:rFonts w:ascii="Calibri" w:eastAsia="Calibri" w:hAnsi="Calibri" w:cs="Times New Roman"/>
          <w:b/>
        </w:rPr>
        <w:t>Country of residence:</w:t>
      </w:r>
    </w:p>
    <w:p w:rsidR="00386750" w:rsidRPr="00386750" w:rsidRDefault="00386750" w:rsidP="00386750">
      <w:pPr>
        <w:rPr>
          <w:rFonts w:ascii="Calibri" w:eastAsia="Calibri" w:hAnsi="Calibri" w:cs="Times New Roman"/>
        </w:rPr>
      </w:pPr>
      <w:r w:rsidRPr="00386750">
        <w:rPr>
          <w:rFonts w:ascii="Calibri" w:eastAsia="Calibri" w:hAnsi="Calibri" w:cs="Times New Roman"/>
        </w:rPr>
        <w:t>Wales</w:t>
      </w:r>
      <w:r w:rsidRPr="00386750">
        <w:rPr>
          <w:rFonts w:ascii="Calibri" w:eastAsia="Calibri" w:hAnsi="Calibri" w:cs="Times New Roman"/>
        </w:rPr>
        <w:tab/>
      </w:r>
      <w:r w:rsidRPr="00386750">
        <w:rPr>
          <w:rFonts w:ascii="Calibri" w:eastAsia="Calibri" w:hAnsi="Calibri" w:cs="Times New Roman"/>
        </w:rPr>
        <w:tab/>
      </w:r>
      <w:r w:rsidRPr="00386750">
        <w:rPr>
          <w:rFonts w:ascii="Calibri" w:eastAsia="Calibri" w:hAnsi="Calibri" w:cs="Times New Roman"/>
        </w:rPr>
        <w:tab/>
        <w:t>England</w:t>
      </w:r>
    </w:p>
    <w:p w:rsidR="00386750" w:rsidRPr="00386750" w:rsidRDefault="00386750" w:rsidP="00386750">
      <w:pPr>
        <w:rPr>
          <w:rFonts w:ascii="Calibri" w:eastAsia="Calibri" w:hAnsi="Calibri" w:cs="Times New Roman"/>
        </w:rPr>
      </w:pPr>
      <w:r w:rsidRPr="00386750">
        <w:rPr>
          <w:rFonts w:ascii="Calibri" w:eastAsia="Calibri" w:hAnsi="Calibri" w:cs="Times New Roman"/>
        </w:rPr>
        <w:t>Ireland</w:t>
      </w:r>
      <w:r w:rsidRPr="00386750">
        <w:rPr>
          <w:rFonts w:ascii="Calibri" w:eastAsia="Calibri" w:hAnsi="Calibri" w:cs="Times New Roman"/>
        </w:rPr>
        <w:tab/>
      </w:r>
      <w:r w:rsidRPr="00386750">
        <w:rPr>
          <w:rFonts w:ascii="Calibri" w:eastAsia="Calibri" w:hAnsi="Calibri" w:cs="Times New Roman"/>
        </w:rPr>
        <w:tab/>
      </w:r>
      <w:r w:rsidRPr="00386750">
        <w:rPr>
          <w:rFonts w:ascii="Calibri" w:eastAsia="Calibri" w:hAnsi="Calibri" w:cs="Times New Roman"/>
        </w:rPr>
        <w:tab/>
        <w:t xml:space="preserve">Scotland </w:t>
      </w:r>
      <w:r w:rsidRPr="00386750">
        <w:rPr>
          <w:rFonts w:ascii="Calibri" w:eastAsia="Calibri" w:hAnsi="Calibri" w:cs="Times New Roman"/>
        </w:rPr>
        <w:tab/>
      </w:r>
    </w:p>
    <w:p w:rsidR="00386750" w:rsidRPr="00386750" w:rsidRDefault="00386750" w:rsidP="00386750">
      <w:pPr>
        <w:rPr>
          <w:rFonts w:ascii="Calibri" w:eastAsia="Calibri" w:hAnsi="Calibri" w:cs="Times New Roman"/>
        </w:rPr>
      </w:pPr>
      <w:r w:rsidRPr="00386750">
        <w:rPr>
          <w:rFonts w:ascii="Calibri" w:eastAsia="Calibri" w:hAnsi="Calibri" w:cs="Times New Roman"/>
        </w:rPr>
        <w:t>Other (Please Specify) _____________________</w:t>
      </w:r>
    </w:p>
    <w:p w:rsidR="00386750" w:rsidRPr="00386750" w:rsidRDefault="00386750" w:rsidP="00386750">
      <w:pPr>
        <w:rPr>
          <w:rFonts w:ascii="Calibri" w:eastAsia="Calibri" w:hAnsi="Calibri" w:cs="Times New Roman"/>
        </w:rPr>
      </w:pPr>
    </w:p>
    <w:p w:rsidR="00386750" w:rsidRPr="00386750" w:rsidRDefault="00386750" w:rsidP="00386750"/>
    <w:p w:rsidR="00386750" w:rsidRPr="00386750" w:rsidRDefault="00386750" w:rsidP="00386750"/>
    <w:p w:rsidR="005072AA" w:rsidRPr="005072AA" w:rsidRDefault="005072AA" w:rsidP="005072AA">
      <w:pPr>
        <w:numPr>
          <w:ilvl w:val="0"/>
          <w:numId w:val="3"/>
        </w:num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 xml:space="preserve">General Well-being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well</w:t>
      </w:r>
      <w:r w:rsidRPr="005072AA">
        <w:rPr>
          <w:rFonts w:ascii="Times New Roman" w:hAnsi="Times New Roman" w:cs="Times New Roman"/>
          <w:sz w:val="24"/>
          <w:szCs w:val="24"/>
        </w:rPr>
        <w:tab/>
      </w:r>
      <w:r w:rsidRPr="005072AA">
        <w:rPr>
          <w:rFonts w:ascii="Times New Roman" w:hAnsi="Times New Roman" w:cs="Times New Roman"/>
          <w:sz w:val="24"/>
          <w:szCs w:val="24"/>
        </w:rPr>
        <w:tab/>
        <w:t>Well</w:t>
      </w:r>
      <w:r w:rsidRPr="005072AA">
        <w:rPr>
          <w:rFonts w:ascii="Times New Roman" w:hAnsi="Times New Roman" w:cs="Times New Roman"/>
          <w:sz w:val="24"/>
          <w:szCs w:val="24"/>
        </w:rPr>
        <w:tab/>
      </w:r>
      <w:r w:rsidRPr="005072AA">
        <w:rPr>
          <w:rFonts w:ascii="Times New Roman" w:hAnsi="Times New Roman" w:cs="Times New Roman"/>
          <w:sz w:val="24"/>
          <w:szCs w:val="24"/>
        </w:rPr>
        <w:tab/>
        <w:t>Poor</w:t>
      </w:r>
      <w:r w:rsidRPr="005072AA">
        <w:rPr>
          <w:rFonts w:ascii="Times New Roman" w:hAnsi="Times New Roman" w:cs="Times New Roman"/>
          <w:sz w:val="24"/>
          <w:szCs w:val="24"/>
        </w:rPr>
        <w:tab/>
      </w:r>
      <w:r w:rsidRPr="005072AA">
        <w:rPr>
          <w:rFonts w:ascii="Times New Roman" w:hAnsi="Times New Roman" w:cs="Times New Roman"/>
          <w:sz w:val="24"/>
          <w:szCs w:val="24"/>
        </w:rPr>
        <w:tab/>
        <w:t>Very Poor</w:t>
      </w:r>
      <w:r w:rsidRPr="005072AA">
        <w:rPr>
          <w:rFonts w:ascii="Times New Roman" w:hAnsi="Times New Roman" w:cs="Times New Roman"/>
          <w:sz w:val="24"/>
          <w:szCs w:val="24"/>
        </w:rPr>
        <w:tab/>
      </w:r>
      <w:r w:rsidRPr="005072AA">
        <w:rPr>
          <w:rFonts w:ascii="Times New Roman" w:hAnsi="Times New Roman" w:cs="Times New Roman"/>
          <w:sz w:val="24"/>
          <w:szCs w:val="24"/>
        </w:rPr>
        <w:tab/>
        <w:t>Terrible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3"/>
        </w:num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Abdominal pain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None</w:t>
      </w:r>
      <w:r w:rsidRPr="005072AA">
        <w:rPr>
          <w:rFonts w:ascii="Times New Roman" w:hAnsi="Times New Roman" w:cs="Times New Roman"/>
          <w:sz w:val="24"/>
          <w:szCs w:val="24"/>
        </w:rPr>
        <w:tab/>
      </w:r>
      <w:r w:rsidRPr="005072AA">
        <w:rPr>
          <w:rFonts w:ascii="Times New Roman" w:hAnsi="Times New Roman" w:cs="Times New Roman"/>
          <w:sz w:val="24"/>
          <w:szCs w:val="24"/>
        </w:rPr>
        <w:tab/>
        <w:t>Mild</w:t>
      </w:r>
      <w:r w:rsidRPr="005072AA">
        <w:rPr>
          <w:rFonts w:ascii="Times New Roman" w:hAnsi="Times New Roman" w:cs="Times New Roman"/>
          <w:sz w:val="24"/>
          <w:szCs w:val="24"/>
        </w:rPr>
        <w:tab/>
      </w:r>
      <w:r w:rsidRPr="005072AA">
        <w:rPr>
          <w:rFonts w:ascii="Times New Roman" w:hAnsi="Times New Roman" w:cs="Times New Roman"/>
          <w:sz w:val="24"/>
          <w:szCs w:val="24"/>
        </w:rPr>
        <w:tab/>
        <w:t>Moderate</w:t>
      </w:r>
      <w:r w:rsidRPr="005072AA">
        <w:rPr>
          <w:rFonts w:ascii="Times New Roman" w:hAnsi="Times New Roman" w:cs="Times New Roman"/>
          <w:sz w:val="24"/>
          <w:szCs w:val="24"/>
        </w:rPr>
        <w:tab/>
      </w:r>
      <w:r w:rsidRPr="005072AA">
        <w:rPr>
          <w:rFonts w:ascii="Times New Roman" w:hAnsi="Times New Roman" w:cs="Times New Roman"/>
          <w:sz w:val="24"/>
          <w:szCs w:val="24"/>
        </w:rPr>
        <w:tab/>
        <w:t>Severe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 xml:space="preserve">Number of liquid or soft stool per day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____________________________________</w:t>
      </w:r>
    </w:p>
    <w:p w:rsidR="005072AA" w:rsidRPr="00386750" w:rsidRDefault="005072AA"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Abdominal mass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None</w:t>
      </w:r>
      <w:r w:rsidRPr="005072AA">
        <w:rPr>
          <w:rFonts w:ascii="Times New Roman" w:hAnsi="Times New Roman" w:cs="Times New Roman"/>
          <w:sz w:val="24"/>
          <w:szCs w:val="24"/>
        </w:rPr>
        <w:tab/>
      </w:r>
      <w:r w:rsidRPr="005072AA">
        <w:rPr>
          <w:rFonts w:ascii="Times New Roman" w:hAnsi="Times New Roman" w:cs="Times New Roman"/>
          <w:sz w:val="24"/>
          <w:szCs w:val="24"/>
        </w:rPr>
        <w:tab/>
        <w:t>Uncertain</w:t>
      </w:r>
      <w:r w:rsidRPr="005072AA">
        <w:rPr>
          <w:rFonts w:ascii="Times New Roman" w:hAnsi="Times New Roman" w:cs="Times New Roman"/>
          <w:sz w:val="24"/>
          <w:szCs w:val="24"/>
        </w:rPr>
        <w:tab/>
      </w:r>
      <w:r w:rsidRPr="005072AA">
        <w:rPr>
          <w:rFonts w:ascii="Times New Roman" w:hAnsi="Times New Roman" w:cs="Times New Roman"/>
          <w:sz w:val="24"/>
          <w:szCs w:val="24"/>
        </w:rPr>
        <w:tab/>
        <w:t>Definite</w:t>
      </w:r>
      <w:r w:rsidRPr="005072AA">
        <w:rPr>
          <w:rFonts w:ascii="Times New Roman" w:hAnsi="Times New Roman" w:cs="Times New Roman"/>
          <w:sz w:val="24"/>
          <w:szCs w:val="24"/>
        </w:rPr>
        <w:tab/>
      </w:r>
      <w:r w:rsidRPr="005072AA">
        <w:rPr>
          <w:rFonts w:ascii="Times New Roman" w:hAnsi="Times New Roman" w:cs="Times New Roman"/>
          <w:sz w:val="24"/>
          <w:szCs w:val="24"/>
        </w:rPr>
        <w:tab/>
        <w:t>Definite &amp; Tender</w:t>
      </w:r>
    </w:p>
    <w:p w:rsidR="005072AA" w:rsidRPr="00386750" w:rsidRDefault="00DF69AF" w:rsidP="005072AA">
      <w:pPr>
        <w:numPr>
          <w:ilvl w:val="0"/>
          <w:numId w:val="3"/>
        </w:num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Complications</w:t>
      </w:r>
      <w:r w:rsidR="005072AA" w:rsidRPr="00386750">
        <w:rPr>
          <w:rFonts w:ascii="Times New Roman" w:hAnsi="Times New Roman" w:cs="Times New Roman"/>
          <w:b/>
          <w:sz w:val="24"/>
          <w:szCs w:val="24"/>
        </w:rPr>
        <w:t xml:space="preserve"> (you may select more than one)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None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Arthralgia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Uveitis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Erythema nodosum </w:t>
      </w:r>
      <w:r w:rsidRPr="005072AA">
        <w:rPr>
          <w:rFonts w:ascii="Times New Roman" w:hAnsi="Times New Roman" w:cs="Times New Roman"/>
          <w:sz w:val="24"/>
          <w:szCs w:val="24"/>
        </w:rPr>
        <w:tab/>
        <w:t xml:space="preserve">             Anal </w:t>
      </w:r>
      <w:r w:rsidR="00DF69AF" w:rsidRPr="005072AA">
        <w:rPr>
          <w:rFonts w:ascii="Times New Roman" w:hAnsi="Times New Roman" w:cs="Times New Roman"/>
          <w:sz w:val="24"/>
          <w:szCs w:val="24"/>
        </w:rPr>
        <w:t>Fissure</w:t>
      </w:r>
      <w:r w:rsidRPr="005072AA">
        <w:rPr>
          <w:rFonts w:ascii="Times New Roman" w:hAnsi="Times New Roman" w:cs="Times New Roman"/>
          <w:sz w:val="24"/>
          <w:szCs w:val="24"/>
        </w:rPr>
        <w:tab/>
        <w:t xml:space="preserve"> New </w:t>
      </w:r>
      <w:r w:rsidR="00DF69AF" w:rsidRPr="005072AA">
        <w:rPr>
          <w:rFonts w:ascii="Times New Roman" w:hAnsi="Times New Roman" w:cs="Times New Roman"/>
          <w:sz w:val="24"/>
          <w:szCs w:val="24"/>
        </w:rPr>
        <w:t>Fistula</w:t>
      </w:r>
      <w:r w:rsidRPr="005072AA">
        <w:rPr>
          <w:rFonts w:ascii="Times New Roman" w:hAnsi="Times New Roman" w:cs="Times New Roman"/>
          <w:sz w:val="24"/>
          <w:szCs w:val="24"/>
        </w:rPr>
        <w:t xml:space="preserve"> </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Abscess </w:t>
      </w:r>
      <w:r w:rsidRPr="005072AA">
        <w:rPr>
          <w:rFonts w:ascii="Times New Roman" w:hAnsi="Times New Roman" w:cs="Times New Roman"/>
          <w:sz w:val="24"/>
          <w:szCs w:val="24"/>
        </w:rPr>
        <w:tab/>
      </w:r>
      <w:r w:rsidRPr="005072AA">
        <w:rPr>
          <w:rFonts w:ascii="Times New Roman" w:hAnsi="Times New Roman" w:cs="Times New Roman"/>
          <w:sz w:val="24"/>
          <w:szCs w:val="24"/>
        </w:rPr>
        <w:tab/>
        <w:t>Aphthous Ulcers</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6.There is a special person with whom I can share my joys and sorrows.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7.My family really tries to help me.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sz w:val="24"/>
          <w:szCs w:val="24"/>
        </w:rPr>
        <w:t xml:space="preserve">8. I get the emotional support and help I need from my family.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9. I have a special person who is a real source of comfort to me.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10. My friends really help me.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sz w:val="24"/>
          <w:szCs w:val="24"/>
        </w:rPr>
        <w:t>11. I can count on my friends when things go wrong.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386750" w:rsidRPr="005072AA" w:rsidRDefault="00386750"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sz w:val="24"/>
          <w:szCs w:val="24"/>
        </w:rPr>
        <w:t>12. I can talk about my problems with my family</w:t>
      </w:r>
      <w:r w:rsidRPr="005072AA">
        <w:rPr>
          <w:rFonts w:ascii="Times New Roman" w:hAnsi="Times New Roman" w:cs="Times New Roman"/>
          <w:sz w:val="24"/>
          <w:szCs w:val="24"/>
        </w:rPr>
        <w:t xml:space="preserve">.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13* I have friends with whom I can share my joys and sorrows.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14* There is a special person in my life who cares about my feelings.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w:t>
      </w:r>
      <w:r w:rsidR="00386750">
        <w:rPr>
          <w:rFonts w:ascii="Times New Roman" w:hAnsi="Times New Roman" w:cs="Times New Roman"/>
          <w:sz w:val="24"/>
          <w:szCs w:val="24"/>
        </w:rPr>
        <w:t>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15. My family is willing to help me make decisions.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tbl>
      <w:tblPr>
        <w:tblW w:w="0" w:type="auto"/>
        <w:tblLayout w:type="fixed"/>
        <w:tblCellMar>
          <w:left w:w="0" w:type="dxa"/>
          <w:right w:w="0" w:type="dxa"/>
        </w:tblCellMar>
        <w:tblLook w:val="04A0" w:firstRow="1" w:lastRow="0" w:firstColumn="1" w:lastColumn="0" w:noHBand="0" w:noVBand="1"/>
      </w:tblPr>
      <w:tblGrid>
        <w:gridCol w:w="6260"/>
        <w:gridCol w:w="1100"/>
        <w:gridCol w:w="1420"/>
        <w:gridCol w:w="1440"/>
      </w:tblGrid>
      <w:tr w:rsidR="005072AA" w:rsidRPr="005072AA" w:rsidTr="006F4C9F">
        <w:trPr>
          <w:trHeight w:val="350"/>
        </w:trPr>
        <w:tc>
          <w:tcPr>
            <w:tcW w:w="6260" w:type="dxa"/>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 xml:space="preserve">16. I can talk about my problems with my friends. </w:t>
            </w:r>
            <w:r w:rsidRPr="005072AA">
              <w:rPr>
                <w:rFonts w:ascii="Times New Roman" w:hAnsi="Times New Roman" w:cs="Times New Roman"/>
                <w:sz w:val="24"/>
                <w:szCs w:val="24"/>
              </w:rPr>
              <w:t>​</w:t>
            </w:r>
          </w:p>
        </w:tc>
        <w:tc>
          <w:tcPr>
            <w:tcW w:w="110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2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40" w:type="dxa"/>
            <w:vAlign w:val="bottom"/>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 xml:space="preserve">17. </w:t>
      </w:r>
      <w:r w:rsidRPr="00386750">
        <w:rPr>
          <w:rFonts w:ascii="Times New Roman" w:hAnsi="Times New Roman" w:cs="Times New Roman"/>
          <w:b/>
          <w:sz w:val="24"/>
          <w:szCs w:val="24"/>
        </w:rPr>
        <w:t>​There is a special person who is around when I am in need.</w:t>
      </w:r>
    </w:p>
    <w:p w:rsidR="005072AA" w:rsidRPr="005072AA" w:rsidRDefault="005072AA" w:rsidP="005072AA">
      <w:pPr>
        <w:spacing w:line="360" w:lineRule="auto"/>
        <w:jc w:val="both"/>
        <w:rPr>
          <w:rFonts w:ascii="Times New Roman" w:hAnsi="Times New Roman" w:cs="Times New Roman"/>
          <w:sz w:val="24"/>
          <w:szCs w:val="24"/>
        </w:rPr>
      </w:pPr>
      <w:bookmarkStart w:id="6" w:name="_Hlk509794216"/>
      <w:r w:rsidRPr="005072AA">
        <w:rPr>
          <w:rFonts w:ascii="Times New Roman" w:hAnsi="Times New Roman" w:cs="Times New Roman"/>
          <w:sz w:val="24"/>
          <w:szCs w:val="24"/>
        </w:rPr>
        <w:t>1</w:t>
      </w:r>
      <w:r w:rsidRPr="005072AA">
        <w:rPr>
          <w:rFonts w:ascii="Times New Roman" w:hAnsi="Times New Roman" w:cs="Times New Roman"/>
          <w:sz w:val="24"/>
          <w:szCs w:val="24"/>
        </w:rPr>
        <w:tab/>
        <w:t>2</w:t>
      </w:r>
      <w:r w:rsidRPr="005072AA">
        <w:rPr>
          <w:rFonts w:ascii="Times New Roman" w:hAnsi="Times New Roman" w:cs="Times New Roman"/>
          <w:sz w:val="24"/>
          <w:szCs w:val="24"/>
        </w:rPr>
        <w:tab/>
        <w:t>3</w:t>
      </w:r>
      <w:r w:rsidRPr="005072AA">
        <w:rPr>
          <w:rFonts w:ascii="Times New Roman" w:hAnsi="Times New Roman" w:cs="Times New Roman"/>
          <w:sz w:val="24"/>
          <w:szCs w:val="24"/>
        </w:rPr>
        <w:tab/>
        <w:t>4</w:t>
      </w:r>
      <w:r w:rsidRPr="005072AA">
        <w:rPr>
          <w:rFonts w:ascii="Times New Roman" w:hAnsi="Times New Roman" w:cs="Times New Roman"/>
          <w:sz w:val="24"/>
          <w:szCs w:val="24"/>
        </w:rPr>
        <w:tab/>
        <w:t>5</w:t>
      </w:r>
      <w:r w:rsidRPr="005072AA">
        <w:rPr>
          <w:rFonts w:ascii="Times New Roman" w:hAnsi="Times New Roman" w:cs="Times New Roman"/>
          <w:sz w:val="24"/>
          <w:szCs w:val="24"/>
        </w:rPr>
        <w:tab/>
        <w:t>6</w:t>
      </w:r>
      <w:r w:rsidRPr="005072AA">
        <w:rPr>
          <w:rFonts w:ascii="Times New Roman" w:hAnsi="Times New Roman" w:cs="Times New Roman"/>
          <w:sz w:val="24"/>
          <w:szCs w:val="24"/>
        </w:rPr>
        <w:tab/>
        <w:t>7</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Very 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t>Very strongly disagree</w:t>
      </w:r>
    </w:p>
    <w:bookmarkEnd w:id="6"/>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18</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​On the whole, I am satisfied with myself.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tbl>
      <w:tblPr>
        <w:tblW w:w="0" w:type="auto"/>
        <w:tblLayout w:type="fixed"/>
        <w:tblCellMar>
          <w:left w:w="0" w:type="dxa"/>
          <w:right w:w="0" w:type="dxa"/>
        </w:tblCellMar>
        <w:tblLook w:val="04A0" w:firstRow="1" w:lastRow="0" w:firstColumn="1" w:lastColumn="0" w:noHBand="0" w:noVBand="1"/>
      </w:tblPr>
      <w:tblGrid>
        <w:gridCol w:w="5240"/>
        <w:gridCol w:w="2280"/>
        <w:gridCol w:w="2700"/>
      </w:tblGrid>
      <w:tr w:rsidR="005072AA" w:rsidRPr="005072AA" w:rsidTr="006F4C9F">
        <w:trPr>
          <w:trHeight w:val="350"/>
        </w:trPr>
        <w:tc>
          <w:tcPr>
            <w:tcW w:w="5240" w:type="dxa"/>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19</w:t>
            </w:r>
            <w:r w:rsidR="00386750">
              <w:rPr>
                <w:rFonts w:ascii="Times New Roman" w:hAnsi="Times New Roman" w:cs="Times New Roman"/>
                <w:b/>
                <w:bCs/>
                <w:sz w:val="24"/>
                <w:szCs w:val="24"/>
              </w:rPr>
              <w:t xml:space="preserve">. </w:t>
            </w:r>
            <w:r w:rsidRPr="00386750">
              <w:rPr>
                <w:rFonts w:ascii="Times New Roman" w:hAnsi="Times New Roman" w:cs="Times New Roman"/>
                <w:b/>
                <w:sz w:val="24"/>
                <w:szCs w:val="24"/>
              </w:rPr>
              <w:t>At times I think I am no good at all</w:t>
            </w:r>
          </w:p>
        </w:tc>
        <w:tc>
          <w:tcPr>
            <w:tcW w:w="2280" w:type="dxa"/>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2700" w:type="dxa"/>
            <w:vAlign w:val="bottom"/>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20</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that I have a number of good qualities.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21</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am able to do things as well as most other people.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lastRenderedPageBreak/>
        <w:t>22</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I do not have much to be proud of.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23</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certainly feel useless at times.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24</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feel that I'm a person of worth, at least on an equal plane with others.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25</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wish I could have more respect for myself.</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26</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All in all, I am inclined to feel that I am a failure.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spacing w:line="360" w:lineRule="auto"/>
        <w:jc w:val="both"/>
        <w:rPr>
          <w:rFonts w:ascii="Times New Roman" w:hAnsi="Times New Roman" w:cs="Times New Roman"/>
          <w:b/>
          <w:sz w:val="24"/>
          <w:szCs w:val="24"/>
        </w:rPr>
      </w:pPr>
      <w:r w:rsidRPr="00386750">
        <w:rPr>
          <w:rFonts w:ascii="Times New Roman" w:hAnsi="Times New Roman" w:cs="Times New Roman"/>
          <w:b/>
          <w:bCs/>
          <w:sz w:val="24"/>
          <w:szCs w:val="24"/>
        </w:rPr>
        <w:t>27</w:t>
      </w:r>
      <w:r w:rsidR="00386750">
        <w:rPr>
          <w:rFonts w:ascii="Times New Roman" w:hAnsi="Times New Roman" w:cs="Times New Roman"/>
          <w:b/>
          <w:bCs/>
          <w:sz w:val="24"/>
          <w:szCs w:val="24"/>
        </w:rPr>
        <w:t>.</w:t>
      </w:r>
      <w:r w:rsidRPr="00386750">
        <w:rPr>
          <w:rFonts w:ascii="Times New Roman" w:hAnsi="Times New Roman" w:cs="Times New Roman"/>
          <w:b/>
          <w:bCs/>
          <w:sz w:val="24"/>
          <w:szCs w:val="24"/>
        </w:rPr>
        <w:t xml:space="preserve"> </w:t>
      </w:r>
      <w:r w:rsidRPr="00386750">
        <w:rPr>
          <w:rFonts w:ascii="Times New Roman" w:hAnsi="Times New Roman" w:cs="Times New Roman"/>
          <w:b/>
          <w:sz w:val="24"/>
          <w:szCs w:val="24"/>
        </w:rPr>
        <w:t>I take a positive attitude toward myself.</w:t>
      </w:r>
    </w:p>
    <w:p w:rsidR="005072AA" w:rsidRPr="005072AA" w:rsidRDefault="005072AA" w:rsidP="005072AA">
      <w:pPr>
        <w:spacing w:line="360" w:lineRule="auto"/>
        <w:jc w:val="both"/>
        <w:rPr>
          <w:rFonts w:ascii="Times New Roman" w:hAnsi="Times New Roman" w:cs="Times New Roman"/>
          <w:sz w:val="24"/>
          <w:szCs w:val="24"/>
        </w:rPr>
      </w:pPr>
      <w:bookmarkStart w:id="7" w:name="_Hlk509794089"/>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Strongly agree</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Strongly disagree</w:t>
      </w:r>
    </w:p>
    <w:p w:rsidR="00386750" w:rsidRPr="005072AA" w:rsidRDefault="00386750" w:rsidP="005072AA">
      <w:pPr>
        <w:spacing w:line="360" w:lineRule="auto"/>
        <w:jc w:val="both"/>
        <w:rPr>
          <w:rFonts w:ascii="Times New Roman" w:hAnsi="Times New Roman" w:cs="Times New Roman"/>
          <w:sz w:val="24"/>
          <w:szCs w:val="24"/>
        </w:rPr>
      </w:pPr>
    </w:p>
    <w:bookmarkEnd w:id="7"/>
    <w:p w:rsidR="005072AA" w:rsidRPr="00386750" w:rsidRDefault="00386750" w:rsidP="00386750">
      <w:pPr>
        <w:spacing w:line="360" w:lineRule="auto"/>
        <w:jc w:val="both"/>
        <w:rPr>
          <w:rFonts w:ascii="Times New Roman" w:hAnsi="Times New Roman" w:cs="Times New Roman"/>
          <w:b/>
          <w:bCs/>
          <w:sz w:val="24"/>
          <w:szCs w:val="24"/>
        </w:rPr>
      </w:pPr>
      <w:r>
        <w:rPr>
          <w:rFonts w:ascii="Times New Roman" w:hAnsi="Times New Roman" w:cs="Times New Roman"/>
          <w:b/>
          <w:sz w:val="24"/>
          <w:szCs w:val="24"/>
        </w:rPr>
        <w:lastRenderedPageBreak/>
        <w:t>28.</w:t>
      </w:r>
      <w:r w:rsidR="005072AA" w:rsidRPr="00386750">
        <w:rPr>
          <w:rFonts w:ascii="Times New Roman" w:hAnsi="Times New Roman" w:cs="Times New Roman"/>
          <w:b/>
          <w:sz w:val="24"/>
          <w:szCs w:val="24"/>
        </w:rPr>
        <w:t>I​ was aware of dryness of my mouth</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386750" w:rsidP="00386750">
      <w:pPr>
        <w:spacing w:line="360" w:lineRule="auto"/>
        <w:jc w:val="both"/>
        <w:rPr>
          <w:rFonts w:ascii="Times New Roman" w:hAnsi="Times New Roman" w:cs="Times New Roman"/>
          <w:b/>
          <w:bCs/>
          <w:sz w:val="24"/>
          <w:szCs w:val="24"/>
        </w:rPr>
      </w:pPr>
      <w:bookmarkStart w:id="8" w:name="page7"/>
      <w:bookmarkEnd w:id="8"/>
      <w:r>
        <w:rPr>
          <w:rFonts w:ascii="Times New Roman" w:hAnsi="Times New Roman" w:cs="Times New Roman"/>
          <w:b/>
          <w:bCs/>
          <w:sz w:val="24"/>
          <w:szCs w:val="24"/>
        </w:rPr>
        <w:t>29.</w:t>
      </w:r>
      <w:r w:rsidR="005072AA" w:rsidRPr="005072AA">
        <w:rPr>
          <w:rFonts w:ascii="Times New Roman" w:hAnsi="Times New Roman" w:cs="Times New Roman"/>
          <w:b/>
          <w:bCs/>
          <w:sz w:val="24"/>
          <w:szCs w:val="24"/>
        </w:rPr>
        <w:t xml:space="preserve">I couldn't seem to experience any positive feeling at all </w:t>
      </w:r>
      <w:r w:rsidR="005072AA"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6"/>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experienced breathing difficulty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xml:space="preserve">, excessively rapid breathing, breathlessness in the absence of physical exertion)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7"/>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found it difficult to work up the initiative to do things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experienced trembling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in the hands)</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9"/>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was worried about situations in which I might panic and make a fool of myself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386750" w:rsidRDefault="005072AA" w:rsidP="005072AA">
      <w:pPr>
        <w:numPr>
          <w:ilvl w:val="0"/>
          <w:numId w:val="10"/>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felt that I had nothing to look forward to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1"/>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down-hearted and blue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2"/>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felt I was close to panic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3"/>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I was unable to become enthusiastic about anything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4"/>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felt I wasn't worth much as a person</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numPr>
          <w:ilvl w:val="0"/>
          <w:numId w:val="15"/>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I was aware of the action of my heart in the absence of physical exertion (</w:t>
      </w:r>
      <w:r w:rsidR="00DF69AF" w:rsidRPr="005072AA">
        <w:rPr>
          <w:rFonts w:ascii="Times New Roman" w:hAnsi="Times New Roman" w:cs="Times New Roman"/>
          <w:b/>
          <w:bCs/>
          <w:sz w:val="24"/>
          <w:szCs w:val="24"/>
        </w:rPr>
        <w:t>e.g.</w:t>
      </w:r>
      <w:r w:rsidRPr="005072AA">
        <w:rPr>
          <w:rFonts w:ascii="Times New Roman" w:hAnsi="Times New Roman" w:cs="Times New Roman"/>
          <w:b/>
          <w:bCs/>
          <w:sz w:val="24"/>
          <w:szCs w:val="24"/>
        </w:rPr>
        <w:t xml:space="preserve">, sense of heart rate increase, heart missing a beat)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6"/>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scared without any good reason​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7"/>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I felt that life was meaningless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4</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Did not apply</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Applied very much</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spacing w:line="360" w:lineRule="auto"/>
        <w:jc w:val="both"/>
        <w:rPr>
          <w:rFonts w:ascii="Times New Roman" w:hAnsi="Times New Roman" w:cs="Times New Roman"/>
          <w:b/>
          <w:sz w:val="24"/>
          <w:szCs w:val="24"/>
        </w:rPr>
      </w:pPr>
      <w:r w:rsidRPr="005072AA">
        <w:rPr>
          <w:rFonts w:ascii="Times New Roman" w:hAnsi="Times New Roman" w:cs="Times New Roman"/>
          <w:b/>
          <w:bCs/>
          <w:sz w:val="24"/>
          <w:szCs w:val="24"/>
        </w:rPr>
        <w:t xml:space="preserve">42  </w:t>
      </w:r>
      <w:r w:rsidRPr="005072AA">
        <w:rPr>
          <w:rFonts w:ascii="Times New Roman" w:hAnsi="Times New Roman" w:cs="Times New Roman"/>
          <w:sz w:val="24"/>
          <w:szCs w:val="24"/>
        </w:rPr>
        <w:t>​</w:t>
      </w:r>
      <w:r w:rsidRPr="00883239">
        <w:rPr>
          <w:rFonts w:ascii="Times New Roman" w:hAnsi="Times New Roman" w:cs="Times New Roman"/>
          <w:b/>
          <w:sz w:val="24"/>
          <w:szCs w:val="24"/>
        </w:rPr>
        <w:t>When have you usually gone to bed?</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How long (in minutes) has it taken you to fall asleep each night?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883239"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What time have you usually gotten up in the morning?</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numPr>
          <w:ilvl w:val="0"/>
          <w:numId w:val="18"/>
        </w:num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 xml:space="preserve">How many hours of actual sleep did you get at night? </w:t>
      </w:r>
      <w:r w:rsidRPr="005072AA">
        <w:rPr>
          <w:rFonts w:ascii="Times New Roman" w:hAnsi="Times New Roman" w:cs="Times New Roman"/>
          <w:sz w:val="24"/>
          <w:szCs w:val="24"/>
        </w:rPr>
        <w:t>​</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How many hours were you in bed?</w:t>
      </w:r>
    </w:p>
    <w:p w:rsidR="005072AA" w:rsidRPr="00883239" w:rsidRDefault="005072AA" w:rsidP="005072AA">
      <w:p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47. Cannot​ get to sleep within 30 minutes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Default="005072AA"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19"/>
        </w:numPr>
        <w:spacing w:line="360" w:lineRule="auto"/>
        <w:jc w:val="both"/>
        <w:rPr>
          <w:rFonts w:ascii="Times New Roman" w:hAnsi="Times New Roman" w:cs="Times New Roman"/>
          <w:b/>
          <w:bCs/>
          <w:sz w:val="24"/>
          <w:szCs w:val="24"/>
        </w:rPr>
      </w:pPr>
      <w:bookmarkStart w:id="9" w:name="page10"/>
      <w:bookmarkEnd w:id="9"/>
      <w:r w:rsidRPr="00883239">
        <w:rPr>
          <w:rFonts w:ascii="Times New Roman" w:hAnsi="Times New Roman" w:cs="Times New Roman"/>
          <w:b/>
          <w:sz w:val="24"/>
          <w:szCs w:val="24"/>
        </w:rPr>
        <w:lastRenderedPageBreak/>
        <w:t>Wake up in the middle of the night or early morning</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0"/>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to get up to use the bathroom</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1"/>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Cannot breathe comfortably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2"/>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Cough or snore loudly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3"/>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Feel too cold</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4"/>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Feel too hot</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5"/>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bad dreams​</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6"/>
        </w:numPr>
        <w:spacing w:line="360" w:lineRule="auto"/>
        <w:jc w:val="both"/>
        <w:rPr>
          <w:rFonts w:ascii="Times New Roman" w:hAnsi="Times New Roman" w:cs="Times New Roman"/>
          <w:b/>
          <w:bCs/>
          <w:sz w:val="24"/>
          <w:szCs w:val="24"/>
        </w:rPr>
      </w:pPr>
      <w:bookmarkStart w:id="10" w:name="page11"/>
      <w:bookmarkEnd w:id="10"/>
      <w:r w:rsidRPr="00883239">
        <w:rPr>
          <w:rFonts w:ascii="Times New Roman" w:hAnsi="Times New Roman" w:cs="Times New Roman"/>
          <w:b/>
          <w:sz w:val="24"/>
          <w:szCs w:val="24"/>
        </w:rPr>
        <w:t>During the past month, how often have you taken medicine (prescribed or “over the counter”) to help you sleep?</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7"/>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Have pain​</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8"/>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During the past month, how often have you had trouble staying awake while driving, eating meals, or engaging in social activity?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883239" w:rsidRPr="005072AA" w:rsidRDefault="00883239"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29"/>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t>During the past month, how much of a problem has it been for you to keep up enthusiasm to get things done?</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883239" w:rsidRDefault="005072AA" w:rsidP="005072AA">
      <w:pPr>
        <w:numPr>
          <w:ilvl w:val="0"/>
          <w:numId w:val="30"/>
        </w:numPr>
        <w:spacing w:line="360" w:lineRule="auto"/>
        <w:jc w:val="both"/>
        <w:rPr>
          <w:rFonts w:ascii="Times New Roman" w:hAnsi="Times New Roman" w:cs="Times New Roman"/>
          <w:b/>
          <w:bCs/>
          <w:sz w:val="24"/>
          <w:szCs w:val="24"/>
        </w:rPr>
      </w:pPr>
      <w:r w:rsidRPr="00883239">
        <w:rPr>
          <w:rFonts w:ascii="Times New Roman" w:hAnsi="Times New Roman" w:cs="Times New Roman"/>
          <w:b/>
          <w:sz w:val="24"/>
          <w:szCs w:val="24"/>
        </w:rPr>
        <w:lastRenderedPageBreak/>
        <w:t>During the past month, how would you rate your sleep quality overall?</w:t>
      </w:r>
    </w:p>
    <w:p w:rsidR="005072AA" w:rsidRPr="005072AA" w:rsidRDefault="005072AA" w:rsidP="005072AA">
      <w:pPr>
        <w:spacing w:line="360" w:lineRule="auto"/>
        <w:jc w:val="both"/>
        <w:rPr>
          <w:rFonts w:ascii="Times New Roman" w:hAnsi="Times New Roman" w:cs="Times New Roman"/>
          <w:sz w:val="24"/>
          <w:szCs w:val="24"/>
        </w:rPr>
      </w:pPr>
      <w:bookmarkStart w:id="11" w:name="_Hlk509793452"/>
      <w:r w:rsidRPr="005072AA">
        <w:rPr>
          <w:rFonts w:ascii="Times New Roman" w:hAnsi="Times New Roman" w:cs="Times New Roman"/>
          <w:sz w:val="24"/>
          <w:szCs w:val="24"/>
        </w:rPr>
        <w:t>1</w:t>
      </w:r>
      <w:r w:rsidRPr="005072AA">
        <w:rPr>
          <w:rFonts w:ascii="Times New Roman" w:hAnsi="Times New Roman" w:cs="Times New Roman"/>
          <w:sz w:val="24"/>
          <w:szCs w:val="24"/>
        </w:rPr>
        <w:tab/>
      </w:r>
      <w:r w:rsidRPr="005072AA">
        <w:rPr>
          <w:rFonts w:ascii="Times New Roman" w:hAnsi="Times New Roman" w:cs="Times New Roman"/>
          <w:sz w:val="24"/>
          <w:szCs w:val="24"/>
        </w:rPr>
        <w:tab/>
        <w:t>2</w:t>
      </w:r>
      <w:r w:rsidRPr="005072AA">
        <w:rPr>
          <w:rFonts w:ascii="Times New Roman" w:hAnsi="Times New Roman" w:cs="Times New Roman"/>
          <w:sz w:val="24"/>
          <w:szCs w:val="24"/>
        </w:rPr>
        <w:tab/>
      </w:r>
      <w:r w:rsidRPr="005072AA">
        <w:rPr>
          <w:rFonts w:ascii="Times New Roman" w:hAnsi="Times New Roman" w:cs="Times New Roman"/>
          <w:sz w:val="24"/>
          <w:szCs w:val="24"/>
        </w:rPr>
        <w:tab/>
        <w:t>3</w:t>
      </w:r>
      <w:r w:rsidRPr="005072AA">
        <w:rPr>
          <w:rFonts w:ascii="Times New Roman" w:hAnsi="Times New Roman" w:cs="Times New Roman"/>
          <w:sz w:val="24"/>
          <w:szCs w:val="24"/>
        </w:rPr>
        <w:tab/>
      </w:r>
      <w:r w:rsidRPr="005072AA">
        <w:rPr>
          <w:rFonts w:ascii="Times New Roman" w:hAnsi="Times New Roman" w:cs="Times New Roman"/>
          <w:sz w:val="24"/>
          <w:szCs w:val="24"/>
        </w:rPr>
        <w:tab/>
        <w:t xml:space="preserve">4 </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Not often</w:t>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r>
      <w:r w:rsidRPr="005072AA">
        <w:rPr>
          <w:rFonts w:ascii="Times New Roman" w:hAnsi="Times New Roman" w:cs="Times New Roman"/>
          <w:sz w:val="24"/>
          <w:szCs w:val="24"/>
        </w:rPr>
        <w:tab/>
        <w:t>Very often</w:t>
      </w:r>
    </w:p>
    <w:bookmarkEnd w:id="11"/>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Default="00883239"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FC1571">
      <w:pPr>
        <w:pStyle w:val="Heading2"/>
        <w:jc w:val="center"/>
        <w:rPr>
          <w:rFonts w:ascii="Times New Roman" w:hAnsi="Times New Roman" w:cs="Times New Roman"/>
        </w:rPr>
      </w:pPr>
      <w:r w:rsidRPr="00883239">
        <w:rPr>
          <w:rFonts w:ascii="Times New Roman" w:hAnsi="Times New Roman" w:cs="Times New Roman"/>
        </w:rPr>
        <w:lastRenderedPageBreak/>
        <w:t xml:space="preserve">Appendix </w:t>
      </w:r>
      <w:r w:rsidR="00883239">
        <w:rPr>
          <w:rFonts w:ascii="Times New Roman" w:hAnsi="Times New Roman" w:cs="Times New Roman"/>
        </w:rPr>
        <w:t>D</w:t>
      </w:r>
      <w:r w:rsidRPr="00883239">
        <w:rPr>
          <w:rFonts w:ascii="Times New Roman" w:hAnsi="Times New Roman" w:cs="Times New Roman"/>
        </w:rPr>
        <w:t>: Debriefing sheet</w:t>
      </w:r>
    </w:p>
    <w:p w:rsidR="00883239" w:rsidRPr="00883239" w:rsidRDefault="00883239" w:rsidP="00883239"/>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Thank you for your </w:t>
      </w:r>
      <w:r w:rsidR="00883239" w:rsidRPr="005072AA">
        <w:rPr>
          <w:rFonts w:ascii="Times New Roman" w:hAnsi="Times New Roman" w:cs="Times New Roman"/>
          <w:sz w:val="24"/>
          <w:szCs w:val="24"/>
        </w:rPr>
        <w:t>participation</w:t>
      </w:r>
      <w:r w:rsidRPr="005072AA">
        <w:rPr>
          <w:rFonts w:ascii="Times New Roman" w:hAnsi="Times New Roman" w:cs="Times New Roman"/>
          <w:sz w:val="24"/>
          <w:szCs w:val="24"/>
        </w:rPr>
        <w:t xml:space="preserve"> in this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No deception was used in this study. However, if you feel that this study has caused any distress in any way, please contact the researcher.</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Withdrawal of your data or participation can still be requested. If you have any further questions about the research, please contact the researcher via:</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E-mail: </w:t>
      </w:r>
      <w:hyperlink r:id="rId13" w:history="1">
        <w:r w:rsidRPr="005072AA">
          <w:rPr>
            <w:rStyle w:val="Hyperlink"/>
            <w:rFonts w:ascii="Times New Roman" w:hAnsi="Times New Roman" w:cs="Times New Roman"/>
            <w:sz w:val="24"/>
            <w:szCs w:val="24"/>
          </w:rPr>
          <w:t>1502343@student.uwtsd.ac.uk</w:t>
        </w:r>
      </w:hyperlink>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If you would like to receive a copy of the results, this can be arranged with the researcher via e-mail, post study.</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Thank you again for your participation.</w:t>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5072AA">
      <w:pPr>
        <w:spacing w:line="360" w:lineRule="auto"/>
        <w:jc w:val="both"/>
        <w:rPr>
          <w:rFonts w:ascii="Times New Roman" w:hAnsi="Times New Roman" w:cs="Times New Roman"/>
          <w:sz w:val="24"/>
          <w:szCs w:val="24"/>
        </w:rPr>
      </w:pPr>
    </w:p>
    <w:p w:rsidR="00883239" w:rsidRPr="005072AA" w:rsidRDefault="00883239"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Default="005072AA" w:rsidP="00FC1571">
      <w:pPr>
        <w:pStyle w:val="Heading2"/>
        <w:jc w:val="center"/>
        <w:rPr>
          <w:rFonts w:ascii="Times New Roman" w:hAnsi="Times New Roman" w:cs="Times New Roman"/>
        </w:rPr>
      </w:pPr>
      <w:r w:rsidRPr="00883239">
        <w:rPr>
          <w:rFonts w:ascii="Times New Roman" w:hAnsi="Times New Roman" w:cs="Times New Roman"/>
        </w:rPr>
        <w:lastRenderedPageBreak/>
        <w:t xml:space="preserve">Appendix </w:t>
      </w:r>
      <w:r w:rsidR="00883239">
        <w:rPr>
          <w:rFonts w:ascii="Times New Roman" w:hAnsi="Times New Roman" w:cs="Times New Roman"/>
        </w:rPr>
        <w:t>E</w:t>
      </w:r>
      <w:r w:rsidRPr="00883239">
        <w:rPr>
          <w:rFonts w:ascii="Times New Roman" w:hAnsi="Times New Roman" w:cs="Times New Roman"/>
        </w:rPr>
        <w:t>: Excel datasheet</w:t>
      </w:r>
    </w:p>
    <w:p w:rsidR="00883239" w:rsidRPr="00883239" w:rsidRDefault="00883239" w:rsidP="00883239"/>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DT=Disease Type</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Gen= Gender</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HBI= Harvey Bradshaw Index</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PSS= Perceived social support</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D= Depression</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A= Anxiety</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SE= Self-esteem</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QoL= Quality of Life</w:t>
      </w:r>
      <w:r w:rsidR="00883239">
        <w:rPr>
          <w:rFonts w:ascii="Times New Roman" w:hAnsi="Times New Roman" w:cs="Times New Roman"/>
          <w:sz w:val="24"/>
          <w:szCs w:val="24"/>
        </w:rPr>
        <w:t>;</w:t>
      </w:r>
      <w:r w:rsidRPr="005072AA">
        <w:rPr>
          <w:rFonts w:ascii="Times New Roman" w:hAnsi="Times New Roman" w:cs="Times New Roman"/>
          <w:sz w:val="24"/>
          <w:szCs w:val="24"/>
        </w:rPr>
        <w:t xml:space="preserve"> SQ= Sleep Quality</w:t>
      </w:r>
      <w:r w:rsidR="00883239">
        <w:rPr>
          <w:rFonts w:ascii="Times New Roman" w:hAnsi="Times New Roman" w:cs="Times New Roman"/>
          <w:sz w:val="24"/>
          <w:szCs w:val="24"/>
        </w:rPr>
        <w:t>.</w:t>
      </w:r>
    </w:p>
    <w:tbl>
      <w:tblPr>
        <w:tblStyle w:val="TableGridLight"/>
        <w:tblW w:w="8359" w:type="dxa"/>
        <w:tblLook w:val="04A0" w:firstRow="1" w:lastRow="0" w:firstColumn="1" w:lastColumn="0" w:noHBand="0" w:noVBand="1"/>
      </w:tblPr>
      <w:tblGrid>
        <w:gridCol w:w="1216"/>
        <w:gridCol w:w="923"/>
        <w:gridCol w:w="616"/>
        <w:gridCol w:w="1110"/>
        <w:gridCol w:w="1150"/>
        <w:gridCol w:w="885"/>
        <w:gridCol w:w="457"/>
        <w:gridCol w:w="456"/>
        <w:gridCol w:w="510"/>
        <w:gridCol w:w="683"/>
        <w:gridCol w:w="645"/>
      </w:tblGrid>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DT</w:t>
            </w:r>
          </w:p>
        </w:tc>
        <w:tc>
          <w:tcPr>
            <w:tcW w:w="881"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Gen</w:t>
            </w:r>
          </w:p>
        </w:tc>
        <w:tc>
          <w:tcPr>
            <w:tcW w:w="592"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Age</w:t>
            </w:r>
          </w:p>
        </w:tc>
        <w:tc>
          <w:tcPr>
            <w:tcW w:w="10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Country</w:t>
            </w:r>
          </w:p>
        </w:tc>
        <w:tc>
          <w:tcPr>
            <w:tcW w:w="109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HBI</w:t>
            </w:r>
          </w:p>
        </w:tc>
        <w:tc>
          <w:tcPr>
            <w:tcW w:w="88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PSS</w:t>
            </w:r>
          </w:p>
        </w:tc>
        <w:tc>
          <w:tcPr>
            <w:tcW w:w="457"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D</w:t>
            </w:r>
          </w:p>
        </w:tc>
        <w:tc>
          <w:tcPr>
            <w:tcW w:w="442" w:type="dxa"/>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A</w:t>
            </w:r>
          </w:p>
        </w:tc>
        <w:tc>
          <w:tcPr>
            <w:tcW w:w="493"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SE</w:t>
            </w:r>
          </w:p>
        </w:tc>
        <w:tc>
          <w:tcPr>
            <w:tcW w:w="65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QoL</w:t>
            </w:r>
          </w:p>
        </w:tc>
        <w:tc>
          <w:tcPr>
            <w:tcW w:w="645" w:type="dxa"/>
            <w:noWrap/>
            <w:hideMark/>
          </w:tcPr>
          <w:p w:rsidR="005072AA" w:rsidRPr="005072AA" w:rsidRDefault="005072AA" w:rsidP="005072AA">
            <w:pPr>
              <w:spacing w:after="160"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SQ</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82</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PNS</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Canada </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81</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894"/>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88</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Sweden</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Crohns Disease </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Northern Ireland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Pr>
                <w:rFonts w:ascii="Times New Roman" w:hAnsi="Times New Roman" w:cs="Times New Roman"/>
                <w:sz w:val="24"/>
                <w:szCs w:val="24"/>
              </w:rPr>
              <w:t>NZ</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 Wisco</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Northern Ireland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France</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Sweden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Cyprus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Canada </w:t>
            </w:r>
            <w:r w:rsidR="00DF69AF" w:rsidRPr="005072AA">
              <w:rPr>
                <w:rFonts w:ascii="Times New Roman" w:hAnsi="Times New Roman" w:cs="Times New Roman"/>
                <w:sz w:val="24"/>
                <w:szCs w:val="24"/>
              </w:rPr>
              <w:t>Ontario</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Australia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Australia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Crohns Disease</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Budapest (HUN)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Budapest (HUN)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Proctitis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DF69AF"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Ireland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France</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Egypt</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Canada</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Spain</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5.92</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USA </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5.08</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3.25</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r>
      <w:tr w:rsidR="005072AA" w:rsidRPr="005072AA" w:rsidTr="00883239">
        <w:trPr>
          <w:trHeight w:val="300"/>
        </w:trPr>
        <w:tc>
          <w:tcPr>
            <w:tcW w:w="11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0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3.17</w:t>
            </w:r>
          </w:p>
        </w:tc>
        <w:tc>
          <w:tcPr>
            <w:tcW w:w="457"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w:t>
            </w:r>
          </w:p>
        </w:tc>
        <w:tc>
          <w:tcPr>
            <w:tcW w:w="65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645" w:type="dxa"/>
            <w:noWrap/>
            <w:hideMark/>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17</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Scotland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Wales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3.67</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12</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16</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England</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1.08</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United states</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11</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r>
      <w:tr w:rsidR="005072AA" w:rsidRPr="005072AA" w:rsidTr="00883239">
        <w:trPr>
          <w:trHeight w:val="300"/>
        </w:trPr>
        <w:tc>
          <w:tcPr>
            <w:tcW w:w="11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881"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592"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c>
          <w:tcPr>
            <w:tcW w:w="10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USA</w:t>
            </w:r>
          </w:p>
        </w:tc>
        <w:tc>
          <w:tcPr>
            <w:tcW w:w="109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severe </w:t>
            </w:r>
          </w:p>
        </w:tc>
        <w:tc>
          <w:tcPr>
            <w:tcW w:w="88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457"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442" w:type="dxa"/>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493"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65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55</w:t>
            </w:r>
          </w:p>
        </w:tc>
        <w:tc>
          <w:tcPr>
            <w:tcW w:w="645" w:type="dxa"/>
            <w:noWrap/>
            <w:hideMark/>
          </w:tcPr>
          <w:p w:rsidR="005072AA" w:rsidRPr="005072AA" w:rsidRDefault="005072AA" w:rsidP="005072AA">
            <w:pPr>
              <w:spacing w:after="160"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r>
    </w:tbl>
    <w:p w:rsidR="005072AA" w:rsidRPr="005072AA" w:rsidRDefault="005072AA"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883239" w:rsidRDefault="00883239" w:rsidP="005072AA">
      <w:pPr>
        <w:spacing w:line="360" w:lineRule="auto"/>
        <w:jc w:val="both"/>
        <w:rPr>
          <w:rFonts w:ascii="Times New Roman" w:hAnsi="Times New Roman" w:cs="Times New Roman"/>
          <w:sz w:val="24"/>
          <w:szCs w:val="24"/>
          <w:u w:val="single"/>
        </w:rPr>
      </w:pPr>
    </w:p>
    <w:p w:rsidR="005072AA" w:rsidRPr="00883239" w:rsidRDefault="005072AA" w:rsidP="00FC1571">
      <w:pPr>
        <w:pStyle w:val="Heading2"/>
        <w:jc w:val="center"/>
        <w:rPr>
          <w:rFonts w:ascii="Times New Roman" w:hAnsi="Times New Roman" w:cs="Times New Roman"/>
        </w:rPr>
      </w:pPr>
      <w:r w:rsidRPr="00883239">
        <w:rPr>
          <w:rFonts w:ascii="Times New Roman" w:hAnsi="Times New Roman" w:cs="Times New Roman"/>
        </w:rPr>
        <w:lastRenderedPageBreak/>
        <w:t xml:space="preserve">Appendix </w:t>
      </w:r>
      <w:r w:rsidR="00883239">
        <w:rPr>
          <w:rFonts w:ascii="Times New Roman" w:hAnsi="Times New Roman" w:cs="Times New Roman"/>
        </w:rPr>
        <w:t>F</w:t>
      </w:r>
      <w:r w:rsidRPr="00883239">
        <w:rPr>
          <w:rFonts w:ascii="Times New Roman" w:hAnsi="Times New Roman" w:cs="Times New Roman"/>
        </w:rPr>
        <w:t>: SPSS Raw data</w:t>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Frequencies</w:t>
      </w:r>
    </w:p>
    <w:p w:rsidR="005072AA" w:rsidRPr="005072AA" w:rsidRDefault="005072AA" w:rsidP="005072AA">
      <w:pPr>
        <w:spacing w:line="360" w:lineRule="auto"/>
        <w:jc w:val="both"/>
        <w:rPr>
          <w:rFonts w:ascii="Times New Roman" w:hAnsi="Times New Roman" w:cs="Times New Roman"/>
          <w:sz w:val="24"/>
          <w:szCs w:val="24"/>
        </w:rPr>
      </w:pPr>
    </w:p>
    <w:tbl>
      <w:tblPr>
        <w:tblW w:w="6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54"/>
        <w:gridCol w:w="1461"/>
        <w:gridCol w:w="1669"/>
        <w:gridCol w:w="837"/>
        <w:gridCol w:w="1030"/>
      </w:tblGrid>
      <w:tr w:rsidR="005072AA" w:rsidRPr="005072AA" w:rsidTr="00883239">
        <w:tblPrEx>
          <w:tblCellMar>
            <w:top w:w="0" w:type="dxa"/>
            <w:bottom w:w="0" w:type="dxa"/>
          </w:tblCellMar>
        </w:tblPrEx>
        <w:trPr>
          <w:cantSplit/>
        </w:trPr>
        <w:tc>
          <w:tcPr>
            <w:tcW w:w="6687"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Statistics</w:t>
            </w:r>
          </w:p>
        </w:tc>
      </w:tr>
      <w:tr w:rsidR="005072AA" w:rsidRPr="005072AA" w:rsidTr="00883239">
        <w:tblPrEx>
          <w:tblCellMar>
            <w:top w:w="0" w:type="dxa"/>
            <w:bottom w:w="0" w:type="dxa"/>
          </w:tblCellMar>
        </w:tblPrEx>
        <w:trPr>
          <w:cantSplit/>
        </w:trPr>
        <w:tc>
          <w:tcPr>
            <w:tcW w:w="1690"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61"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66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37"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w:t>
            </w:r>
          </w:p>
        </w:tc>
        <w:tc>
          <w:tcPr>
            <w:tcW w:w="1030"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r>
      <w:tr w:rsidR="005072AA" w:rsidRPr="005072AA" w:rsidTr="00883239">
        <w:tblPrEx>
          <w:tblCellMar>
            <w:top w:w="0" w:type="dxa"/>
            <w:bottom w:w="0" w:type="dxa"/>
          </w:tblCellMar>
        </w:tblPrEx>
        <w:trPr>
          <w:cantSplit/>
        </w:trPr>
        <w:tc>
          <w:tcPr>
            <w:tcW w:w="736"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c>
          <w:tcPr>
            <w:tcW w:w="954"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461"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66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37"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30"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883239">
        <w:tblPrEx>
          <w:tblCellMar>
            <w:top w:w="0" w:type="dxa"/>
            <w:bottom w:w="0" w:type="dxa"/>
          </w:tblCellMar>
        </w:tblPrEx>
        <w:trPr>
          <w:cantSplit/>
        </w:trPr>
        <w:tc>
          <w:tcPr>
            <w:tcW w:w="736"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954"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Missing</w:t>
            </w:r>
          </w:p>
        </w:tc>
        <w:tc>
          <w:tcPr>
            <w:tcW w:w="1461"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166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837"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c>
          <w:tcPr>
            <w:tcW w:w="1030"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Frequency Table</w:t>
      </w:r>
    </w:p>
    <w:p w:rsidR="005072AA" w:rsidRPr="005072AA" w:rsidRDefault="005072AA" w:rsidP="005072AA">
      <w:pPr>
        <w:spacing w:line="360" w:lineRule="auto"/>
        <w:jc w:val="both"/>
        <w:rPr>
          <w:rFonts w:ascii="Times New Roman" w:hAnsi="Times New Roman" w:cs="Times New Roman"/>
          <w:sz w:val="24"/>
          <w:szCs w:val="24"/>
        </w:rPr>
      </w:pP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61"/>
        <w:gridCol w:w="1169"/>
        <w:gridCol w:w="1030"/>
        <w:gridCol w:w="1399"/>
        <w:gridCol w:w="1476"/>
      </w:tblGrid>
      <w:tr w:rsidR="005072AA" w:rsidRPr="005072AA" w:rsidTr="006F4C9F">
        <w:tblPrEx>
          <w:tblCellMar>
            <w:top w:w="0" w:type="dxa"/>
            <w:bottom w:w="0" w:type="dxa"/>
          </w:tblCellMar>
        </w:tblPrEx>
        <w:trPr>
          <w:cantSplit/>
        </w:trPr>
        <w:tc>
          <w:tcPr>
            <w:tcW w:w="7467"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Disease_type</w:t>
            </w:r>
          </w:p>
        </w:tc>
      </w:tr>
      <w:tr w:rsidR="005072AA" w:rsidRPr="005072AA" w:rsidTr="006F4C9F">
        <w:tblPrEx>
          <w:tblCellMar>
            <w:top w:w="0" w:type="dxa"/>
            <w:bottom w:w="0" w:type="dxa"/>
          </w:tblCellMar>
        </w:tblPrEx>
        <w:trPr>
          <w:cantSplit/>
        </w:trPr>
        <w:tc>
          <w:tcPr>
            <w:tcW w:w="2397"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660"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54.9</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45.1</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7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30"/>
        <w:gridCol w:w="1169"/>
        <w:gridCol w:w="1030"/>
        <w:gridCol w:w="1399"/>
        <w:gridCol w:w="1476"/>
      </w:tblGrid>
      <w:tr w:rsidR="005072AA" w:rsidRPr="005072AA" w:rsidTr="006F4C9F">
        <w:tblPrEx>
          <w:tblCellMar>
            <w:top w:w="0" w:type="dxa"/>
            <w:bottom w:w="0" w:type="dxa"/>
          </w:tblCellMar>
        </w:tblPrEx>
        <w:trPr>
          <w:cantSplit/>
        </w:trPr>
        <w:tc>
          <w:tcPr>
            <w:tcW w:w="7036"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Disease_activity</w:t>
            </w:r>
          </w:p>
        </w:tc>
      </w:tr>
      <w:tr w:rsidR="005072AA" w:rsidRPr="005072AA" w:rsidTr="006F4C9F">
        <w:tblPrEx>
          <w:tblCellMar>
            <w:top w:w="0" w:type="dxa"/>
            <w:bottom w:w="0" w:type="dxa"/>
          </w:tblCellMar>
        </w:tblPrEx>
        <w:trPr>
          <w:cantSplit/>
        </w:trPr>
        <w:tc>
          <w:tcPr>
            <w:tcW w:w="1966"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229"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Relapse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54.5</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2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45.5</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229"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432"/>
        <w:gridCol w:w="737"/>
        <w:gridCol w:w="293"/>
        <w:gridCol w:w="737"/>
        <w:gridCol w:w="662"/>
        <w:gridCol w:w="737"/>
        <w:gridCol w:w="739"/>
        <w:gridCol w:w="737"/>
      </w:tblGrid>
      <w:tr w:rsidR="005072AA" w:rsidRPr="005072AA" w:rsidTr="006F4C9F">
        <w:tblPrEx>
          <w:tblCellMar>
            <w:top w:w="0" w:type="dxa"/>
            <w:bottom w:w="0" w:type="dxa"/>
          </w:tblCellMar>
        </w:tblPrEx>
        <w:trPr>
          <w:cantSplit/>
        </w:trPr>
        <w:tc>
          <w:tcPr>
            <w:tcW w:w="6548" w:type="dxa"/>
            <w:gridSpan w:val="10"/>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Age</w:t>
            </w:r>
          </w:p>
        </w:tc>
      </w:tr>
      <w:tr w:rsidR="005072AA" w:rsidRPr="005072AA" w:rsidTr="006F4C9F">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9" w:type="dxa"/>
            <w:gridSpan w:val="2"/>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30" w:type="dxa"/>
            <w:gridSpan w:val="2"/>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9" w:type="dxa"/>
            <w:gridSpan w:val="2"/>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6" w:type="dxa"/>
            <w:gridSpan w:val="2"/>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737"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169" w:type="dxa"/>
            <w:gridSpan w:val="2"/>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8.9</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11.2</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14.3</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17.0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18.8</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24.1</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24.6</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26.3</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27.2</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30.4</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33.9</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35.7</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37.1</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37.9</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41.1</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42.9</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46.4</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48.7</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50.9</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52.7</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58.5</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59.4</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63.4</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67.0</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69.2</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71.0</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73.2</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74.1</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74.6</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75.4</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76.3</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79.5</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55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82.6</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83.0</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86.2</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86.6</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89.3</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60</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92.9</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61</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93.8</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96.4</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96.9</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97.3</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97.8</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98.2</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98.7</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99.1</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84</w:t>
            </w:r>
          </w:p>
        </w:tc>
        <w:tc>
          <w:tcPr>
            <w:tcW w:w="1169" w:type="dxa"/>
            <w:gridSpan w:val="2"/>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w:t>
            </w:r>
          </w:p>
        </w:tc>
        <w:tc>
          <w:tcPr>
            <w:tcW w:w="1030"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399" w:type="dxa"/>
            <w:gridSpan w:val="2"/>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w:t>
            </w:r>
          </w:p>
        </w:tc>
        <w:tc>
          <w:tcPr>
            <w:tcW w:w="1476" w:type="dxa"/>
            <w:gridSpan w:val="2"/>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blPrEx>
          <w:tblCellMar>
            <w:top w:w="0" w:type="dxa"/>
            <w:bottom w:w="0" w:type="dxa"/>
          </w:tblCellMar>
        </w:tblPrEx>
        <w:trPr>
          <w:gridAfter w:val="1"/>
          <w:wAfter w:w="737" w:type="dxa"/>
          <w:cantSplit/>
        </w:trPr>
        <w:tc>
          <w:tcPr>
            <w:tcW w:w="737"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9" w:type="dxa"/>
            <w:gridSpan w:val="2"/>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30" w:type="dxa"/>
            <w:gridSpan w:val="2"/>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9" w:type="dxa"/>
            <w:gridSpan w:val="2"/>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6" w:type="dxa"/>
            <w:gridSpan w:val="2"/>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74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45"/>
        <w:gridCol w:w="1169"/>
        <w:gridCol w:w="1030"/>
        <w:gridCol w:w="1399"/>
        <w:gridCol w:w="1476"/>
      </w:tblGrid>
      <w:tr w:rsidR="005072AA" w:rsidRPr="005072AA" w:rsidTr="006F4C9F">
        <w:tblPrEx>
          <w:tblCellMar>
            <w:top w:w="0" w:type="dxa"/>
            <w:bottom w:w="0" w:type="dxa"/>
          </w:tblCellMar>
        </w:tblPrEx>
        <w:trPr>
          <w:cantSplit/>
        </w:trPr>
        <w:tc>
          <w:tcPr>
            <w:tcW w:w="7451"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Gender</w:t>
            </w:r>
          </w:p>
        </w:tc>
      </w:tr>
      <w:tr w:rsidR="005072AA" w:rsidRPr="005072AA" w:rsidTr="006F4C9F">
        <w:tblPrEx>
          <w:tblCellMar>
            <w:top w:w="0" w:type="dxa"/>
            <w:bottom w:w="0" w:type="dxa"/>
          </w:tblCellMar>
        </w:tblPrEx>
        <w:trPr>
          <w:cantSplit/>
        </w:trPr>
        <w:tc>
          <w:tcPr>
            <w:tcW w:w="2381"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Cumulative Percent</w:t>
            </w:r>
          </w:p>
        </w:tc>
      </w:tr>
      <w:tr w:rsidR="005072AA" w:rsidRPr="005072AA" w:rsidTr="006F4C9F">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Valid</w:t>
            </w:r>
          </w:p>
        </w:tc>
        <w:tc>
          <w:tcPr>
            <w:tcW w:w="1644"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Female</w:t>
            </w:r>
          </w:p>
        </w:tc>
        <w:tc>
          <w:tcPr>
            <w:tcW w:w="1168"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c>
          <w:tcPr>
            <w:tcW w:w="1475"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80.4</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Male</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19.2</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99.6</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Prefer not to say</w:t>
            </w:r>
          </w:p>
        </w:tc>
        <w:tc>
          <w:tcPr>
            <w:tcW w:w="1168"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w:t>
            </w:r>
          </w:p>
        </w:tc>
        <w:tc>
          <w:tcPr>
            <w:tcW w:w="1475"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44"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Regression</w:t>
      </w:r>
    </w:p>
    <w:p w:rsidR="005072AA" w:rsidRPr="005072AA" w:rsidRDefault="005072AA" w:rsidP="005072AA">
      <w:pPr>
        <w:spacing w:line="360" w:lineRule="auto"/>
        <w:jc w:val="both"/>
        <w:rPr>
          <w:rFonts w:ascii="Times New Roman" w:hAnsi="Times New Roman" w:cs="Times New Roman"/>
          <w:b/>
          <w:bCs/>
          <w:sz w:val="24"/>
          <w:szCs w:val="24"/>
        </w:rPr>
      </w:pPr>
    </w:p>
    <w:tbl>
      <w:tblPr>
        <w:tblW w:w="4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1"/>
        <w:gridCol w:w="876"/>
        <w:gridCol w:w="876"/>
        <w:gridCol w:w="614"/>
      </w:tblGrid>
      <w:tr w:rsidR="005072AA" w:rsidRPr="005072AA" w:rsidTr="006F4C9F">
        <w:tblPrEx>
          <w:tblCellMar>
            <w:top w:w="0" w:type="dxa"/>
            <w:bottom w:w="0" w:type="dxa"/>
          </w:tblCellMar>
        </w:tblPrEx>
        <w:trPr>
          <w:cantSplit/>
        </w:trPr>
        <w:tc>
          <w:tcPr>
            <w:tcW w:w="4025"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Descriptive Statistics</w:t>
            </w:r>
          </w:p>
        </w:tc>
      </w:tr>
      <w:tr w:rsidR="005072AA" w:rsidRPr="005072AA" w:rsidTr="006F4C9F">
        <w:tblPrEx>
          <w:tblCellMar>
            <w:top w:w="0" w:type="dxa"/>
            <w:bottom w:w="0" w:type="dxa"/>
          </w:tblCellMar>
        </w:tblPrEx>
        <w:trPr>
          <w:cantSplit/>
        </w:trPr>
        <w:tc>
          <w:tcPr>
            <w:tcW w:w="165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614"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blPrEx>
          <w:tblCellMar>
            <w:top w:w="0" w:type="dxa"/>
            <w:bottom w:w="0" w:type="dxa"/>
          </w:tblCellMar>
        </w:tblPrEx>
        <w:trPr>
          <w:cantSplit/>
        </w:trPr>
        <w:tc>
          <w:tcPr>
            <w:tcW w:w="1659" w:type="dxa"/>
            <w:tcBorders>
              <w:top w:val="single" w:sz="16" w:space="0" w:color="000000"/>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876"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57.5938</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12.34192</w:t>
            </w:r>
          </w:p>
        </w:tc>
        <w:tc>
          <w:tcPr>
            <w:tcW w:w="614"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1.4554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.49912</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1.2009</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.41258</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1.5134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.50094</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659"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3.0175</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1.51250</w:t>
            </w:r>
          </w:p>
        </w:tc>
        <w:tc>
          <w:tcPr>
            <w:tcW w:w="614"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659" w:type="dxa"/>
            <w:tcBorders>
              <w:top w:val="nil"/>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876"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10.8661</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4.42272</w:t>
            </w:r>
          </w:p>
        </w:tc>
        <w:tc>
          <w:tcPr>
            <w:tcW w:w="614"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8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6"/>
        <w:gridCol w:w="1661"/>
        <w:gridCol w:w="768"/>
        <w:gridCol w:w="876"/>
        <w:gridCol w:w="876"/>
        <w:gridCol w:w="876"/>
        <w:gridCol w:w="768"/>
        <w:gridCol w:w="783"/>
      </w:tblGrid>
      <w:tr w:rsidR="005072AA" w:rsidRPr="005072AA" w:rsidTr="006F4C9F">
        <w:tblPrEx>
          <w:tblCellMar>
            <w:top w:w="0" w:type="dxa"/>
            <w:bottom w:w="0" w:type="dxa"/>
          </w:tblCellMar>
        </w:tblPrEx>
        <w:trPr>
          <w:cantSplit/>
        </w:trPr>
        <w:tc>
          <w:tcPr>
            <w:tcW w:w="8451" w:type="dxa"/>
            <w:gridSpan w:val="8"/>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Correlations</w:t>
            </w:r>
          </w:p>
        </w:tc>
      </w:tr>
      <w:tr w:rsidR="005072AA" w:rsidRPr="005072AA" w:rsidTr="006F4C9F">
        <w:tblPrEx>
          <w:tblCellMar>
            <w:top w:w="0" w:type="dxa"/>
            <w:bottom w:w="0" w:type="dxa"/>
          </w:tblCellMar>
        </w:tblPrEx>
        <w:trPr>
          <w:cantSplit/>
        </w:trPr>
        <w:tc>
          <w:tcPr>
            <w:tcW w:w="3504" w:type="dxa"/>
            <w:gridSpan w:val="2"/>
            <w:tcBorders>
              <w:top w:val="single" w:sz="16" w:space="0" w:color="000000"/>
              <w:left w:val="single" w:sz="16" w:space="0" w:color="000000"/>
              <w:bottom w:val="single" w:sz="16" w:space="0" w:color="000000"/>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768"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83"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r>
      <w:tr w:rsidR="005072AA" w:rsidRPr="005072AA" w:rsidTr="006F4C9F">
        <w:tblPrEx>
          <w:tblCellMar>
            <w:top w:w="0" w:type="dxa"/>
            <w:bottom w:w="0" w:type="dxa"/>
          </w:tblCellMar>
        </w:tblPrEx>
        <w:trPr>
          <w:cantSplit/>
        </w:trPr>
        <w:tc>
          <w:tcPr>
            <w:tcW w:w="1844" w:type="dxa"/>
            <w:vMerge w:val="restart"/>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Pearson Correlation</w:t>
            </w:r>
          </w:p>
        </w:tc>
        <w:tc>
          <w:tcPr>
            <w:tcW w:w="1660" w:type="dxa"/>
            <w:tcBorders>
              <w:top w:val="single" w:sz="16" w:space="0" w:color="000000"/>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.198</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.003</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768"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-.136</w:t>
            </w:r>
          </w:p>
        </w:tc>
        <w:tc>
          <w:tcPr>
            <w:tcW w:w="783"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-.293</w:t>
            </w:r>
          </w:p>
        </w:tc>
      </w:tr>
      <w:tr w:rsidR="005072AA" w:rsidRPr="005072AA" w:rsidTr="006F4C9F">
        <w:tblPrEx>
          <w:tblCellMar>
            <w:top w:w="0" w:type="dxa"/>
            <w:bottom w:w="0" w:type="dxa"/>
          </w:tblCellMar>
        </w:tblPrEx>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.198</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-.042</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-.086</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-.391</w:t>
            </w:r>
          </w:p>
        </w:tc>
      </w:tr>
      <w:tr w:rsidR="005072AA" w:rsidRPr="005072AA" w:rsidTr="006F4C9F">
        <w:tblPrEx>
          <w:tblCellMar>
            <w:top w:w="0" w:type="dxa"/>
            <w:bottom w:w="0" w:type="dxa"/>
          </w:tblCellMar>
        </w:tblPrEx>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.097</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.015</w:t>
            </w:r>
          </w:p>
        </w:tc>
      </w:tr>
      <w:tr w:rsidR="005072AA" w:rsidRPr="005072AA" w:rsidTr="006F4C9F">
        <w:tblPrEx>
          <w:tblCellMar>
            <w:top w:w="0" w:type="dxa"/>
            <w:bottom w:w="0" w:type="dxa"/>
          </w:tblCellMar>
        </w:tblPrEx>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-.042</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.150</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.137</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.039</w:t>
            </w:r>
          </w:p>
        </w:tc>
      </w:tr>
      <w:tr w:rsidR="005072AA" w:rsidRPr="005072AA" w:rsidTr="006F4C9F">
        <w:tblPrEx>
          <w:tblCellMar>
            <w:top w:w="0" w:type="dxa"/>
            <w:bottom w:w="0" w:type="dxa"/>
          </w:tblCellMar>
        </w:tblPrEx>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-.136</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-.086</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.137</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.228</w:t>
            </w:r>
          </w:p>
        </w:tc>
      </w:tr>
      <w:tr w:rsidR="005072AA" w:rsidRPr="005072AA" w:rsidTr="006F4C9F">
        <w:tblPrEx>
          <w:tblCellMar>
            <w:top w:w="0" w:type="dxa"/>
            <w:bottom w:w="0" w:type="dxa"/>
          </w:tblCellMar>
        </w:tblPrEx>
        <w:trPr>
          <w:cantSplit/>
        </w:trPr>
        <w:tc>
          <w:tcPr>
            <w:tcW w:w="1844" w:type="dxa"/>
            <w:vMerge/>
            <w:tcBorders>
              <w:top w:val="single" w:sz="16" w:space="0" w:color="000000"/>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-.293</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-.391</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.015</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.039</w:t>
            </w:r>
          </w:p>
        </w:tc>
        <w:tc>
          <w:tcPr>
            <w:tcW w:w="768"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.228</w:t>
            </w:r>
          </w:p>
        </w:tc>
        <w:tc>
          <w:tcPr>
            <w:tcW w:w="783" w:type="dxa"/>
            <w:tcBorders>
              <w:top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r>
      <w:tr w:rsidR="005072AA" w:rsidRPr="005072AA" w:rsidTr="006F4C9F">
        <w:tblPrEx>
          <w:tblCellMar>
            <w:top w:w="0" w:type="dxa"/>
            <w:bottom w:w="0" w:type="dxa"/>
          </w:tblCellMar>
        </w:tblPrEx>
        <w:trPr>
          <w:cantSplit/>
        </w:trPr>
        <w:tc>
          <w:tcPr>
            <w:tcW w:w="1844" w:type="dxa"/>
            <w:vMerge w:val="restart"/>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Sig. (1-tailed)</w:t>
            </w: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.099</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.437</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.013</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.074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.413</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.433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.013</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.279</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.099</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.074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.021</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.413</w:t>
            </w:r>
          </w:p>
        </w:tc>
        <w:tc>
          <w:tcPr>
            <w:tcW w:w="876"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.279</w:t>
            </w:r>
          </w:p>
        </w:tc>
        <w:tc>
          <w:tcPr>
            <w:tcW w:w="768" w:type="dxa"/>
            <w:tcBorders>
              <w:top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783" w:type="dxa"/>
            <w:tcBorders>
              <w:top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r>
      <w:tr w:rsidR="005072AA" w:rsidRPr="005072AA" w:rsidTr="006F4C9F">
        <w:tblPrEx>
          <w:tblCellMar>
            <w:top w:w="0" w:type="dxa"/>
            <w:bottom w:w="0" w:type="dxa"/>
          </w:tblCellMar>
        </w:tblPrEx>
        <w:trPr>
          <w:cantSplit/>
        </w:trPr>
        <w:tc>
          <w:tcPr>
            <w:tcW w:w="1844" w:type="dxa"/>
            <w:vMerge w:val="restart"/>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QOL</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Disease_activity</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Gender</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Age_groups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PSS</w:t>
            </w:r>
          </w:p>
        </w:tc>
        <w:tc>
          <w:tcPr>
            <w:tcW w:w="768"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844" w:type="dxa"/>
            <w:vMerge/>
            <w:tcBorders>
              <w:top w:val="nil"/>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nil"/>
              <w:left w:val="nil"/>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w:t>
            </w:r>
          </w:p>
        </w:tc>
        <w:tc>
          <w:tcPr>
            <w:tcW w:w="768"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68"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c>
          <w:tcPr>
            <w:tcW w:w="783"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3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0"/>
        <w:gridCol w:w="876"/>
        <w:gridCol w:w="876"/>
        <w:gridCol w:w="876"/>
      </w:tblGrid>
      <w:tr w:rsidR="005072AA" w:rsidRPr="005072AA" w:rsidTr="006F4C9F">
        <w:tblPrEx>
          <w:tblCellMar>
            <w:top w:w="0" w:type="dxa"/>
            <w:bottom w:w="0" w:type="dxa"/>
          </w:tblCellMar>
        </w:tblPrEx>
        <w:trPr>
          <w:cantSplit/>
        </w:trPr>
        <w:tc>
          <w:tcPr>
            <w:tcW w:w="3427"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Variables Entered/Removed</w:t>
            </w:r>
            <w:r w:rsidRPr="005072AA">
              <w:rPr>
                <w:rFonts w:ascii="Times New Roman" w:hAnsi="Times New Roman" w:cs="Times New Roman"/>
                <w:b/>
                <w:bCs/>
                <w:sz w:val="24"/>
                <w:szCs w:val="24"/>
                <w:vertAlign w:val="superscript"/>
              </w:rPr>
              <w:t>a</w:t>
            </w:r>
          </w:p>
        </w:tc>
      </w:tr>
      <w:tr w:rsidR="005072AA" w:rsidRPr="005072AA" w:rsidTr="006F4C9F">
        <w:tblPrEx>
          <w:tblCellMar>
            <w:top w:w="0" w:type="dxa"/>
            <w:bottom w:w="0" w:type="dxa"/>
          </w:tblCellMar>
        </w:tblPrEx>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Variables Entered</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Variables Removed</w:t>
            </w:r>
          </w:p>
        </w:tc>
        <w:tc>
          <w:tcPr>
            <w:tcW w:w="876"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Method</w:t>
            </w:r>
          </w:p>
        </w:tc>
      </w:tr>
      <w:tr w:rsidR="005072AA" w:rsidRPr="005072AA" w:rsidTr="006F4C9F">
        <w:tblPrEx>
          <w:tblCellMar>
            <w:top w:w="0" w:type="dxa"/>
            <w:bottom w:w="0" w:type="dxa"/>
          </w:tblCellMar>
        </w:tblPrEx>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876" w:type="dxa"/>
            <w:tcBorders>
              <w:top w:val="single" w:sz="16" w:space="0" w:color="000000"/>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Sleep, Gender, Age_groups, PSS, Disease_activity</w:t>
            </w:r>
            <w:r w:rsidRPr="005072AA">
              <w:rPr>
                <w:rFonts w:ascii="Times New Roman" w:hAnsi="Times New Roman" w:cs="Times New Roman"/>
                <w:sz w:val="24"/>
                <w:szCs w:val="24"/>
                <w:vertAlign w:val="superscript"/>
              </w:rPr>
              <w:t>b</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w:t>
            </w:r>
          </w:p>
        </w:tc>
        <w:tc>
          <w:tcPr>
            <w:tcW w:w="876" w:type="dxa"/>
            <w:tcBorders>
              <w:top w:val="single" w:sz="16" w:space="0" w:color="000000"/>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Enter</w:t>
            </w:r>
          </w:p>
        </w:tc>
      </w:tr>
    </w:tbl>
    <w:p w:rsidR="005072AA" w:rsidRPr="005072AA" w:rsidRDefault="005072AA" w:rsidP="005072AA">
      <w:pPr>
        <w:spacing w:line="360" w:lineRule="auto"/>
        <w:jc w:val="both"/>
        <w:rPr>
          <w:rFonts w:ascii="Times New Roman" w:hAnsi="Times New Roman" w:cs="Times New Roman"/>
          <w:sz w:val="24"/>
          <w:szCs w:val="24"/>
        </w:rPr>
      </w:pPr>
    </w:p>
    <w:tbl>
      <w:tblPr>
        <w:tblW w:w="34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28"/>
      </w:tblGrid>
      <w:tr w:rsidR="005072AA" w:rsidRPr="005072AA" w:rsidTr="006F4C9F">
        <w:tblPrEx>
          <w:tblCellMar>
            <w:top w:w="0" w:type="dxa"/>
            <w:bottom w:w="0" w:type="dxa"/>
          </w:tblCellMar>
        </w:tblPrEx>
        <w:trPr>
          <w:cantSplit/>
        </w:trPr>
        <w:tc>
          <w:tcPr>
            <w:tcW w:w="3427" w:type="dxa"/>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r w:rsidR="005072AA" w:rsidRPr="005072AA" w:rsidTr="006F4C9F">
        <w:tblPrEx>
          <w:tblCellMar>
            <w:top w:w="0" w:type="dxa"/>
            <w:bottom w:w="0" w:type="dxa"/>
          </w:tblCellMar>
        </w:tblPrEx>
        <w:trPr>
          <w:cantSplit/>
        </w:trPr>
        <w:tc>
          <w:tcPr>
            <w:tcW w:w="3427" w:type="dxa"/>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All requested variables entered.</w:t>
            </w:r>
          </w:p>
        </w:tc>
      </w:tr>
    </w:tbl>
    <w:p w:rsidR="005072AA" w:rsidRPr="005072AA" w:rsidRDefault="005072AA" w:rsidP="005072AA">
      <w:pPr>
        <w:spacing w:line="360" w:lineRule="auto"/>
        <w:jc w:val="both"/>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0"/>
        <w:gridCol w:w="753"/>
        <w:gridCol w:w="876"/>
        <w:gridCol w:w="876"/>
        <w:gridCol w:w="876"/>
      </w:tblGrid>
      <w:tr w:rsidR="005072AA" w:rsidRPr="005072AA" w:rsidTr="006F4C9F">
        <w:tblPrEx>
          <w:tblCellMar>
            <w:top w:w="0" w:type="dxa"/>
            <w:bottom w:w="0" w:type="dxa"/>
          </w:tblCellMar>
        </w:tblPrEx>
        <w:trPr>
          <w:cantSplit/>
        </w:trPr>
        <w:tc>
          <w:tcPr>
            <w:tcW w:w="4180"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lastRenderedPageBreak/>
              <w:t>Model Summary</w:t>
            </w:r>
            <w:r w:rsidRPr="005072AA">
              <w:rPr>
                <w:rFonts w:ascii="Times New Roman" w:hAnsi="Times New Roman" w:cs="Times New Roman"/>
                <w:b/>
                <w:bCs/>
                <w:sz w:val="24"/>
                <w:szCs w:val="24"/>
                <w:vertAlign w:val="superscript"/>
              </w:rPr>
              <w:t>b</w:t>
            </w:r>
          </w:p>
        </w:tc>
      </w:tr>
      <w:tr w:rsidR="005072AA" w:rsidRPr="005072AA" w:rsidTr="006F4C9F">
        <w:tblPrEx>
          <w:tblCellMar>
            <w:top w:w="0" w:type="dxa"/>
            <w:bottom w:w="0" w:type="dxa"/>
          </w:tblCellMar>
        </w:tblPrEx>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753"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 Square</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Adjusted R Square</w:t>
            </w:r>
          </w:p>
        </w:tc>
        <w:tc>
          <w:tcPr>
            <w:tcW w:w="876"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 of the Estimate</w:t>
            </w:r>
          </w:p>
        </w:tc>
      </w:tr>
      <w:tr w:rsidR="005072AA" w:rsidRPr="005072AA" w:rsidTr="006F4C9F">
        <w:tblPrEx>
          <w:tblCellMar>
            <w:top w:w="0" w:type="dxa"/>
            <w:bottom w:w="0" w:type="dxa"/>
          </w:tblCellMar>
        </w:tblPrEx>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753" w:type="dxa"/>
            <w:tcBorders>
              <w:top w:val="single" w:sz="16" w:space="0" w:color="000000"/>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.316</w:t>
            </w:r>
            <w:r w:rsidRPr="005072AA">
              <w:rPr>
                <w:rFonts w:ascii="Times New Roman" w:hAnsi="Times New Roman" w:cs="Times New Roman"/>
                <w:sz w:val="24"/>
                <w:szCs w:val="24"/>
                <w:vertAlign w:val="superscript"/>
              </w:rPr>
              <w:t>a</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876" w:type="dxa"/>
            <w:tcBorders>
              <w:top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.080</w:t>
            </w:r>
          </w:p>
        </w:tc>
        <w:tc>
          <w:tcPr>
            <w:tcW w:w="876" w:type="dxa"/>
            <w:tcBorders>
              <w:top w:val="single" w:sz="16" w:space="0" w:color="000000"/>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11.84101</w:t>
            </w:r>
          </w:p>
        </w:tc>
      </w:tr>
      <w:tr w:rsidR="005072AA" w:rsidRPr="005072AA" w:rsidTr="006F4C9F">
        <w:tblPrEx>
          <w:tblCellMar>
            <w:top w:w="0" w:type="dxa"/>
            <w:bottom w:w="0" w:type="dxa"/>
          </w:tblCellMar>
        </w:tblPrEx>
        <w:trPr>
          <w:cantSplit/>
        </w:trPr>
        <w:tc>
          <w:tcPr>
            <w:tcW w:w="4180" w:type="dxa"/>
            <w:gridSpan w:val="5"/>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Predictors: (Constant), Sleep, Gender, Age_groups, PSS, Disease_activity</w:t>
            </w:r>
          </w:p>
        </w:tc>
      </w:tr>
      <w:tr w:rsidR="005072AA" w:rsidRPr="005072AA" w:rsidTr="006F4C9F">
        <w:tblPrEx>
          <w:tblCellMar>
            <w:top w:w="0" w:type="dxa"/>
            <w:bottom w:w="0" w:type="dxa"/>
          </w:tblCellMar>
        </w:tblPrEx>
        <w:trPr>
          <w:cantSplit/>
        </w:trPr>
        <w:tc>
          <w:tcPr>
            <w:tcW w:w="4180" w:type="dxa"/>
            <w:gridSpan w:val="5"/>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Dependent Variable: QOL</w:t>
            </w:r>
          </w:p>
        </w:tc>
      </w:tr>
    </w:tbl>
    <w:p w:rsidR="005072AA" w:rsidRPr="005072AA" w:rsidRDefault="005072AA" w:rsidP="005072AA">
      <w:pPr>
        <w:spacing w:line="360" w:lineRule="auto"/>
        <w:jc w:val="both"/>
        <w:rPr>
          <w:rFonts w:ascii="Times New Roman" w:hAnsi="Times New Roman" w:cs="Times New Roman"/>
          <w:sz w:val="24"/>
          <w:szCs w:val="24"/>
        </w:rPr>
      </w:pPr>
    </w:p>
    <w:tbl>
      <w:tblPr>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31"/>
        <w:gridCol w:w="1292"/>
        <w:gridCol w:w="876"/>
        <w:gridCol w:w="614"/>
        <w:gridCol w:w="876"/>
        <w:gridCol w:w="768"/>
        <w:gridCol w:w="753"/>
      </w:tblGrid>
      <w:tr w:rsidR="005072AA" w:rsidRPr="005072AA" w:rsidTr="006F4C9F">
        <w:tblPrEx>
          <w:tblCellMar>
            <w:top w:w="0" w:type="dxa"/>
            <w:bottom w:w="0" w:type="dxa"/>
          </w:tblCellMar>
        </w:tblPrEx>
        <w:trPr>
          <w:cantSplit/>
        </w:trPr>
        <w:tc>
          <w:tcPr>
            <w:tcW w:w="5610" w:type="dxa"/>
            <w:gridSpan w:val="7"/>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ANOVA</w:t>
            </w:r>
            <w:r w:rsidRPr="005072AA">
              <w:rPr>
                <w:rFonts w:ascii="Times New Roman" w:hAnsi="Times New Roman" w:cs="Times New Roman"/>
                <w:b/>
                <w:bCs/>
                <w:sz w:val="24"/>
                <w:szCs w:val="24"/>
                <w:vertAlign w:val="superscript"/>
              </w:rPr>
              <w:t>a</w:t>
            </w:r>
          </w:p>
        </w:tc>
      </w:tr>
      <w:tr w:rsidR="005072AA" w:rsidRPr="005072AA" w:rsidTr="006F4C9F">
        <w:tblPrEx>
          <w:tblCellMar>
            <w:top w:w="0" w:type="dxa"/>
            <w:bottom w:w="0" w:type="dxa"/>
          </w:tblCellMar>
        </w:tblPrEx>
        <w:trPr>
          <w:cantSplit/>
        </w:trPr>
        <w:tc>
          <w:tcPr>
            <w:tcW w:w="1723" w:type="dxa"/>
            <w:gridSpan w:val="2"/>
            <w:tcBorders>
              <w:top w:val="single" w:sz="16" w:space="0" w:color="000000"/>
              <w:left w:val="single" w:sz="16" w:space="0" w:color="000000"/>
              <w:bottom w:val="single" w:sz="16" w:space="0" w:color="000000"/>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Model</w:t>
            </w:r>
          </w:p>
        </w:tc>
        <w:tc>
          <w:tcPr>
            <w:tcW w:w="876"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Sum of Squares</w:t>
            </w:r>
          </w:p>
        </w:tc>
        <w:tc>
          <w:tcPr>
            <w:tcW w:w="614"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df</w:t>
            </w:r>
          </w:p>
        </w:tc>
        <w:tc>
          <w:tcPr>
            <w:tcW w:w="876"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 Square</w:t>
            </w:r>
          </w:p>
        </w:tc>
        <w:tc>
          <w:tcPr>
            <w:tcW w:w="768"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F</w:t>
            </w:r>
          </w:p>
        </w:tc>
        <w:tc>
          <w:tcPr>
            <w:tcW w:w="753"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Sig.</w:t>
            </w:r>
          </w:p>
        </w:tc>
      </w:tr>
      <w:tr w:rsidR="005072AA" w:rsidRPr="005072AA" w:rsidTr="006F4C9F">
        <w:tblPrEx>
          <w:tblCellMar>
            <w:top w:w="0" w:type="dxa"/>
            <w:bottom w:w="0" w:type="dxa"/>
          </w:tblCellMar>
        </w:tblPrEx>
        <w:trPr>
          <w:cantSplit/>
        </w:trPr>
        <w:tc>
          <w:tcPr>
            <w:tcW w:w="431" w:type="dxa"/>
            <w:vMerge w:val="restart"/>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w:t>
            </w:r>
          </w:p>
        </w:tc>
        <w:tc>
          <w:tcPr>
            <w:tcW w:w="1292" w:type="dxa"/>
            <w:tcBorders>
              <w:top w:val="single" w:sz="16" w:space="0" w:color="000000"/>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Regression</w:t>
            </w:r>
          </w:p>
        </w:tc>
        <w:tc>
          <w:tcPr>
            <w:tcW w:w="876"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3402.354</w:t>
            </w:r>
          </w:p>
        </w:tc>
        <w:tc>
          <w:tcPr>
            <w:tcW w:w="614"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w:t>
            </w:r>
          </w:p>
        </w:tc>
        <w:tc>
          <w:tcPr>
            <w:tcW w:w="876"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680.471</w:t>
            </w:r>
          </w:p>
        </w:tc>
        <w:tc>
          <w:tcPr>
            <w:tcW w:w="768"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4.853</w:t>
            </w:r>
          </w:p>
        </w:tc>
        <w:tc>
          <w:tcPr>
            <w:tcW w:w="753"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r w:rsidRPr="005072AA">
              <w:rPr>
                <w:rFonts w:ascii="Times New Roman" w:hAnsi="Times New Roman" w:cs="Times New Roman"/>
                <w:sz w:val="24"/>
                <w:szCs w:val="24"/>
                <w:vertAlign w:val="superscript"/>
              </w:rPr>
              <w:t>b</w:t>
            </w:r>
          </w:p>
        </w:tc>
      </w:tr>
      <w:tr w:rsidR="005072AA" w:rsidRPr="005072AA" w:rsidTr="006F4C9F">
        <w:tblPrEx>
          <w:tblCellMar>
            <w:top w:w="0" w:type="dxa"/>
            <w:bottom w:w="0" w:type="dxa"/>
          </w:tblCellMar>
        </w:tblPrEx>
        <w:trPr>
          <w:cantSplit/>
        </w:trPr>
        <w:tc>
          <w:tcPr>
            <w:tcW w:w="431" w:type="dxa"/>
            <w:vMerge/>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292" w:type="dxa"/>
            <w:tcBorders>
              <w:top w:val="nil"/>
              <w:left w:val="nil"/>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Residual</w:t>
            </w:r>
          </w:p>
        </w:tc>
        <w:tc>
          <w:tcPr>
            <w:tcW w:w="876"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30565.677</w:t>
            </w:r>
          </w:p>
        </w:tc>
        <w:tc>
          <w:tcPr>
            <w:tcW w:w="614"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218</w:t>
            </w:r>
          </w:p>
        </w:tc>
        <w:tc>
          <w:tcPr>
            <w:tcW w:w="876"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140.210</w:t>
            </w:r>
          </w:p>
        </w:tc>
        <w:tc>
          <w:tcPr>
            <w:tcW w:w="768"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53"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r w:rsidR="005072AA" w:rsidRPr="005072AA" w:rsidTr="006F4C9F">
        <w:tblPrEx>
          <w:tblCellMar>
            <w:top w:w="0" w:type="dxa"/>
            <w:bottom w:w="0" w:type="dxa"/>
          </w:tblCellMar>
        </w:tblPrEx>
        <w:trPr>
          <w:cantSplit/>
        </w:trPr>
        <w:tc>
          <w:tcPr>
            <w:tcW w:w="431" w:type="dxa"/>
            <w:vMerge/>
            <w:tcBorders>
              <w:top w:val="single" w:sz="16" w:space="0" w:color="000000"/>
              <w:left w:val="single" w:sz="16" w:space="0" w:color="000000"/>
              <w:bottom w:val="single" w:sz="16" w:space="0" w:color="000000"/>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p>
        </w:tc>
        <w:tc>
          <w:tcPr>
            <w:tcW w:w="1292" w:type="dxa"/>
            <w:tcBorders>
              <w:top w:val="nil"/>
              <w:left w:val="nil"/>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876"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33968.031</w:t>
            </w:r>
          </w:p>
        </w:tc>
        <w:tc>
          <w:tcPr>
            <w:tcW w:w="614"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223</w:t>
            </w:r>
          </w:p>
        </w:tc>
        <w:tc>
          <w:tcPr>
            <w:tcW w:w="876"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68"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c>
          <w:tcPr>
            <w:tcW w:w="753"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p>
        </w:tc>
      </w:tr>
      <w:tr w:rsidR="005072AA" w:rsidRPr="005072AA" w:rsidTr="006F4C9F">
        <w:tblPrEx>
          <w:tblCellMar>
            <w:top w:w="0" w:type="dxa"/>
            <w:bottom w:w="0" w:type="dxa"/>
          </w:tblCellMar>
        </w:tblPrEx>
        <w:trPr>
          <w:cantSplit/>
        </w:trPr>
        <w:tc>
          <w:tcPr>
            <w:tcW w:w="5610" w:type="dxa"/>
            <w:gridSpan w:val="7"/>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r w:rsidR="005072AA" w:rsidRPr="005072AA" w:rsidTr="006F4C9F">
        <w:tblPrEx>
          <w:tblCellMar>
            <w:top w:w="0" w:type="dxa"/>
            <w:bottom w:w="0" w:type="dxa"/>
          </w:tblCellMar>
        </w:tblPrEx>
        <w:trPr>
          <w:cantSplit/>
        </w:trPr>
        <w:tc>
          <w:tcPr>
            <w:tcW w:w="5610" w:type="dxa"/>
            <w:gridSpan w:val="7"/>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b. Predictors: (Constant), Sleep, Gender, Age_groups, PSS, Disease_activity</w:t>
            </w:r>
          </w:p>
        </w:tc>
      </w:tr>
    </w:tbl>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drawing>
          <wp:anchor distT="0" distB="0" distL="114300" distR="114300" simplePos="0" relativeHeight="251673600" behindDoc="0" locked="0" layoutInCell="1" allowOverlap="1" wp14:anchorId="124FB7B9" wp14:editId="1747DE2B">
            <wp:simplePos x="0" y="0"/>
            <wp:positionH relativeFrom="margin">
              <wp:align>left</wp:align>
            </wp:positionH>
            <wp:positionV relativeFrom="paragraph">
              <wp:posOffset>448851</wp:posOffset>
            </wp:positionV>
            <wp:extent cx="5390515" cy="2661285"/>
            <wp:effectExtent l="0" t="0" r="635" b="5715"/>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0515" cy="2661285"/>
                    </a:xfrm>
                    <a:prstGeom prst="rect">
                      <a:avLst/>
                    </a:prstGeom>
                    <a:noFill/>
                  </pic:spPr>
                </pic:pic>
              </a:graphicData>
            </a:graphic>
            <wp14:sizeRelH relativeFrom="page">
              <wp14:pctWidth>0</wp14:pctWidth>
            </wp14:sizeRelH>
            <wp14:sizeRelV relativeFrom="page">
              <wp14:pctHeight>0</wp14:pctHeight>
            </wp14:sizeRelV>
          </wp:anchor>
        </w:drawing>
      </w:r>
    </w:p>
    <w:tbl>
      <w:tblPr>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992"/>
        <w:gridCol w:w="992"/>
        <w:gridCol w:w="851"/>
        <w:gridCol w:w="992"/>
        <w:gridCol w:w="567"/>
      </w:tblGrid>
      <w:tr w:rsidR="005072AA" w:rsidRPr="005072AA" w:rsidTr="006F4C9F">
        <w:tblPrEx>
          <w:tblCellMar>
            <w:top w:w="0" w:type="dxa"/>
            <w:bottom w:w="0" w:type="dxa"/>
          </w:tblCellMar>
        </w:tblPrEx>
        <w:trPr>
          <w:cantSplit/>
        </w:trPr>
        <w:tc>
          <w:tcPr>
            <w:tcW w:w="6379" w:type="dxa"/>
            <w:gridSpan w:val="6"/>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Residuals Statistics</w:t>
            </w:r>
            <w:r w:rsidRPr="005072AA">
              <w:rPr>
                <w:rFonts w:ascii="Times New Roman" w:hAnsi="Times New Roman" w:cs="Times New Roman"/>
                <w:b/>
                <w:bCs/>
                <w:sz w:val="24"/>
                <w:szCs w:val="24"/>
                <w:vertAlign w:val="superscript"/>
              </w:rPr>
              <w:t>a</w:t>
            </w:r>
          </w:p>
        </w:tc>
      </w:tr>
      <w:tr w:rsidR="005072AA" w:rsidRPr="005072AA" w:rsidTr="006F4C9F">
        <w:tblPrEx>
          <w:tblCellMar>
            <w:top w:w="0" w:type="dxa"/>
            <w:bottom w:w="0" w:type="dxa"/>
          </w:tblCellMar>
        </w:tblPrEx>
        <w:trPr>
          <w:cantSplit/>
        </w:trPr>
        <w:tc>
          <w:tcPr>
            <w:tcW w:w="198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992" w:type="dxa"/>
            <w:tcBorders>
              <w:top w:val="single" w:sz="16" w:space="0" w:color="000000"/>
              <w:left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Minimum</w:t>
            </w:r>
          </w:p>
        </w:tc>
        <w:tc>
          <w:tcPr>
            <w:tcW w:w="992"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Maximum</w:t>
            </w:r>
          </w:p>
        </w:tc>
        <w:tc>
          <w:tcPr>
            <w:tcW w:w="851"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992" w:type="dxa"/>
            <w:tcBorders>
              <w:top w:val="single" w:sz="16" w:space="0" w:color="000000"/>
              <w:bottom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567" w:type="dxa"/>
            <w:tcBorders>
              <w:top w:val="single" w:sz="16" w:space="0" w:color="000000"/>
              <w:bottom w:val="single" w:sz="16" w:space="0" w:color="000000"/>
              <w:right w:val="single" w:sz="16" w:space="0" w:color="00000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blPrEx>
          <w:tblCellMar>
            <w:top w:w="0" w:type="dxa"/>
            <w:bottom w:w="0" w:type="dxa"/>
          </w:tblCellMar>
        </w:tblPrEx>
        <w:trPr>
          <w:cantSplit/>
        </w:trPr>
        <w:tc>
          <w:tcPr>
            <w:tcW w:w="1985" w:type="dxa"/>
            <w:tcBorders>
              <w:top w:val="single" w:sz="16" w:space="0" w:color="000000"/>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Predicted Value</w:t>
            </w:r>
          </w:p>
        </w:tc>
        <w:tc>
          <w:tcPr>
            <w:tcW w:w="992" w:type="dxa"/>
            <w:tcBorders>
              <w:top w:val="single" w:sz="16" w:space="0" w:color="000000"/>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48.7369</w:t>
            </w:r>
          </w:p>
        </w:tc>
        <w:tc>
          <w:tcPr>
            <w:tcW w:w="992"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67.1098</w:t>
            </w:r>
          </w:p>
        </w:tc>
        <w:tc>
          <w:tcPr>
            <w:tcW w:w="851"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57.5938</w:t>
            </w:r>
          </w:p>
        </w:tc>
        <w:tc>
          <w:tcPr>
            <w:tcW w:w="992" w:type="dxa"/>
            <w:tcBorders>
              <w:top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3.90605</w:t>
            </w:r>
          </w:p>
        </w:tc>
        <w:tc>
          <w:tcPr>
            <w:tcW w:w="567" w:type="dxa"/>
            <w:tcBorders>
              <w:top w:val="single" w:sz="16" w:space="0" w:color="000000"/>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-2.267</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2.436</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1.000</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Standard Error of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1.409</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3.837</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1.902</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.372</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Adjusted Predicted Value</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49.3398</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66.6018</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57.5897</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3.90407</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Residual</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-29.09163</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33.10170</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11.70751</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Residual</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-2.457</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2.796</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.989</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Stud. Residual</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-2.490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2.816</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1.002</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Deleted Residual</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-29.88820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33.58278</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.00405</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12.02356</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Stud. Deleted Residual</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-2.521</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2.862</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1.006</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Mahal. Distance</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2.161</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22.425</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4.978</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2.526</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nil"/>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Cook's Distance</w:t>
            </w:r>
          </w:p>
        </w:tc>
        <w:tc>
          <w:tcPr>
            <w:tcW w:w="992" w:type="dxa"/>
            <w:tcBorders>
              <w:top w:val="nil"/>
              <w:left w:val="single" w:sz="16" w:space="0" w:color="000000"/>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.000</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.031</w:t>
            </w:r>
          </w:p>
        </w:tc>
        <w:tc>
          <w:tcPr>
            <w:tcW w:w="851"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.005</w:t>
            </w:r>
          </w:p>
        </w:tc>
        <w:tc>
          <w:tcPr>
            <w:tcW w:w="992" w:type="dxa"/>
            <w:tcBorders>
              <w:top w:val="nil"/>
              <w:bottom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.006</w:t>
            </w:r>
          </w:p>
        </w:tc>
        <w:tc>
          <w:tcPr>
            <w:tcW w:w="567" w:type="dxa"/>
            <w:tcBorders>
              <w:top w:val="nil"/>
              <w:bottom w:val="nil"/>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r w:rsidR="005072AA" w:rsidRPr="005072AA" w:rsidTr="006F4C9F">
        <w:tblPrEx>
          <w:tblCellMar>
            <w:top w:w="0" w:type="dxa"/>
            <w:bottom w:w="0" w:type="dxa"/>
          </w:tblCellMar>
        </w:tblPrEx>
        <w:trPr>
          <w:cantSplit/>
        </w:trPr>
        <w:tc>
          <w:tcPr>
            <w:tcW w:w="1985" w:type="dxa"/>
            <w:tcBorders>
              <w:top w:val="nil"/>
              <w:left w:val="single" w:sz="16" w:space="0" w:color="000000"/>
              <w:bottom w:val="single" w:sz="16" w:space="0" w:color="000000"/>
              <w:right w:val="single" w:sz="16" w:space="0" w:color="00000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Centered Leverage Value</w:t>
            </w:r>
          </w:p>
        </w:tc>
        <w:tc>
          <w:tcPr>
            <w:tcW w:w="992" w:type="dxa"/>
            <w:tcBorders>
              <w:top w:val="nil"/>
              <w:left w:val="single" w:sz="16" w:space="0" w:color="000000"/>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.010</w:t>
            </w:r>
          </w:p>
        </w:tc>
        <w:tc>
          <w:tcPr>
            <w:tcW w:w="992"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c>
          <w:tcPr>
            <w:tcW w:w="851"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.022</w:t>
            </w:r>
          </w:p>
        </w:tc>
        <w:tc>
          <w:tcPr>
            <w:tcW w:w="992" w:type="dxa"/>
            <w:tcBorders>
              <w:top w:val="nil"/>
              <w:bottom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.011</w:t>
            </w:r>
          </w:p>
        </w:tc>
        <w:tc>
          <w:tcPr>
            <w:tcW w:w="567" w:type="dxa"/>
            <w:tcBorders>
              <w:top w:val="nil"/>
              <w:bottom w:val="single" w:sz="16" w:space="0" w:color="000000"/>
              <w:right w:val="single" w:sz="16" w:space="0" w:color="000000"/>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p>
    <w:tbl>
      <w:tblPr>
        <w:tblW w:w="59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64"/>
      </w:tblGrid>
      <w:tr w:rsidR="005072AA" w:rsidRPr="005072AA" w:rsidTr="006F4C9F">
        <w:tblPrEx>
          <w:tblCellMar>
            <w:top w:w="0" w:type="dxa"/>
            <w:bottom w:w="0" w:type="dxa"/>
          </w:tblCellMar>
        </w:tblPrEx>
        <w:trPr>
          <w:cantSplit/>
        </w:trPr>
        <w:tc>
          <w:tcPr>
            <w:tcW w:w="5962" w:type="dxa"/>
            <w:tcBorders>
              <w:top w:val="nil"/>
              <w:left w:val="nil"/>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a. Dependent Variable: QOL</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drawing>
          <wp:inline distT="0" distB="0" distL="0" distR="0" wp14:anchorId="3B22E6AC" wp14:editId="44F82029">
            <wp:extent cx="5973445" cy="4773930"/>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3445" cy="4773930"/>
                    </a:xfrm>
                    <a:prstGeom prst="rect">
                      <a:avLst/>
                    </a:prstGeom>
                    <a:noFill/>
                    <a:ln>
                      <a:noFill/>
                    </a:ln>
                  </pic:spPr>
                </pic:pic>
              </a:graphicData>
            </a:graphic>
          </wp:inline>
        </w:drawing>
      </w:r>
      <w:r w:rsidRPr="005072AA">
        <w:rPr>
          <w:rFonts w:ascii="Times New Roman" w:hAnsi="Times New Roman" w:cs="Times New Roman"/>
          <w:sz w:val="24"/>
          <w:szCs w:val="24"/>
        </w:rPr>
        <w:drawing>
          <wp:anchor distT="0" distB="0" distL="114300" distR="114300" simplePos="0" relativeHeight="251674624" behindDoc="0" locked="0" layoutInCell="1" allowOverlap="1" wp14:anchorId="7DF6B043" wp14:editId="7BD505B4">
            <wp:simplePos x="0" y="0"/>
            <wp:positionH relativeFrom="column">
              <wp:posOffset>0</wp:posOffset>
            </wp:positionH>
            <wp:positionV relativeFrom="paragraph">
              <wp:posOffset>0</wp:posOffset>
            </wp:positionV>
            <wp:extent cx="5049672" cy="4773930"/>
            <wp:effectExtent l="0" t="0" r="0" b="762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49672" cy="47739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Univariate Analysis of Variance</w:t>
      </w:r>
    </w:p>
    <w:tbl>
      <w:tblPr>
        <w:tblW w:w="5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9"/>
        <w:gridCol w:w="737"/>
        <w:gridCol w:w="1476"/>
        <w:gridCol w:w="1030"/>
      </w:tblGrid>
      <w:tr w:rsidR="005072AA" w:rsidRPr="005072AA" w:rsidTr="006F4C9F">
        <w:tblPrEx>
          <w:tblCellMar>
            <w:top w:w="0" w:type="dxa"/>
            <w:bottom w:w="0" w:type="dxa"/>
          </w:tblCellMar>
        </w:tblPrEx>
        <w:trPr>
          <w:cantSplit/>
        </w:trPr>
        <w:tc>
          <w:tcPr>
            <w:tcW w:w="5072"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Between-Subjects Factors</w:t>
            </w:r>
          </w:p>
        </w:tc>
      </w:tr>
      <w:tr w:rsidR="005072AA" w:rsidRPr="005072AA" w:rsidTr="006F4C9F">
        <w:tblPrEx>
          <w:tblCellMar>
            <w:top w:w="0" w:type="dxa"/>
            <w:bottom w:w="0" w:type="dxa"/>
          </w:tblCellMar>
        </w:tblPrEx>
        <w:trPr>
          <w:cantSplit/>
        </w:trPr>
        <w:tc>
          <w:tcPr>
            <w:tcW w:w="2566" w:type="dxa"/>
            <w:gridSpan w:val="2"/>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Value Label</w:t>
            </w:r>
          </w:p>
        </w:tc>
        <w:tc>
          <w:tcPr>
            <w:tcW w:w="1030"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blPrEx>
          <w:tblCellMar>
            <w:top w:w="0" w:type="dxa"/>
            <w:bottom w:w="0" w:type="dxa"/>
          </w:tblCellMar>
        </w:tblPrEx>
        <w:trPr>
          <w:cantSplit/>
        </w:trPr>
        <w:tc>
          <w:tcPr>
            <w:tcW w:w="1829" w:type="dxa"/>
            <w:vMerge w:val="restart"/>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737"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1476"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030"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r>
      <w:tr w:rsidR="005072AA" w:rsidRPr="005072AA" w:rsidTr="006F4C9F">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r>
      <w:tr w:rsidR="005072AA" w:rsidRPr="005072AA" w:rsidTr="006F4C9F">
        <w:tblPrEx>
          <w:tblCellMar>
            <w:top w:w="0" w:type="dxa"/>
            <w:bottom w:w="0" w:type="dxa"/>
          </w:tblCellMar>
        </w:tblPrEx>
        <w:trPr>
          <w:cantSplit/>
        </w:trPr>
        <w:tc>
          <w:tcPr>
            <w:tcW w:w="1829" w:type="dxa"/>
            <w:vMerge/>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Severe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r>
      <w:tr w:rsidR="005072AA" w:rsidRPr="005072AA" w:rsidTr="006F4C9F">
        <w:tblPrEx>
          <w:tblCellMar>
            <w:top w:w="0" w:type="dxa"/>
            <w:bottom w:w="0" w:type="dxa"/>
          </w:tblCellMar>
        </w:tblPrEx>
        <w:trPr>
          <w:cantSplit/>
        </w:trPr>
        <w:tc>
          <w:tcPr>
            <w:tcW w:w="1829" w:type="dxa"/>
            <w:vMerge w:val="restart"/>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737"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1.00</w:t>
            </w:r>
          </w:p>
        </w:tc>
        <w:tc>
          <w:tcPr>
            <w:tcW w:w="1476"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30"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737"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2.00</w:t>
            </w:r>
          </w:p>
        </w:tc>
        <w:tc>
          <w:tcPr>
            <w:tcW w:w="1476"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30"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r>
    </w:tbl>
    <w:p w:rsidR="005072AA" w:rsidRPr="005072AA" w:rsidRDefault="005072AA" w:rsidP="005072AA">
      <w:pPr>
        <w:spacing w:line="360" w:lineRule="auto"/>
        <w:jc w:val="both"/>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0"/>
        <w:gridCol w:w="1661"/>
        <w:gridCol w:w="1029"/>
        <w:gridCol w:w="1445"/>
        <w:gridCol w:w="1029"/>
      </w:tblGrid>
      <w:tr w:rsidR="005072AA" w:rsidRPr="005072AA" w:rsidTr="006F4C9F">
        <w:tblPrEx>
          <w:tblCellMar>
            <w:top w:w="0" w:type="dxa"/>
            <w:bottom w:w="0" w:type="dxa"/>
          </w:tblCellMar>
        </w:tblPrEx>
        <w:trPr>
          <w:cantSplit/>
        </w:trPr>
        <w:tc>
          <w:tcPr>
            <w:tcW w:w="6991"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Descriptive Statistics</w:t>
            </w:r>
          </w:p>
        </w:tc>
      </w:tr>
      <w:tr w:rsidR="005072AA" w:rsidRPr="005072AA" w:rsidTr="006F4C9F">
        <w:tblPrEx>
          <w:tblCellMar>
            <w:top w:w="0" w:type="dxa"/>
            <w:bottom w:w="0" w:type="dxa"/>
          </w:tblCellMar>
        </w:tblPrEx>
        <w:trPr>
          <w:cantSplit/>
        </w:trPr>
        <w:tc>
          <w:tcPr>
            <w:tcW w:w="6991"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blPrEx>
          <w:tblCellMar>
            <w:top w:w="0" w:type="dxa"/>
            <w:bottom w:w="0" w:type="dxa"/>
          </w:tblCellMar>
        </w:tblPrEx>
        <w:trPr>
          <w:cantSplit/>
        </w:trPr>
        <w:tc>
          <w:tcPr>
            <w:tcW w:w="1829" w:type="dxa"/>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1660" w:type="dxa"/>
            <w:tcBorders>
              <w:top w:val="nil"/>
              <w:left w:val="nil"/>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029" w:type="dxa"/>
            <w:tcBorders>
              <w:top w:val="nil"/>
              <w:left w:val="nil"/>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N</w:t>
            </w:r>
          </w:p>
        </w:tc>
      </w:tr>
      <w:tr w:rsidR="005072AA" w:rsidRPr="005072AA" w:rsidTr="006F4C9F">
        <w:tblPrEx>
          <w:tblCellMar>
            <w:top w:w="0" w:type="dxa"/>
            <w:bottom w:w="0" w:type="dxa"/>
          </w:tblCellMar>
        </w:tblPrEx>
        <w:trPr>
          <w:cantSplit/>
        </w:trPr>
        <w:tc>
          <w:tcPr>
            <w:tcW w:w="1829" w:type="dxa"/>
            <w:vMerge w:val="restart"/>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660"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27.8611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5.86590</w:t>
            </w:r>
          </w:p>
        </w:tc>
        <w:tc>
          <w:tcPr>
            <w:tcW w:w="1029"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36</w:t>
            </w:r>
          </w:p>
        </w:tc>
      </w:tr>
      <w:tr w:rsidR="005072AA" w:rsidRPr="005072AA" w:rsidTr="006F4C9F">
        <w:tblPrEx>
          <w:tblCellMar>
            <w:top w:w="0" w:type="dxa"/>
            <w:bottom w:w="0" w:type="dxa"/>
          </w:tblCellMar>
        </w:tblPrEx>
        <w:trPr>
          <w:cantSplit/>
        </w:trPr>
        <w:tc>
          <w:tcPr>
            <w:tcW w:w="1829" w:type="dxa"/>
            <w:vMerge/>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28.6429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4.54781</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w:t>
            </w:r>
          </w:p>
        </w:tc>
      </w:tr>
      <w:tr w:rsidR="005072AA" w:rsidRPr="005072AA" w:rsidTr="006F4C9F">
        <w:tblPrEx>
          <w:tblCellMar>
            <w:top w:w="0" w:type="dxa"/>
            <w:bottom w:w="0" w:type="dxa"/>
          </w:tblCellMar>
        </w:tblPrEx>
        <w:trPr>
          <w:cantSplit/>
        </w:trPr>
        <w:tc>
          <w:tcPr>
            <w:tcW w:w="1829" w:type="dxa"/>
            <w:vMerge/>
            <w:tcBorders>
              <w:top w:val="single" w:sz="8" w:space="0" w:color="152935"/>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28.2031</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5.30403</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64</w:t>
            </w:r>
          </w:p>
        </w:tc>
      </w:tr>
      <w:tr w:rsidR="005072AA" w:rsidRPr="005072AA" w:rsidTr="006F4C9F">
        <w:tblPrEx>
          <w:tblCellMar>
            <w:top w:w="0" w:type="dxa"/>
            <w:bottom w:w="0" w:type="dxa"/>
          </w:tblCellMar>
        </w:tblPrEx>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26.0556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6.98294</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18</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28.9000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5.59981</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20</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27.5526</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6.37010</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blPrEx>
          <w:tblCellMar>
            <w:top w:w="0" w:type="dxa"/>
            <w:bottom w:w="0" w:type="dxa"/>
          </w:tblCellMar>
        </w:tblPrEx>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22.3158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5.89597</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30.3333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5.09435</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15</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24.5849</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6.70945</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53</w:t>
            </w:r>
          </w:p>
        </w:tc>
      </w:tr>
      <w:tr w:rsidR="005072AA" w:rsidRPr="005072AA" w:rsidTr="006F4C9F">
        <w:tblPrEx>
          <w:tblCellMar>
            <w:top w:w="0" w:type="dxa"/>
            <w:bottom w:w="0" w:type="dxa"/>
          </w:tblCellMar>
        </w:tblPrEx>
        <w:trPr>
          <w:cantSplit/>
        </w:trPr>
        <w:tc>
          <w:tcPr>
            <w:tcW w:w="1829" w:type="dxa"/>
            <w:vMerge w:val="restart"/>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t>Severe</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23.5484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7.37943</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31</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25.3421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7.40809</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38</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nil"/>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24.5362</w:t>
            </w:r>
          </w:p>
        </w:tc>
        <w:tc>
          <w:tcPr>
            <w:tcW w:w="1444" w:type="dxa"/>
            <w:tcBorders>
              <w:top w:val="single" w:sz="8" w:space="0" w:color="AEAEAE"/>
              <w:left w:val="single" w:sz="8" w:space="0" w:color="E0E0E0"/>
              <w:bottom w:val="nil"/>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7.39551</w:t>
            </w:r>
          </w:p>
        </w:tc>
        <w:tc>
          <w:tcPr>
            <w:tcW w:w="1029" w:type="dxa"/>
            <w:tcBorders>
              <w:top w:val="single" w:sz="8" w:space="0" w:color="AEAEAE"/>
              <w:left w:val="single" w:sz="8" w:space="0" w:color="E0E0E0"/>
              <w:bottom w:val="nil"/>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69</w:t>
            </w:r>
          </w:p>
        </w:tc>
      </w:tr>
      <w:tr w:rsidR="005072AA" w:rsidRPr="005072AA" w:rsidTr="006F4C9F">
        <w:tblPrEx>
          <w:tblCellMar>
            <w:top w:w="0" w:type="dxa"/>
            <w:bottom w:w="0" w:type="dxa"/>
          </w:tblCellMar>
        </w:tblPrEx>
        <w:trPr>
          <w:cantSplit/>
        </w:trPr>
        <w:tc>
          <w:tcPr>
            <w:tcW w:w="1829" w:type="dxa"/>
            <w:vMerge w:val="restart"/>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24.7967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6.77624</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123</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27.7030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6.25867</w:t>
            </w:r>
          </w:p>
        </w:tc>
        <w:tc>
          <w:tcPr>
            <w:tcW w:w="1029"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w:t>
            </w:r>
          </w:p>
        </w:tc>
      </w:tr>
      <w:tr w:rsidR="005072AA" w:rsidRPr="005072AA" w:rsidTr="006F4C9F">
        <w:tblPrEx>
          <w:tblCellMar>
            <w:top w:w="0" w:type="dxa"/>
            <w:bottom w:w="0" w:type="dxa"/>
          </w:tblCellMar>
        </w:tblPrEx>
        <w:trPr>
          <w:cantSplit/>
        </w:trPr>
        <w:tc>
          <w:tcPr>
            <w:tcW w:w="1829" w:type="dxa"/>
            <w:vMerge/>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Total</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26.1071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6.69228</w:t>
            </w:r>
          </w:p>
        </w:tc>
        <w:tc>
          <w:tcPr>
            <w:tcW w:w="1029"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224</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drawing>
          <wp:inline distT="0" distB="0" distL="0" distR="0" wp14:anchorId="3648C4E6" wp14:editId="20B684CC">
            <wp:extent cx="5035029" cy="29432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9562" cy="2951720"/>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Estimated Marginal Means</w:t>
      </w:r>
    </w:p>
    <w:p w:rsidR="005072AA" w:rsidRPr="005072AA" w:rsidRDefault="005072AA" w:rsidP="005072AA">
      <w:pPr>
        <w:spacing w:line="360" w:lineRule="auto"/>
        <w:jc w:val="both"/>
        <w:rPr>
          <w:rFonts w:ascii="Times New Roman" w:hAnsi="Times New Roman" w:cs="Times New Roman"/>
          <w:sz w:val="24"/>
          <w:szCs w:val="24"/>
        </w:rPr>
      </w:pPr>
    </w:p>
    <w:tbl>
      <w:tblPr>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5072AA" w:rsidRPr="005072AA" w:rsidTr="006F4C9F">
        <w:tblPrEx>
          <w:tblCellMar>
            <w:top w:w="0" w:type="dxa"/>
            <w:bottom w:w="0" w:type="dxa"/>
          </w:tblCellMar>
        </w:tblPrEx>
        <w:trPr>
          <w:cantSplit/>
        </w:trPr>
        <w:tc>
          <w:tcPr>
            <w:tcW w:w="5009" w:type="dxa"/>
            <w:gridSpan w:val="4"/>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1. Grand Mean</w:t>
            </w:r>
          </w:p>
        </w:tc>
      </w:tr>
      <w:tr w:rsidR="005072AA" w:rsidRPr="005072AA" w:rsidTr="006F4C9F">
        <w:tblPrEx>
          <w:tblCellMar>
            <w:top w:w="0" w:type="dxa"/>
            <w:bottom w:w="0" w:type="dxa"/>
          </w:tblCellMar>
        </w:tblPrEx>
        <w:trPr>
          <w:cantSplit/>
        </w:trPr>
        <w:tc>
          <w:tcPr>
            <w:tcW w:w="5009" w:type="dxa"/>
            <w:gridSpan w:val="4"/>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72"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92"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36"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36"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26.625</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.444</w:t>
            </w:r>
          </w:p>
        </w:tc>
        <w:tc>
          <w:tcPr>
            <w:tcW w:w="1436" w:type="dxa"/>
            <w:tcBorders>
              <w:top w:val="single" w:sz="8" w:space="0" w:color="152935"/>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25.750</w:t>
            </w:r>
          </w:p>
        </w:tc>
        <w:tc>
          <w:tcPr>
            <w:tcW w:w="1436" w:type="dxa"/>
            <w:tcBorders>
              <w:top w:val="single" w:sz="8" w:space="0" w:color="152935"/>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27.500</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6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31"/>
        <w:gridCol w:w="1029"/>
        <w:gridCol w:w="1075"/>
        <w:gridCol w:w="1414"/>
        <w:gridCol w:w="1414"/>
      </w:tblGrid>
      <w:tr w:rsidR="005072AA" w:rsidRPr="005072AA" w:rsidTr="006F4C9F">
        <w:tblPrEx>
          <w:tblCellMar>
            <w:top w:w="0" w:type="dxa"/>
            <w:bottom w:w="0" w:type="dxa"/>
          </w:tblCellMar>
        </w:tblPrEx>
        <w:trPr>
          <w:cantSplit/>
        </w:trPr>
        <w:tc>
          <w:tcPr>
            <w:tcW w:w="6761"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2. Harvey_Bradshaw</w:t>
            </w:r>
          </w:p>
        </w:tc>
      </w:tr>
      <w:tr w:rsidR="005072AA" w:rsidRPr="005072AA" w:rsidTr="006F4C9F">
        <w:tblPrEx>
          <w:tblCellMar>
            <w:top w:w="0" w:type="dxa"/>
            <w:bottom w:w="0" w:type="dxa"/>
          </w:tblCellMar>
        </w:tblPrEx>
        <w:trPr>
          <w:cantSplit/>
        </w:trPr>
        <w:tc>
          <w:tcPr>
            <w:tcW w:w="6761"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blPrEx>
          <w:tblCellMar>
            <w:top w:w="0" w:type="dxa"/>
            <w:bottom w:w="0" w:type="dxa"/>
          </w:tblCellMar>
        </w:tblPrEx>
        <w:trPr>
          <w:cantSplit/>
        </w:trPr>
        <w:tc>
          <w:tcPr>
            <w:tcW w:w="1829" w:type="dxa"/>
            <w:vMerge w:val="restart"/>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Harvey_Bradshaw</w:t>
            </w:r>
          </w:p>
        </w:tc>
        <w:tc>
          <w:tcPr>
            <w:tcW w:w="1029"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28"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blPrEx>
          <w:tblCellMar>
            <w:top w:w="0" w:type="dxa"/>
            <w:bottom w:w="0" w:type="dxa"/>
          </w:tblCellMar>
        </w:tblPrEx>
        <w:trPr>
          <w:cantSplit/>
        </w:trPr>
        <w:tc>
          <w:tcPr>
            <w:tcW w:w="1829" w:type="dxa"/>
            <w:vMerge/>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29"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blPrEx>
          <w:tblCellMar>
            <w:top w:w="0" w:type="dxa"/>
            <w:bottom w:w="0" w:type="dxa"/>
          </w:tblCellMar>
        </w:tblPrEx>
        <w:trPr>
          <w:cantSplit/>
        </w:trPr>
        <w:tc>
          <w:tcPr>
            <w:tcW w:w="1829"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Remission</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28.252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.790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26.694</w:t>
            </w:r>
          </w:p>
        </w:tc>
        <w:tc>
          <w:tcPr>
            <w:tcW w:w="1414"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29.810</w:t>
            </w:r>
          </w:p>
        </w:tc>
      </w:tr>
      <w:tr w:rsidR="005072AA" w:rsidRPr="005072AA" w:rsidTr="006F4C9F">
        <w:tblPrEx>
          <w:tblCellMar>
            <w:top w:w="0" w:type="dxa"/>
            <w:bottom w:w="0" w:type="dxa"/>
          </w:tblCellMar>
        </w:tblPrEx>
        <w:trPr>
          <w:cantSplit/>
        </w:trPr>
        <w:tc>
          <w:tcPr>
            <w:tcW w:w="18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Mild</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27.478</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1.019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25.469</w:t>
            </w:r>
          </w:p>
        </w:tc>
        <w:tc>
          <w:tcPr>
            <w:tcW w:w="1414"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29.486</w:t>
            </w:r>
          </w:p>
        </w:tc>
      </w:tr>
      <w:tr w:rsidR="005072AA" w:rsidRPr="005072AA" w:rsidTr="006F4C9F">
        <w:tblPrEx>
          <w:tblCellMar>
            <w:top w:w="0" w:type="dxa"/>
            <w:bottom w:w="0" w:type="dxa"/>
          </w:tblCellMar>
        </w:tblPrEx>
        <w:trPr>
          <w:cantSplit/>
        </w:trPr>
        <w:tc>
          <w:tcPr>
            <w:tcW w:w="1829" w:type="dxa"/>
            <w:tcBorders>
              <w:top w:val="single" w:sz="8" w:space="0" w:color="AEAEAE"/>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Moderate</w:t>
            </w:r>
          </w:p>
        </w:tc>
        <w:tc>
          <w:tcPr>
            <w:tcW w:w="1029" w:type="dxa"/>
            <w:tcBorders>
              <w:top w:val="single" w:sz="8" w:space="0" w:color="AEAEAE"/>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26.325</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24.439</w:t>
            </w:r>
          </w:p>
        </w:tc>
        <w:tc>
          <w:tcPr>
            <w:tcW w:w="1414" w:type="dxa"/>
            <w:tcBorders>
              <w:top w:val="single" w:sz="8" w:space="0" w:color="AEAEAE"/>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28.210</w:t>
            </w:r>
          </w:p>
        </w:tc>
      </w:tr>
      <w:tr w:rsidR="005072AA" w:rsidRPr="005072AA" w:rsidTr="006F4C9F">
        <w:tblPrEx>
          <w:tblCellMar>
            <w:top w:w="0" w:type="dxa"/>
            <w:bottom w:w="0" w:type="dxa"/>
          </w:tblCellMar>
        </w:tblPrEx>
        <w:trPr>
          <w:cantSplit/>
        </w:trPr>
        <w:tc>
          <w:tcPr>
            <w:tcW w:w="1829"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Severe</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24.445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.759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22.949</w:t>
            </w:r>
          </w:p>
        </w:tc>
        <w:tc>
          <w:tcPr>
            <w:tcW w:w="1414"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25.942</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p>
    <w:tbl>
      <w:tblPr>
        <w:tblW w:w="6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2"/>
        <w:gridCol w:w="1029"/>
        <w:gridCol w:w="1075"/>
        <w:gridCol w:w="1414"/>
        <w:gridCol w:w="1414"/>
      </w:tblGrid>
      <w:tr w:rsidR="005072AA" w:rsidRPr="005072AA" w:rsidTr="006F4C9F">
        <w:tblPrEx>
          <w:tblCellMar>
            <w:top w:w="0" w:type="dxa"/>
            <w:bottom w:w="0" w:type="dxa"/>
          </w:tblCellMar>
        </w:tblPrEx>
        <w:trPr>
          <w:cantSplit/>
        </w:trPr>
        <w:tc>
          <w:tcPr>
            <w:tcW w:w="6594" w:type="dxa"/>
            <w:gridSpan w:val="5"/>
            <w:tcBorders>
              <w:top w:val="nil"/>
              <w:left w:val="nil"/>
              <w:bottom w:val="nil"/>
              <w:right w:val="nil"/>
            </w:tcBorders>
            <w:shd w:val="clear" w:color="auto" w:fill="FFFFFF"/>
            <w:vAlign w:val="center"/>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b/>
                <w:bCs/>
                <w:sz w:val="24"/>
                <w:szCs w:val="24"/>
              </w:rPr>
              <w:t>3. Disease_type</w:t>
            </w:r>
          </w:p>
        </w:tc>
      </w:tr>
      <w:tr w:rsidR="005072AA" w:rsidRPr="005072AA" w:rsidTr="006F4C9F">
        <w:tblPrEx>
          <w:tblCellMar>
            <w:top w:w="0" w:type="dxa"/>
            <w:bottom w:w="0" w:type="dxa"/>
          </w:tblCellMar>
        </w:tblPrEx>
        <w:trPr>
          <w:cantSplit/>
        </w:trPr>
        <w:tc>
          <w:tcPr>
            <w:tcW w:w="6594" w:type="dxa"/>
            <w:gridSpan w:val="5"/>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 xml:space="preserve">Dependent Variable:   Self_Esteem  </w:t>
            </w:r>
          </w:p>
        </w:tc>
      </w:tr>
      <w:tr w:rsidR="005072AA" w:rsidRPr="005072AA" w:rsidTr="006F4C9F">
        <w:tblPrEx>
          <w:tblCellMar>
            <w:top w:w="0" w:type="dxa"/>
            <w:bottom w:w="0" w:type="dxa"/>
          </w:tblCellMar>
        </w:tblPrEx>
        <w:trPr>
          <w:cantSplit/>
        </w:trPr>
        <w:tc>
          <w:tcPr>
            <w:tcW w:w="1662" w:type="dxa"/>
            <w:vMerge w:val="restart"/>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Disease_type</w:t>
            </w:r>
          </w:p>
        </w:tc>
        <w:tc>
          <w:tcPr>
            <w:tcW w:w="1029" w:type="dxa"/>
            <w:vMerge w:val="restart"/>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Std. Error</w:t>
            </w:r>
          </w:p>
        </w:tc>
        <w:tc>
          <w:tcPr>
            <w:tcW w:w="2828" w:type="dxa"/>
            <w:gridSpan w:val="2"/>
            <w:tcBorders>
              <w:top w:val="nil"/>
              <w:left w:val="single" w:sz="8" w:space="0" w:color="E0E0E0"/>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95% Confidence Interval</w:t>
            </w:r>
          </w:p>
        </w:tc>
      </w:tr>
      <w:tr w:rsidR="005072AA" w:rsidRPr="005072AA" w:rsidTr="006F4C9F">
        <w:tblPrEx>
          <w:tblCellMar>
            <w:top w:w="0" w:type="dxa"/>
            <w:bottom w:w="0" w:type="dxa"/>
          </w:tblCellMar>
        </w:tblPrEx>
        <w:trPr>
          <w:cantSplit/>
        </w:trPr>
        <w:tc>
          <w:tcPr>
            <w:tcW w:w="1662" w:type="dxa"/>
            <w:vMerge/>
            <w:tcBorders>
              <w:top w:val="nil"/>
              <w:left w:val="nil"/>
              <w:bottom w:val="nil"/>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29" w:type="dxa"/>
            <w:vMerge/>
            <w:tcBorders>
              <w:top w:val="nil"/>
              <w:left w:val="nil"/>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075" w:type="dxa"/>
            <w:vMerge/>
            <w:tcBorders>
              <w:top w:val="nil"/>
              <w:left w:val="single" w:sz="8" w:space="0" w:color="E0E0E0"/>
              <w:bottom w:val="nil"/>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Lower Bound</w:t>
            </w:r>
          </w:p>
        </w:tc>
        <w:tc>
          <w:tcPr>
            <w:tcW w:w="1414" w:type="dxa"/>
            <w:tcBorders>
              <w:top w:val="nil"/>
              <w:left w:val="single" w:sz="8" w:space="0" w:color="E0E0E0"/>
              <w:bottom w:val="single" w:sz="8" w:space="0" w:color="152935"/>
              <w:right w:val="nil"/>
            </w:tcBorders>
            <w:shd w:val="clear" w:color="auto" w:fill="FFFFFF"/>
            <w:vAlign w:val="bottom"/>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Upper Bound</w:t>
            </w:r>
          </w:p>
        </w:tc>
      </w:tr>
      <w:tr w:rsidR="005072AA" w:rsidRPr="005072AA" w:rsidTr="006F4C9F">
        <w:tblPrEx>
          <w:tblCellMar>
            <w:top w:w="0" w:type="dxa"/>
            <w:bottom w:w="0" w:type="dxa"/>
          </w:tblCellMar>
        </w:tblPrEx>
        <w:trPr>
          <w:cantSplit/>
        </w:trPr>
        <w:tc>
          <w:tcPr>
            <w:tcW w:w="1662" w:type="dxa"/>
            <w:tcBorders>
              <w:top w:val="single" w:sz="8" w:space="0" w:color="152935"/>
              <w:left w:val="nil"/>
              <w:bottom w:val="single" w:sz="8" w:space="0" w:color="AEAEAE"/>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Crohns disease</w:t>
            </w:r>
          </w:p>
        </w:tc>
        <w:tc>
          <w:tcPr>
            <w:tcW w:w="1029" w:type="dxa"/>
            <w:tcBorders>
              <w:top w:val="single" w:sz="8" w:space="0" w:color="152935"/>
              <w:left w:val="nil"/>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24.945</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.591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23.781</w:t>
            </w:r>
          </w:p>
        </w:tc>
        <w:tc>
          <w:tcPr>
            <w:tcW w:w="1414" w:type="dxa"/>
            <w:tcBorders>
              <w:top w:val="single" w:sz="8" w:space="0" w:color="152935"/>
              <w:left w:val="single" w:sz="8" w:space="0" w:color="E0E0E0"/>
              <w:bottom w:val="single" w:sz="8" w:space="0" w:color="AEAEAE"/>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26.110</w:t>
            </w:r>
          </w:p>
        </w:tc>
      </w:tr>
      <w:tr w:rsidR="005072AA" w:rsidRPr="005072AA" w:rsidTr="006F4C9F">
        <w:tblPrEx>
          <w:tblCellMar>
            <w:top w:w="0" w:type="dxa"/>
            <w:bottom w:w="0" w:type="dxa"/>
          </w:tblCellMar>
        </w:tblPrEx>
        <w:trPr>
          <w:cantSplit/>
        </w:trPr>
        <w:tc>
          <w:tcPr>
            <w:tcW w:w="1662" w:type="dxa"/>
            <w:tcBorders>
              <w:top w:val="single" w:sz="8" w:space="0" w:color="AEAEAE"/>
              <w:left w:val="nil"/>
              <w:bottom w:val="single" w:sz="8" w:space="0" w:color="152935"/>
              <w:right w:val="nil"/>
            </w:tcBorders>
            <w:shd w:val="clear" w:color="auto" w:fill="E0E0E0"/>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Ulcerative colitis</w:t>
            </w:r>
          </w:p>
        </w:tc>
        <w:tc>
          <w:tcPr>
            <w:tcW w:w="1029" w:type="dxa"/>
            <w:tcBorders>
              <w:top w:val="single" w:sz="8" w:space="0" w:color="AEAEAE"/>
              <w:left w:val="nil"/>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28.305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.663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26.998</w:t>
            </w:r>
          </w:p>
        </w:tc>
        <w:tc>
          <w:tcPr>
            <w:tcW w:w="1414" w:type="dxa"/>
            <w:tcBorders>
              <w:top w:val="single" w:sz="8" w:space="0" w:color="AEAEAE"/>
              <w:left w:val="single" w:sz="8" w:space="0" w:color="E0E0E0"/>
              <w:bottom w:val="single" w:sz="8" w:space="0" w:color="152935"/>
              <w:right w:val="nil"/>
            </w:tcBorders>
            <w:shd w:val="clear" w:color="auto" w:fill="FFFFFF"/>
          </w:tcPr>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t>29.611</w:t>
            </w:r>
          </w:p>
        </w:tc>
      </w:tr>
    </w:tbl>
    <w:p w:rsidR="005072AA" w:rsidRPr="005072AA" w:rsidRDefault="005072AA" w:rsidP="005072AA">
      <w:pPr>
        <w:spacing w:line="360" w:lineRule="auto"/>
        <w:jc w:val="both"/>
        <w:rPr>
          <w:rFonts w:ascii="Times New Roman" w:hAnsi="Times New Roman" w:cs="Times New Roman"/>
          <w:sz w:val="24"/>
          <w:szCs w:val="24"/>
        </w:rPr>
      </w:pP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drawing>
          <wp:inline distT="0" distB="0" distL="0" distR="0" wp14:anchorId="15114667" wp14:editId="52C68B0C">
            <wp:extent cx="5172502" cy="26289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4518" cy="2629925"/>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Post Hoc Tests</w:t>
      </w:r>
    </w:p>
    <w:p w:rsidR="005072AA" w:rsidRPr="005072AA" w:rsidRDefault="005072AA" w:rsidP="005072AA">
      <w:pPr>
        <w:spacing w:line="360" w:lineRule="auto"/>
        <w:jc w:val="both"/>
        <w:rPr>
          <w:rFonts w:ascii="Times New Roman" w:hAnsi="Times New Roman" w:cs="Times New Roman"/>
          <w:b/>
          <w:bCs/>
          <w:sz w:val="24"/>
          <w:szCs w:val="24"/>
        </w:rPr>
      </w:pPr>
      <w:r w:rsidRPr="005072AA">
        <w:rPr>
          <w:rFonts w:ascii="Times New Roman" w:hAnsi="Times New Roman" w:cs="Times New Roman"/>
          <w:b/>
          <w:bCs/>
          <w:sz w:val="24"/>
          <w:szCs w:val="24"/>
        </w:rPr>
        <w:t>Harvey_Bradshaw</w:t>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drawing>
          <wp:anchor distT="0" distB="0" distL="114300" distR="114300" simplePos="0" relativeHeight="251675648" behindDoc="0" locked="0" layoutInCell="1" allowOverlap="1" wp14:anchorId="25D13CF4" wp14:editId="671C1E33">
            <wp:simplePos x="0" y="0"/>
            <wp:positionH relativeFrom="margin">
              <wp:align>right</wp:align>
            </wp:positionH>
            <wp:positionV relativeFrom="paragraph">
              <wp:posOffset>3423806</wp:posOffset>
            </wp:positionV>
            <wp:extent cx="5731510" cy="4580577"/>
            <wp:effectExtent l="0" t="0" r="254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580577"/>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72AA">
        <w:rPr>
          <w:rFonts w:ascii="Times New Roman" w:hAnsi="Times New Roman" w:cs="Times New Roman"/>
          <w:sz w:val="24"/>
          <w:szCs w:val="24"/>
        </w:rPr>
        <w:drawing>
          <wp:inline distT="0" distB="0" distL="0" distR="0" wp14:anchorId="3CBF8842" wp14:editId="1ADB1DE0">
            <wp:extent cx="5332730" cy="3361513"/>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1041" cy="3385662"/>
                    </a:xfrm>
                    <a:prstGeom prst="rect">
                      <a:avLst/>
                    </a:prstGeom>
                    <a:noFill/>
                  </pic:spPr>
                </pic:pic>
              </a:graphicData>
            </a:graphic>
          </wp:inline>
        </w:drawing>
      </w:r>
    </w:p>
    <w:p w:rsidR="005072AA" w:rsidRPr="005072AA" w:rsidRDefault="005072AA" w:rsidP="005072AA">
      <w:pPr>
        <w:spacing w:line="360" w:lineRule="auto"/>
        <w:jc w:val="both"/>
        <w:rPr>
          <w:rFonts w:ascii="Times New Roman" w:hAnsi="Times New Roman" w:cs="Times New Roman"/>
          <w:sz w:val="24"/>
          <w:szCs w:val="24"/>
        </w:rPr>
      </w:pPr>
      <w:r w:rsidRPr="005072AA">
        <w:rPr>
          <w:rFonts w:ascii="Times New Roman" w:hAnsi="Times New Roman" w:cs="Times New Roman"/>
          <w:sz w:val="24"/>
          <w:szCs w:val="24"/>
        </w:rPr>
        <w:lastRenderedPageBreak/>
        <w:drawing>
          <wp:inline distT="0" distB="0" distL="0" distR="0" wp14:anchorId="6315E24E" wp14:editId="5997B28F">
            <wp:extent cx="5731510" cy="4580577"/>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80577"/>
                    </a:xfrm>
                    <a:prstGeom prst="rect">
                      <a:avLst/>
                    </a:prstGeom>
                    <a:noFill/>
                    <a:ln>
                      <a:noFill/>
                    </a:ln>
                  </pic:spPr>
                </pic:pic>
              </a:graphicData>
            </a:graphic>
          </wp:inline>
        </w:drawing>
      </w:r>
    </w:p>
    <w:p w:rsidR="006E4D24" w:rsidRPr="007D1A3D" w:rsidRDefault="006E4D24" w:rsidP="00790E6F">
      <w:pPr>
        <w:spacing w:line="360" w:lineRule="auto"/>
        <w:jc w:val="both"/>
        <w:rPr>
          <w:rFonts w:ascii="Times New Roman" w:hAnsi="Times New Roman" w:cs="Times New Roman"/>
          <w:sz w:val="24"/>
          <w:szCs w:val="24"/>
        </w:rPr>
      </w:pPr>
    </w:p>
    <w:sectPr w:rsidR="006E4D24" w:rsidRPr="007D1A3D" w:rsidSect="00A17C23">
      <w:footerReference w:type="default" r:id="rId22"/>
      <w:pgSz w:w="11906" w:h="16838"/>
      <w:pgMar w:top="1440" w:right="1440" w:bottom="1440" w:left="2160" w:header="706" w:footer="706"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3161" w:rsidRDefault="009D3161" w:rsidP="00FB5194">
      <w:pPr>
        <w:spacing w:after="0" w:line="240" w:lineRule="auto"/>
      </w:pPr>
      <w:r>
        <w:separator/>
      </w:r>
    </w:p>
  </w:endnote>
  <w:endnote w:type="continuationSeparator" w:id="0">
    <w:p w:rsidR="009D3161" w:rsidRDefault="009D3161" w:rsidP="00FB5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5194" w:rsidRDefault="00FB5194" w:rsidP="00F63C5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5793065"/>
      <w:docPartObj>
        <w:docPartGallery w:val="Page Numbers (Bottom of Page)"/>
        <w:docPartUnique/>
      </w:docPartObj>
    </w:sdtPr>
    <w:sdtEndPr>
      <w:rPr>
        <w:noProof/>
      </w:rPr>
    </w:sdtEndPr>
    <w:sdtContent>
      <w:p w:rsidR="00A17C23" w:rsidRDefault="00A17C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40212" w:rsidRDefault="009402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549744"/>
      <w:docPartObj>
        <w:docPartGallery w:val="Page Numbers (Bottom of Page)"/>
        <w:docPartUnique/>
      </w:docPartObj>
    </w:sdtPr>
    <w:sdtEndPr>
      <w:rPr>
        <w:noProof/>
      </w:rPr>
    </w:sdtEndPr>
    <w:sdtContent>
      <w:p w:rsidR="00B013D8" w:rsidRDefault="00B013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63C52" w:rsidRDefault="00F63C52" w:rsidP="00F63C5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3161" w:rsidRDefault="009D3161" w:rsidP="00FB5194">
      <w:pPr>
        <w:spacing w:after="0" w:line="240" w:lineRule="auto"/>
      </w:pPr>
      <w:r>
        <w:separator/>
      </w:r>
    </w:p>
  </w:footnote>
  <w:footnote w:type="continuationSeparator" w:id="0">
    <w:p w:rsidR="009D3161" w:rsidRDefault="009D3161" w:rsidP="00FB51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01D82"/>
    <w:multiLevelType w:val="hybridMultilevel"/>
    <w:tmpl w:val="12DA9D6A"/>
    <w:lvl w:ilvl="0" w:tplc="590A2FA2">
      <w:start w:val="57"/>
      <w:numFmt w:val="decimal"/>
      <w:lvlText w:val="%1"/>
      <w:lvlJc w:val="left"/>
    </w:lvl>
    <w:lvl w:ilvl="1" w:tplc="AA7E3AEA">
      <w:numFmt w:val="decimal"/>
      <w:lvlText w:val=""/>
      <w:lvlJc w:val="left"/>
    </w:lvl>
    <w:lvl w:ilvl="2" w:tplc="7D745448">
      <w:numFmt w:val="decimal"/>
      <w:lvlText w:val=""/>
      <w:lvlJc w:val="left"/>
    </w:lvl>
    <w:lvl w:ilvl="3" w:tplc="A4107658">
      <w:numFmt w:val="decimal"/>
      <w:lvlText w:val=""/>
      <w:lvlJc w:val="left"/>
    </w:lvl>
    <w:lvl w:ilvl="4" w:tplc="A4141492">
      <w:numFmt w:val="decimal"/>
      <w:lvlText w:val=""/>
      <w:lvlJc w:val="left"/>
    </w:lvl>
    <w:lvl w:ilvl="5" w:tplc="8E20F0B6">
      <w:numFmt w:val="decimal"/>
      <w:lvlText w:val=""/>
      <w:lvlJc w:val="left"/>
    </w:lvl>
    <w:lvl w:ilvl="6" w:tplc="FA205232">
      <w:numFmt w:val="decimal"/>
      <w:lvlText w:val=""/>
      <w:lvlJc w:val="left"/>
    </w:lvl>
    <w:lvl w:ilvl="7" w:tplc="D5EEC630">
      <w:numFmt w:val="decimal"/>
      <w:lvlText w:val=""/>
      <w:lvlJc w:val="left"/>
    </w:lvl>
    <w:lvl w:ilvl="8" w:tplc="B4584586">
      <w:numFmt w:val="decimal"/>
      <w:lvlText w:val=""/>
      <w:lvlJc w:val="left"/>
    </w:lvl>
  </w:abstractNum>
  <w:abstractNum w:abstractNumId="1" w15:restartNumberingAfterBreak="0">
    <w:nsid w:val="08138641"/>
    <w:multiLevelType w:val="hybridMultilevel"/>
    <w:tmpl w:val="9FFE80B6"/>
    <w:lvl w:ilvl="0" w:tplc="410E07E0">
      <w:start w:val="59"/>
      <w:numFmt w:val="decimal"/>
      <w:lvlText w:val="%1"/>
      <w:lvlJc w:val="left"/>
    </w:lvl>
    <w:lvl w:ilvl="1" w:tplc="654A420C">
      <w:numFmt w:val="decimal"/>
      <w:lvlText w:val=""/>
      <w:lvlJc w:val="left"/>
    </w:lvl>
    <w:lvl w:ilvl="2" w:tplc="2D2C7566">
      <w:numFmt w:val="decimal"/>
      <w:lvlText w:val=""/>
      <w:lvlJc w:val="left"/>
    </w:lvl>
    <w:lvl w:ilvl="3" w:tplc="3B408B7A">
      <w:numFmt w:val="decimal"/>
      <w:lvlText w:val=""/>
      <w:lvlJc w:val="left"/>
    </w:lvl>
    <w:lvl w:ilvl="4" w:tplc="2F9E1B2E">
      <w:numFmt w:val="decimal"/>
      <w:lvlText w:val=""/>
      <w:lvlJc w:val="left"/>
    </w:lvl>
    <w:lvl w:ilvl="5" w:tplc="FE5A56FC">
      <w:numFmt w:val="decimal"/>
      <w:lvlText w:val=""/>
      <w:lvlJc w:val="left"/>
    </w:lvl>
    <w:lvl w:ilvl="6" w:tplc="65DAF9C6">
      <w:numFmt w:val="decimal"/>
      <w:lvlText w:val=""/>
      <w:lvlJc w:val="left"/>
    </w:lvl>
    <w:lvl w:ilvl="7" w:tplc="B6D45490">
      <w:numFmt w:val="decimal"/>
      <w:lvlText w:val=""/>
      <w:lvlJc w:val="left"/>
    </w:lvl>
    <w:lvl w:ilvl="8" w:tplc="6AE65F80">
      <w:numFmt w:val="decimal"/>
      <w:lvlText w:val=""/>
      <w:lvlJc w:val="left"/>
    </w:lvl>
  </w:abstractNum>
  <w:abstractNum w:abstractNumId="2" w15:restartNumberingAfterBreak="0">
    <w:nsid w:val="0836C40E"/>
    <w:multiLevelType w:val="hybridMultilevel"/>
    <w:tmpl w:val="C0E22CFA"/>
    <w:lvl w:ilvl="0" w:tplc="FAB23462">
      <w:start w:val="56"/>
      <w:numFmt w:val="decimal"/>
      <w:lvlText w:val="%1"/>
      <w:lvlJc w:val="left"/>
    </w:lvl>
    <w:lvl w:ilvl="1" w:tplc="DCCE5B18">
      <w:numFmt w:val="decimal"/>
      <w:lvlText w:val=""/>
      <w:lvlJc w:val="left"/>
    </w:lvl>
    <w:lvl w:ilvl="2" w:tplc="0630AFF4">
      <w:numFmt w:val="decimal"/>
      <w:lvlText w:val=""/>
      <w:lvlJc w:val="left"/>
    </w:lvl>
    <w:lvl w:ilvl="3" w:tplc="BD8885C4">
      <w:numFmt w:val="decimal"/>
      <w:lvlText w:val=""/>
      <w:lvlJc w:val="left"/>
    </w:lvl>
    <w:lvl w:ilvl="4" w:tplc="46B29D2C">
      <w:numFmt w:val="decimal"/>
      <w:lvlText w:val=""/>
      <w:lvlJc w:val="left"/>
    </w:lvl>
    <w:lvl w:ilvl="5" w:tplc="0BEE0150">
      <w:numFmt w:val="decimal"/>
      <w:lvlText w:val=""/>
      <w:lvlJc w:val="left"/>
    </w:lvl>
    <w:lvl w:ilvl="6" w:tplc="978C63F2">
      <w:numFmt w:val="decimal"/>
      <w:lvlText w:val=""/>
      <w:lvlJc w:val="left"/>
    </w:lvl>
    <w:lvl w:ilvl="7" w:tplc="CC880EC6">
      <w:numFmt w:val="decimal"/>
      <w:lvlText w:val=""/>
      <w:lvlJc w:val="left"/>
    </w:lvl>
    <w:lvl w:ilvl="8" w:tplc="1E700EB8">
      <w:numFmt w:val="decimal"/>
      <w:lvlText w:val=""/>
      <w:lvlJc w:val="left"/>
    </w:lvl>
  </w:abstractNum>
  <w:abstractNum w:abstractNumId="3" w15:restartNumberingAfterBreak="0">
    <w:nsid w:val="08EDBDAB"/>
    <w:multiLevelType w:val="hybridMultilevel"/>
    <w:tmpl w:val="DB480BAC"/>
    <w:lvl w:ilvl="0" w:tplc="3E769B8C">
      <w:start w:val="48"/>
      <w:numFmt w:val="decimal"/>
      <w:lvlText w:val="%1"/>
      <w:lvlJc w:val="left"/>
    </w:lvl>
    <w:lvl w:ilvl="1" w:tplc="F3084290">
      <w:numFmt w:val="decimal"/>
      <w:lvlText w:val=""/>
      <w:lvlJc w:val="left"/>
    </w:lvl>
    <w:lvl w:ilvl="2" w:tplc="E1A4CA82">
      <w:numFmt w:val="decimal"/>
      <w:lvlText w:val=""/>
      <w:lvlJc w:val="left"/>
    </w:lvl>
    <w:lvl w:ilvl="3" w:tplc="6AAA8C90">
      <w:numFmt w:val="decimal"/>
      <w:lvlText w:val=""/>
      <w:lvlJc w:val="left"/>
    </w:lvl>
    <w:lvl w:ilvl="4" w:tplc="003A2D20">
      <w:numFmt w:val="decimal"/>
      <w:lvlText w:val=""/>
      <w:lvlJc w:val="left"/>
    </w:lvl>
    <w:lvl w:ilvl="5" w:tplc="6DAE08A0">
      <w:numFmt w:val="decimal"/>
      <w:lvlText w:val=""/>
      <w:lvlJc w:val="left"/>
    </w:lvl>
    <w:lvl w:ilvl="6" w:tplc="41D848BC">
      <w:numFmt w:val="decimal"/>
      <w:lvlText w:val=""/>
      <w:lvlJc w:val="left"/>
    </w:lvl>
    <w:lvl w:ilvl="7" w:tplc="A4748858">
      <w:numFmt w:val="decimal"/>
      <w:lvlText w:val=""/>
      <w:lvlJc w:val="left"/>
    </w:lvl>
    <w:lvl w:ilvl="8" w:tplc="056E8B66">
      <w:numFmt w:val="decimal"/>
      <w:lvlText w:val=""/>
      <w:lvlJc w:val="left"/>
    </w:lvl>
  </w:abstractNum>
  <w:abstractNum w:abstractNumId="4" w15:restartNumberingAfterBreak="0">
    <w:nsid w:val="0A4D606D"/>
    <w:multiLevelType w:val="hybridMultilevel"/>
    <w:tmpl w:val="E1C6E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3E0C6"/>
    <w:multiLevelType w:val="hybridMultilevel"/>
    <w:tmpl w:val="30E8B47C"/>
    <w:lvl w:ilvl="0" w:tplc="741E08A0">
      <w:start w:val="51"/>
      <w:numFmt w:val="decimal"/>
      <w:lvlText w:val="%1"/>
      <w:lvlJc w:val="left"/>
    </w:lvl>
    <w:lvl w:ilvl="1" w:tplc="27F0A276">
      <w:numFmt w:val="decimal"/>
      <w:lvlText w:val=""/>
      <w:lvlJc w:val="left"/>
    </w:lvl>
    <w:lvl w:ilvl="2" w:tplc="2F900BDC">
      <w:numFmt w:val="decimal"/>
      <w:lvlText w:val=""/>
      <w:lvlJc w:val="left"/>
    </w:lvl>
    <w:lvl w:ilvl="3" w:tplc="685C1CBE">
      <w:numFmt w:val="decimal"/>
      <w:lvlText w:val=""/>
      <w:lvlJc w:val="left"/>
    </w:lvl>
    <w:lvl w:ilvl="4" w:tplc="1588735A">
      <w:numFmt w:val="decimal"/>
      <w:lvlText w:val=""/>
      <w:lvlJc w:val="left"/>
    </w:lvl>
    <w:lvl w:ilvl="5" w:tplc="A002EA48">
      <w:numFmt w:val="decimal"/>
      <w:lvlText w:val=""/>
      <w:lvlJc w:val="left"/>
    </w:lvl>
    <w:lvl w:ilvl="6" w:tplc="81C85206">
      <w:numFmt w:val="decimal"/>
      <w:lvlText w:val=""/>
      <w:lvlJc w:val="left"/>
    </w:lvl>
    <w:lvl w:ilvl="7" w:tplc="285469BA">
      <w:numFmt w:val="decimal"/>
      <w:lvlText w:val=""/>
      <w:lvlJc w:val="left"/>
    </w:lvl>
    <w:lvl w:ilvl="8" w:tplc="8370D5F6">
      <w:numFmt w:val="decimal"/>
      <w:lvlText w:val=""/>
      <w:lvlJc w:val="left"/>
    </w:lvl>
  </w:abstractNum>
  <w:abstractNum w:abstractNumId="6" w15:restartNumberingAfterBreak="0">
    <w:nsid w:val="189A769B"/>
    <w:multiLevelType w:val="hybridMultilevel"/>
    <w:tmpl w:val="DDDCD080"/>
    <w:lvl w:ilvl="0" w:tplc="7E8C2B8E">
      <w:start w:val="52"/>
      <w:numFmt w:val="decimal"/>
      <w:lvlText w:val="%1"/>
      <w:lvlJc w:val="left"/>
    </w:lvl>
    <w:lvl w:ilvl="1" w:tplc="6BBC6C4A">
      <w:numFmt w:val="decimal"/>
      <w:lvlText w:val=""/>
      <w:lvlJc w:val="left"/>
    </w:lvl>
    <w:lvl w:ilvl="2" w:tplc="EAF8DA94">
      <w:numFmt w:val="decimal"/>
      <w:lvlText w:val=""/>
      <w:lvlJc w:val="left"/>
    </w:lvl>
    <w:lvl w:ilvl="3" w:tplc="06C06A14">
      <w:numFmt w:val="decimal"/>
      <w:lvlText w:val=""/>
      <w:lvlJc w:val="left"/>
    </w:lvl>
    <w:lvl w:ilvl="4" w:tplc="F1D07FB2">
      <w:numFmt w:val="decimal"/>
      <w:lvlText w:val=""/>
      <w:lvlJc w:val="left"/>
    </w:lvl>
    <w:lvl w:ilvl="5" w:tplc="4378B692">
      <w:numFmt w:val="decimal"/>
      <w:lvlText w:val=""/>
      <w:lvlJc w:val="left"/>
    </w:lvl>
    <w:lvl w:ilvl="6" w:tplc="7BB42028">
      <w:numFmt w:val="decimal"/>
      <w:lvlText w:val=""/>
      <w:lvlJc w:val="left"/>
    </w:lvl>
    <w:lvl w:ilvl="7" w:tplc="1D34B924">
      <w:numFmt w:val="decimal"/>
      <w:lvlText w:val=""/>
      <w:lvlJc w:val="left"/>
    </w:lvl>
    <w:lvl w:ilvl="8" w:tplc="45AEA42C">
      <w:numFmt w:val="decimal"/>
      <w:lvlText w:val=""/>
      <w:lvlJc w:val="left"/>
    </w:lvl>
  </w:abstractNum>
  <w:abstractNum w:abstractNumId="7" w15:restartNumberingAfterBreak="0">
    <w:nsid w:val="2443A858"/>
    <w:multiLevelType w:val="hybridMultilevel"/>
    <w:tmpl w:val="353EDC74"/>
    <w:lvl w:ilvl="0" w:tplc="CDFCC034">
      <w:start w:val="39"/>
      <w:numFmt w:val="decimal"/>
      <w:lvlText w:val="%1"/>
      <w:lvlJc w:val="left"/>
    </w:lvl>
    <w:lvl w:ilvl="1" w:tplc="3020B754">
      <w:numFmt w:val="decimal"/>
      <w:lvlText w:val=""/>
      <w:lvlJc w:val="left"/>
    </w:lvl>
    <w:lvl w:ilvl="2" w:tplc="9EF82684">
      <w:numFmt w:val="decimal"/>
      <w:lvlText w:val=""/>
      <w:lvlJc w:val="left"/>
    </w:lvl>
    <w:lvl w:ilvl="3" w:tplc="DCBA836E">
      <w:numFmt w:val="decimal"/>
      <w:lvlText w:val=""/>
      <w:lvlJc w:val="left"/>
    </w:lvl>
    <w:lvl w:ilvl="4" w:tplc="AC6413E2">
      <w:numFmt w:val="decimal"/>
      <w:lvlText w:val=""/>
      <w:lvlJc w:val="left"/>
    </w:lvl>
    <w:lvl w:ilvl="5" w:tplc="2390D252">
      <w:numFmt w:val="decimal"/>
      <w:lvlText w:val=""/>
      <w:lvlJc w:val="left"/>
    </w:lvl>
    <w:lvl w:ilvl="6" w:tplc="40E02672">
      <w:numFmt w:val="decimal"/>
      <w:lvlText w:val=""/>
      <w:lvlJc w:val="left"/>
    </w:lvl>
    <w:lvl w:ilvl="7" w:tplc="66CE5516">
      <w:numFmt w:val="decimal"/>
      <w:lvlText w:val=""/>
      <w:lvlJc w:val="left"/>
    </w:lvl>
    <w:lvl w:ilvl="8" w:tplc="ACF83556">
      <w:numFmt w:val="decimal"/>
      <w:lvlText w:val=""/>
      <w:lvlJc w:val="left"/>
    </w:lvl>
  </w:abstractNum>
  <w:abstractNum w:abstractNumId="8" w15:restartNumberingAfterBreak="0">
    <w:nsid w:val="257130A3"/>
    <w:multiLevelType w:val="hybridMultilevel"/>
    <w:tmpl w:val="9F840122"/>
    <w:lvl w:ilvl="0" w:tplc="DE7A9F46">
      <w:start w:val="33"/>
      <w:numFmt w:val="decimal"/>
      <w:lvlText w:val="%1"/>
      <w:lvlJc w:val="left"/>
    </w:lvl>
    <w:lvl w:ilvl="1" w:tplc="AFF86D26">
      <w:numFmt w:val="decimal"/>
      <w:lvlText w:val=""/>
      <w:lvlJc w:val="left"/>
    </w:lvl>
    <w:lvl w:ilvl="2" w:tplc="D56E76C0">
      <w:numFmt w:val="decimal"/>
      <w:lvlText w:val=""/>
      <w:lvlJc w:val="left"/>
    </w:lvl>
    <w:lvl w:ilvl="3" w:tplc="3FA632C2">
      <w:numFmt w:val="decimal"/>
      <w:lvlText w:val=""/>
      <w:lvlJc w:val="left"/>
    </w:lvl>
    <w:lvl w:ilvl="4" w:tplc="B41071B0">
      <w:numFmt w:val="decimal"/>
      <w:lvlText w:val=""/>
      <w:lvlJc w:val="left"/>
    </w:lvl>
    <w:lvl w:ilvl="5" w:tplc="DD64DBBA">
      <w:numFmt w:val="decimal"/>
      <w:lvlText w:val=""/>
      <w:lvlJc w:val="left"/>
    </w:lvl>
    <w:lvl w:ilvl="6" w:tplc="29F861A8">
      <w:numFmt w:val="decimal"/>
      <w:lvlText w:val=""/>
      <w:lvlJc w:val="left"/>
    </w:lvl>
    <w:lvl w:ilvl="7" w:tplc="C99E2BE8">
      <w:numFmt w:val="decimal"/>
      <w:lvlText w:val=""/>
      <w:lvlJc w:val="left"/>
    </w:lvl>
    <w:lvl w:ilvl="8" w:tplc="CE08A208">
      <w:numFmt w:val="decimal"/>
      <w:lvlText w:val=""/>
      <w:lvlJc w:val="left"/>
    </w:lvl>
  </w:abstractNum>
  <w:abstractNum w:abstractNumId="9" w15:restartNumberingAfterBreak="0">
    <w:nsid w:val="25E45D32"/>
    <w:multiLevelType w:val="hybridMultilevel"/>
    <w:tmpl w:val="66706B28"/>
    <w:lvl w:ilvl="0" w:tplc="654ECF4A">
      <w:start w:val="28"/>
      <w:numFmt w:val="decimal"/>
      <w:lvlText w:val="%1"/>
      <w:lvlJc w:val="left"/>
    </w:lvl>
    <w:lvl w:ilvl="1" w:tplc="0096DD08">
      <w:numFmt w:val="decimal"/>
      <w:lvlText w:val=""/>
      <w:lvlJc w:val="left"/>
    </w:lvl>
    <w:lvl w:ilvl="2" w:tplc="2EFE4FFC">
      <w:numFmt w:val="decimal"/>
      <w:lvlText w:val=""/>
      <w:lvlJc w:val="left"/>
    </w:lvl>
    <w:lvl w:ilvl="3" w:tplc="E196D2DC">
      <w:numFmt w:val="decimal"/>
      <w:lvlText w:val=""/>
      <w:lvlJc w:val="left"/>
    </w:lvl>
    <w:lvl w:ilvl="4" w:tplc="CD98F00C">
      <w:numFmt w:val="decimal"/>
      <w:lvlText w:val=""/>
      <w:lvlJc w:val="left"/>
    </w:lvl>
    <w:lvl w:ilvl="5" w:tplc="BC603D60">
      <w:numFmt w:val="decimal"/>
      <w:lvlText w:val=""/>
      <w:lvlJc w:val="left"/>
    </w:lvl>
    <w:lvl w:ilvl="6" w:tplc="189A50D8">
      <w:numFmt w:val="decimal"/>
      <w:lvlText w:val=""/>
      <w:lvlJc w:val="left"/>
    </w:lvl>
    <w:lvl w:ilvl="7" w:tplc="D4D68FFC">
      <w:numFmt w:val="decimal"/>
      <w:lvlText w:val=""/>
      <w:lvlJc w:val="left"/>
    </w:lvl>
    <w:lvl w:ilvl="8" w:tplc="4CFE20DA">
      <w:numFmt w:val="decimal"/>
      <w:lvlText w:val=""/>
      <w:lvlJc w:val="left"/>
    </w:lvl>
  </w:abstractNum>
  <w:abstractNum w:abstractNumId="10" w15:restartNumberingAfterBreak="0">
    <w:nsid w:val="2736018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CA88611"/>
    <w:multiLevelType w:val="hybridMultilevel"/>
    <w:tmpl w:val="D5300A58"/>
    <w:lvl w:ilvl="0" w:tplc="4714313A">
      <w:start w:val="55"/>
      <w:numFmt w:val="decimal"/>
      <w:lvlText w:val="%1"/>
      <w:lvlJc w:val="left"/>
    </w:lvl>
    <w:lvl w:ilvl="1" w:tplc="D97C1EA2">
      <w:numFmt w:val="decimal"/>
      <w:lvlText w:val=""/>
      <w:lvlJc w:val="left"/>
    </w:lvl>
    <w:lvl w:ilvl="2" w:tplc="791CBD34">
      <w:numFmt w:val="decimal"/>
      <w:lvlText w:val=""/>
      <w:lvlJc w:val="left"/>
    </w:lvl>
    <w:lvl w:ilvl="3" w:tplc="F92A6662">
      <w:numFmt w:val="decimal"/>
      <w:lvlText w:val=""/>
      <w:lvlJc w:val="left"/>
    </w:lvl>
    <w:lvl w:ilvl="4" w:tplc="489267F0">
      <w:numFmt w:val="decimal"/>
      <w:lvlText w:val=""/>
      <w:lvlJc w:val="left"/>
    </w:lvl>
    <w:lvl w:ilvl="5" w:tplc="F4F4B7E4">
      <w:numFmt w:val="decimal"/>
      <w:lvlText w:val=""/>
      <w:lvlJc w:val="left"/>
    </w:lvl>
    <w:lvl w:ilvl="6" w:tplc="566E3EF4">
      <w:numFmt w:val="decimal"/>
      <w:lvlText w:val=""/>
      <w:lvlJc w:val="left"/>
    </w:lvl>
    <w:lvl w:ilvl="7" w:tplc="84DC8B7C">
      <w:numFmt w:val="decimal"/>
      <w:lvlText w:val=""/>
      <w:lvlJc w:val="left"/>
    </w:lvl>
    <w:lvl w:ilvl="8" w:tplc="7D3E4022">
      <w:numFmt w:val="decimal"/>
      <w:lvlText w:val=""/>
      <w:lvlJc w:val="left"/>
    </w:lvl>
  </w:abstractNum>
  <w:abstractNum w:abstractNumId="12" w15:restartNumberingAfterBreak="0">
    <w:nsid w:val="2D1D5AE9"/>
    <w:multiLevelType w:val="hybridMultilevel"/>
    <w:tmpl w:val="AE686106"/>
    <w:lvl w:ilvl="0" w:tplc="A6FCC000">
      <w:start w:val="40"/>
      <w:numFmt w:val="decimal"/>
      <w:lvlText w:val="%1"/>
      <w:lvlJc w:val="left"/>
    </w:lvl>
    <w:lvl w:ilvl="1" w:tplc="4EC8E756">
      <w:numFmt w:val="decimal"/>
      <w:lvlText w:val=""/>
      <w:lvlJc w:val="left"/>
    </w:lvl>
    <w:lvl w:ilvl="2" w:tplc="6DA016C0">
      <w:numFmt w:val="decimal"/>
      <w:lvlText w:val=""/>
      <w:lvlJc w:val="left"/>
    </w:lvl>
    <w:lvl w:ilvl="3" w:tplc="3B8AA65C">
      <w:numFmt w:val="decimal"/>
      <w:lvlText w:val=""/>
      <w:lvlJc w:val="left"/>
    </w:lvl>
    <w:lvl w:ilvl="4" w:tplc="A986E5B6">
      <w:numFmt w:val="decimal"/>
      <w:lvlText w:val=""/>
      <w:lvlJc w:val="left"/>
    </w:lvl>
    <w:lvl w:ilvl="5" w:tplc="1CBE2C52">
      <w:numFmt w:val="decimal"/>
      <w:lvlText w:val=""/>
      <w:lvlJc w:val="left"/>
    </w:lvl>
    <w:lvl w:ilvl="6" w:tplc="951CC4D0">
      <w:numFmt w:val="decimal"/>
      <w:lvlText w:val=""/>
      <w:lvlJc w:val="left"/>
    </w:lvl>
    <w:lvl w:ilvl="7" w:tplc="FFF4C2D8">
      <w:numFmt w:val="decimal"/>
      <w:lvlText w:val=""/>
      <w:lvlJc w:val="left"/>
    </w:lvl>
    <w:lvl w:ilvl="8" w:tplc="4D424ACC">
      <w:numFmt w:val="decimal"/>
      <w:lvlText w:val=""/>
      <w:lvlJc w:val="left"/>
    </w:lvl>
  </w:abstractNum>
  <w:abstractNum w:abstractNumId="13" w15:restartNumberingAfterBreak="0">
    <w:nsid w:val="333AB105"/>
    <w:multiLevelType w:val="hybridMultilevel"/>
    <w:tmpl w:val="3884ACF4"/>
    <w:lvl w:ilvl="0" w:tplc="9E8A9156">
      <w:start w:val="37"/>
      <w:numFmt w:val="decimal"/>
      <w:lvlText w:val="%1"/>
      <w:lvlJc w:val="left"/>
    </w:lvl>
    <w:lvl w:ilvl="1" w:tplc="2B7C8B14">
      <w:numFmt w:val="decimal"/>
      <w:lvlText w:val=""/>
      <w:lvlJc w:val="left"/>
    </w:lvl>
    <w:lvl w:ilvl="2" w:tplc="E534AA5A">
      <w:numFmt w:val="decimal"/>
      <w:lvlText w:val=""/>
      <w:lvlJc w:val="left"/>
    </w:lvl>
    <w:lvl w:ilvl="3" w:tplc="BE542AD4">
      <w:numFmt w:val="decimal"/>
      <w:lvlText w:val=""/>
      <w:lvlJc w:val="left"/>
    </w:lvl>
    <w:lvl w:ilvl="4" w:tplc="681ECE1C">
      <w:numFmt w:val="decimal"/>
      <w:lvlText w:val=""/>
      <w:lvlJc w:val="left"/>
    </w:lvl>
    <w:lvl w:ilvl="5" w:tplc="BD9ECCEC">
      <w:numFmt w:val="decimal"/>
      <w:lvlText w:val=""/>
      <w:lvlJc w:val="left"/>
    </w:lvl>
    <w:lvl w:ilvl="6" w:tplc="F7F05FD8">
      <w:numFmt w:val="decimal"/>
      <w:lvlText w:val=""/>
      <w:lvlJc w:val="left"/>
    </w:lvl>
    <w:lvl w:ilvl="7" w:tplc="616A9C36">
      <w:numFmt w:val="decimal"/>
      <w:lvlText w:val=""/>
      <w:lvlJc w:val="left"/>
    </w:lvl>
    <w:lvl w:ilvl="8" w:tplc="400ECF4E">
      <w:numFmt w:val="decimal"/>
      <w:lvlText w:val=""/>
      <w:lvlJc w:val="left"/>
    </w:lvl>
  </w:abstractNum>
  <w:abstractNum w:abstractNumId="14" w15:restartNumberingAfterBreak="0">
    <w:nsid w:val="3A95F874"/>
    <w:multiLevelType w:val="hybridMultilevel"/>
    <w:tmpl w:val="79203BC0"/>
    <w:lvl w:ilvl="0" w:tplc="8F08CF7C">
      <w:start w:val="58"/>
      <w:numFmt w:val="decimal"/>
      <w:lvlText w:val="%1"/>
      <w:lvlJc w:val="left"/>
    </w:lvl>
    <w:lvl w:ilvl="1" w:tplc="458EC3FA">
      <w:numFmt w:val="decimal"/>
      <w:lvlText w:val=""/>
      <w:lvlJc w:val="left"/>
    </w:lvl>
    <w:lvl w:ilvl="2" w:tplc="FC1EA26A">
      <w:numFmt w:val="decimal"/>
      <w:lvlText w:val=""/>
      <w:lvlJc w:val="left"/>
    </w:lvl>
    <w:lvl w:ilvl="3" w:tplc="646AA596">
      <w:numFmt w:val="decimal"/>
      <w:lvlText w:val=""/>
      <w:lvlJc w:val="left"/>
    </w:lvl>
    <w:lvl w:ilvl="4" w:tplc="DBB084B6">
      <w:numFmt w:val="decimal"/>
      <w:lvlText w:val=""/>
      <w:lvlJc w:val="left"/>
    </w:lvl>
    <w:lvl w:ilvl="5" w:tplc="A6A475A6">
      <w:numFmt w:val="decimal"/>
      <w:lvlText w:val=""/>
      <w:lvlJc w:val="left"/>
    </w:lvl>
    <w:lvl w:ilvl="6" w:tplc="CE4CCE2C">
      <w:numFmt w:val="decimal"/>
      <w:lvlText w:val=""/>
      <w:lvlJc w:val="left"/>
    </w:lvl>
    <w:lvl w:ilvl="7" w:tplc="E8BAA558">
      <w:numFmt w:val="decimal"/>
      <w:lvlText w:val=""/>
      <w:lvlJc w:val="left"/>
    </w:lvl>
    <w:lvl w:ilvl="8" w:tplc="C2E69D28">
      <w:numFmt w:val="decimal"/>
      <w:lvlText w:val=""/>
      <w:lvlJc w:val="left"/>
    </w:lvl>
  </w:abstractNum>
  <w:abstractNum w:abstractNumId="15" w15:restartNumberingAfterBreak="0">
    <w:nsid w:val="3BE918E2"/>
    <w:multiLevelType w:val="hybridMultilevel"/>
    <w:tmpl w:val="EE8062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F2DBA31"/>
    <w:multiLevelType w:val="hybridMultilevel"/>
    <w:tmpl w:val="13006B22"/>
    <w:lvl w:ilvl="0" w:tplc="6B367814">
      <w:start w:val="31"/>
      <w:numFmt w:val="decimal"/>
      <w:lvlText w:val="%1"/>
      <w:lvlJc w:val="left"/>
    </w:lvl>
    <w:lvl w:ilvl="1" w:tplc="F7867610">
      <w:numFmt w:val="decimal"/>
      <w:lvlText w:val=""/>
      <w:lvlJc w:val="left"/>
    </w:lvl>
    <w:lvl w:ilvl="2" w:tplc="C5F4C2FA">
      <w:numFmt w:val="decimal"/>
      <w:lvlText w:val=""/>
      <w:lvlJc w:val="left"/>
    </w:lvl>
    <w:lvl w:ilvl="3" w:tplc="7A64EBDE">
      <w:numFmt w:val="decimal"/>
      <w:lvlText w:val=""/>
      <w:lvlJc w:val="left"/>
    </w:lvl>
    <w:lvl w:ilvl="4" w:tplc="4CF859A0">
      <w:numFmt w:val="decimal"/>
      <w:lvlText w:val=""/>
      <w:lvlJc w:val="left"/>
    </w:lvl>
    <w:lvl w:ilvl="5" w:tplc="D46CE82A">
      <w:numFmt w:val="decimal"/>
      <w:lvlText w:val=""/>
      <w:lvlJc w:val="left"/>
    </w:lvl>
    <w:lvl w:ilvl="6" w:tplc="13CAA608">
      <w:numFmt w:val="decimal"/>
      <w:lvlText w:val=""/>
      <w:lvlJc w:val="left"/>
    </w:lvl>
    <w:lvl w:ilvl="7" w:tplc="FCE219D4">
      <w:numFmt w:val="decimal"/>
      <w:lvlText w:val=""/>
      <w:lvlJc w:val="left"/>
    </w:lvl>
    <w:lvl w:ilvl="8" w:tplc="45CCF4DC">
      <w:numFmt w:val="decimal"/>
      <w:lvlText w:val=""/>
      <w:lvlJc w:val="left"/>
    </w:lvl>
  </w:abstractNum>
  <w:abstractNum w:abstractNumId="17" w15:restartNumberingAfterBreak="0">
    <w:nsid w:val="431BD7B7"/>
    <w:multiLevelType w:val="hybridMultilevel"/>
    <w:tmpl w:val="00865B06"/>
    <w:lvl w:ilvl="0" w:tplc="51DE2CD6">
      <w:start w:val="30"/>
      <w:numFmt w:val="decimal"/>
      <w:lvlText w:val="%1"/>
      <w:lvlJc w:val="left"/>
    </w:lvl>
    <w:lvl w:ilvl="1" w:tplc="6DF6F47C">
      <w:numFmt w:val="decimal"/>
      <w:lvlText w:val=""/>
      <w:lvlJc w:val="left"/>
    </w:lvl>
    <w:lvl w:ilvl="2" w:tplc="BDEE0584">
      <w:numFmt w:val="decimal"/>
      <w:lvlText w:val=""/>
      <w:lvlJc w:val="left"/>
    </w:lvl>
    <w:lvl w:ilvl="3" w:tplc="F66C3CF8">
      <w:numFmt w:val="decimal"/>
      <w:lvlText w:val=""/>
      <w:lvlJc w:val="left"/>
    </w:lvl>
    <w:lvl w:ilvl="4" w:tplc="62C2189A">
      <w:numFmt w:val="decimal"/>
      <w:lvlText w:val=""/>
      <w:lvlJc w:val="left"/>
    </w:lvl>
    <w:lvl w:ilvl="5" w:tplc="2BF48EFA">
      <w:numFmt w:val="decimal"/>
      <w:lvlText w:val=""/>
      <w:lvlJc w:val="left"/>
    </w:lvl>
    <w:lvl w:ilvl="6" w:tplc="7858231C">
      <w:numFmt w:val="decimal"/>
      <w:lvlText w:val=""/>
      <w:lvlJc w:val="left"/>
    </w:lvl>
    <w:lvl w:ilvl="7" w:tplc="3FC6F036">
      <w:numFmt w:val="decimal"/>
      <w:lvlText w:val=""/>
      <w:lvlJc w:val="left"/>
    </w:lvl>
    <w:lvl w:ilvl="8" w:tplc="DDAEF26E">
      <w:numFmt w:val="decimal"/>
      <w:lvlText w:val=""/>
      <w:lvlJc w:val="left"/>
    </w:lvl>
  </w:abstractNum>
  <w:abstractNum w:abstractNumId="18" w15:restartNumberingAfterBreak="0">
    <w:nsid w:val="4353D0CD"/>
    <w:multiLevelType w:val="hybridMultilevel"/>
    <w:tmpl w:val="A5646DFA"/>
    <w:lvl w:ilvl="0" w:tplc="8A7A0030">
      <w:start w:val="50"/>
      <w:numFmt w:val="decimal"/>
      <w:lvlText w:val="%1"/>
      <w:lvlJc w:val="left"/>
    </w:lvl>
    <w:lvl w:ilvl="1" w:tplc="958A3B20">
      <w:numFmt w:val="decimal"/>
      <w:lvlText w:val=""/>
      <w:lvlJc w:val="left"/>
    </w:lvl>
    <w:lvl w:ilvl="2" w:tplc="8324A244">
      <w:numFmt w:val="decimal"/>
      <w:lvlText w:val=""/>
      <w:lvlJc w:val="left"/>
    </w:lvl>
    <w:lvl w:ilvl="3" w:tplc="ADC4DC26">
      <w:numFmt w:val="decimal"/>
      <w:lvlText w:val=""/>
      <w:lvlJc w:val="left"/>
    </w:lvl>
    <w:lvl w:ilvl="4" w:tplc="1BA6028C">
      <w:numFmt w:val="decimal"/>
      <w:lvlText w:val=""/>
      <w:lvlJc w:val="left"/>
    </w:lvl>
    <w:lvl w:ilvl="5" w:tplc="F5E4F404">
      <w:numFmt w:val="decimal"/>
      <w:lvlText w:val=""/>
      <w:lvlJc w:val="left"/>
    </w:lvl>
    <w:lvl w:ilvl="6" w:tplc="FC6A1350">
      <w:numFmt w:val="decimal"/>
      <w:lvlText w:val=""/>
      <w:lvlJc w:val="left"/>
    </w:lvl>
    <w:lvl w:ilvl="7" w:tplc="4B046796">
      <w:numFmt w:val="decimal"/>
      <w:lvlText w:val=""/>
      <w:lvlJc w:val="left"/>
    </w:lvl>
    <w:lvl w:ilvl="8" w:tplc="3EFCA5EE">
      <w:numFmt w:val="decimal"/>
      <w:lvlText w:val=""/>
      <w:lvlJc w:val="left"/>
    </w:lvl>
  </w:abstractNum>
  <w:abstractNum w:abstractNumId="19" w15:restartNumberingAfterBreak="0">
    <w:nsid w:val="436C6125"/>
    <w:multiLevelType w:val="hybridMultilevel"/>
    <w:tmpl w:val="A65A4BA6"/>
    <w:lvl w:ilvl="0" w:tplc="A20AD312">
      <w:start w:val="35"/>
      <w:numFmt w:val="decimal"/>
      <w:lvlText w:val="%1"/>
      <w:lvlJc w:val="left"/>
    </w:lvl>
    <w:lvl w:ilvl="1" w:tplc="EA8A69C0">
      <w:numFmt w:val="decimal"/>
      <w:lvlText w:val=""/>
      <w:lvlJc w:val="left"/>
    </w:lvl>
    <w:lvl w:ilvl="2" w:tplc="600C31F6">
      <w:numFmt w:val="decimal"/>
      <w:lvlText w:val=""/>
      <w:lvlJc w:val="left"/>
    </w:lvl>
    <w:lvl w:ilvl="3" w:tplc="2D0ED15A">
      <w:numFmt w:val="decimal"/>
      <w:lvlText w:val=""/>
      <w:lvlJc w:val="left"/>
    </w:lvl>
    <w:lvl w:ilvl="4" w:tplc="000E6670">
      <w:numFmt w:val="decimal"/>
      <w:lvlText w:val=""/>
      <w:lvlJc w:val="left"/>
    </w:lvl>
    <w:lvl w:ilvl="5" w:tplc="74788338">
      <w:numFmt w:val="decimal"/>
      <w:lvlText w:val=""/>
      <w:lvlJc w:val="left"/>
    </w:lvl>
    <w:lvl w:ilvl="6" w:tplc="7AF23BFE">
      <w:numFmt w:val="decimal"/>
      <w:lvlText w:val=""/>
      <w:lvlJc w:val="left"/>
    </w:lvl>
    <w:lvl w:ilvl="7" w:tplc="FCB45080">
      <w:numFmt w:val="decimal"/>
      <w:lvlText w:val=""/>
      <w:lvlJc w:val="left"/>
    </w:lvl>
    <w:lvl w:ilvl="8" w:tplc="A84601DC">
      <w:numFmt w:val="decimal"/>
      <w:lvlText w:val=""/>
      <w:lvlJc w:val="left"/>
    </w:lvl>
  </w:abstractNum>
  <w:abstractNum w:abstractNumId="20" w15:restartNumberingAfterBreak="0">
    <w:nsid w:val="45C01F8F"/>
    <w:multiLevelType w:val="hybridMultilevel"/>
    <w:tmpl w:val="89786BBA"/>
    <w:lvl w:ilvl="0" w:tplc="0809000F">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9B500D"/>
    <w:multiLevelType w:val="hybridMultilevel"/>
    <w:tmpl w:val="9CC4B154"/>
    <w:lvl w:ilvl="0" w:tplc="8294FA4A">
      <w:start w:val="29"/>
      <w:numFmt w:val="decimal"/>
      <w:lvlText w:val="%1"/>
      <w:lvlJc w:val="left"/>
    </w:lvl>
    <w:lvl w:ilvl="1" w:tplc="8B469E18">
      <w:numFmt w:val="decimal"/>
      <w:lvlText w:val=""/>
      <w:lvlJc w:val="left"/>
    </w:lvl>
    <w:lvl w:ilvl="2" w:tplc="AB80CBAC">
      <w:numFmt w:val="decimal"/>
      <w:lvlText w:val=""/>
      <w:lvlJc w:val="left"/>
    </w:lvl>
    <w:lvl w:ilvl="3" w:tplc="3052373C">
      <w:numFmt w:val="decimal"/>
      <w:lvlText w:val=""/>
      <w:lvlJc w:val="left"/>
    </w:lvl>
    <w:lvl w:ilvl="4" w:tplc="8048CC6C">
      <w:numFmt w:val="decimal"/>
      <w:lvlText w:val=""/>
      <w:lvlJc w:val="left"/>
    </w:lvl>
    <w:lvl w:ilvl="5" w:tplc="C11A949A">
      <w:numFmt w:val="decimal"/>
      <w:lvlText w:val=""/>
      <w:lvlJc w:val="left"/>
    </w:lvl>
    <w:lvl w:ilvl="6" w:tplc="75166DE2">
      <w:numFmt w:val="decimal"/>
      <w:lvlText w:val=""/>
      <w:lvlJc w:val="left"/>
    </w:lvl>
    <w:lvl w:ilvl="7" w:tplc="07FC9346">
      <w:numFmt w:val="decimal"/>
      <w:lvlText w:val=""/>
      <w:lvlJc w:val="left"/>
    </w:lvl>
    <w:lvl w:ilvl="8" w:tplc="6E66A802">
      <w:numFmt w:val="decimal"/>
      <w:lvlText w:val=""/>
      <w:lvlJc w:val="left"/>
    </w:lvl>
  </w:abstractNum>
  <w:abstractNum w:abstractNumId="22" w15:restartNumberingAfterBreak="0">
    <w:nsid w:val="54E49EB4"/>
    <w:multiLevelType w:val="hybridMultilevel"/>
    <w:tmpl w:val="D3C01F38"/>
    <w:lvl w:ilvl="0" w:tplc="085AB9BA">
      <w:start w:val="53"/>
      <w:numFmt w:val="decimal"/>
      <w:lvlText w:val="%1"/>
      <w:lvlJc w:val="left"/>
    </w:lvl>
    <w:lvl w:ilvl="1" w:tplc="8444928E">
      <w:numFmt w:val="decimal"/>
      <w:lvlText w:val=""/>
      <w:lvlJc w:val="left"/>
    </w:lvl>
    <w:lvl w:ilvl="2" w:tplc="D9DC713E">
      <w:numFmt w:val="decimal"/>
      <w:lvlText w:val=""/>
      <w:lvlJc w:val="left"/>
    </w:lvl>
    <w:lvl w:ilvl="3" w:tplc="BCC69482">
      <w:numFmt w:val="decimal"/>
      <w:lvlText w:val=""/>
      <w:lvlJc w:val="left"/>
    </w:lvl>
    <w:lvl w:ilvl="4" w:tplc="BC5A3910">
      <w:numFmt w:val="decimal"/>
      <w:lvlText w:val=""/>
      <w:lvlJc w:val="left"/>
    </w:lvl>
    <w:lvl w:ilvl="5" w:tplc="9FD4F6D8">
      <w:numFmt w:val="decimal"/>
      <w:lvlText w:val=""/>
      <w:lvlJc w:val="left"/>
    </w:lvl>
    <w:lvl w:ilvl="6" w:tplc="6A187EA0">
      <w:numFmt w:val="decimal"/>
      <w:lvlText w:val=""/>
      <w:lvlJc w:val="left"/>
    </w:lvl>
    <w:lvl w:ilvl="7" w:tplc="35EE41BA">
      <w:numFmt w:val="decimal"/>
      <w:lvlText w:val=""/>
      <w:lvlJc w:val="left"/>
    </w:lvl>
    <w:lvl w:ilvl="8" w:tplc="D8E8D868">
      <w:numFmt w:val="decimal"/>
      <w:lvlText w:val=""/>
      <w:lvlJc w:val="left"/>
    </w:lvl>
  </w:abstractNum>
  <w:abstractNum w:abstractNumId="23" w15:restartNumberingAfterBreak="0">
    <w:nsid w:val="628C895D"/>
    <w:multiLevelType w:val="hybridMultilevel"/>
    <w:tmpl w:val="C8388B6C"/>
    <w:lvl w:ilvl="0" w:tplc="57663A88">
      <w:start w:val="36"/>
      <w:numFmt w:val="decimal"/>
      <w:lvlText w:val="%1"/>
      <w:lvlJc w:val="left"/>
    </w:lvl>
    <w:lvl w:ilvl="1" w:tplc="C08EB61C">
      <w:numFmt w:val="decimal"/>
      <w:lvlText w:val=""/>
      <w:lvlJc w:val="left"/>
    </w:lvl>
    <w:lvl w:ilvl="2" w:tplc="C6EAA1CE">
      <w:numFmt w:val="decimal"/>
      <w:lvlText w:val=""/>
      <w:lvlJc w:val="left"/>
    </w:lvl>
    <w:lvl w:ilvl="3" w:tplc="C45EDCBA">
      <w:numFmt w:val="decimal"/>
      <w:lvlText w:val=""/>
      <w:lvlJc w:val="left"/>
    </w:lvl>
    <w:lvl w:ilvl="4" w:tplc="69D4662C">
      <w:numFmt w:val="decimal"/>
      <w:lvlText w:val=""/>
      <w:lvlJc w:val="left"/>
    </w:lvl>
    <w:lvl w:ilvl="5" w:tplc="2460F8A8">
      <w:numFmt w:val="decimal"/>
      <w:lvlText w:val=""/>
      <w:lvlJc w:val="left"/>
    </w:lvl>
    <w:lvl w:ilvl="6" w:tplc="0CF2F218">
      <w:numFmt w:val="decimal"/>
      <w:lvlText w:val=""/>
      <w:lvlJc w:val="left"/>
    </w:lvl>
    <w:lvl w:ilvl="7" w:tplc="22A8E3DA">
      <w:numFmt w:val="decimal"/>
      <w:lvlText w:val=""/>
      <w:lvlJc w:val="left"/>
    </w:lvl>
    <w:lvl w:ilvl="8" w:tplc="E30E3616">
      <w:numFmt w:val="decimal"/>
      <w:lvlText w:val=""/>
      <w:lvlJc w:val="left"/>
    </w:lvl>
  </w:abstractNum>
  <w:abstractNum w:abstractNumId="24" w15:restartNumberingAfterBreak="0">
    <w:nsid w:val="62BBD95A"/>
    <w:multiLevelType w:val="hybridMultilevel"/>
    <w:tmpl w:val="A508A05C"/>
    <w:lvl w:ilvl="0" w:tplc="734A7EAA">
      <w:start w:val="34"/>
      <w:numFmt w:val="decimal"/>
      <w:lvlText w:val="%1"/>
      <w:lvlJc w:val="left"/>
    </w:lvl>
    <w:lvl w:ilvl="1" w:tplc="BFFA816A">
      <w:numFmt w:val="decimal"/>
      <w:lvlText w:val=""/>
      <w:lvlJc w:val="left"/>
    </w:lvl>
    <w:lvl w:ilvl="2" w:tplc="4F26D966">
      <w:numFmt w:val="decimal"/>
      <w:lvlText w:val=""/>
      <w:lvlJc w:val="left"/>
    </w:lvl>
    <w:lvl w:ilvl="3" w:tplc="9D02EAC0">
      <w:numFmt w:val="decimal"/>
      <w:lvlText w:val=""/>
      <w:lvlJc w:val="left"/>
    </w:lvl>
    <w:lvl w:ilvl="4" w:tplc="8004901E">
      <w:numFmt w:val="decimal"/>
      <w:lvlText w:val=""/>
      <w:lvlJc w:val="left"/>
    </w:lvl>
    <w:lvl w:ilvl="5" w:tplc="5008B65A">
      <w:numFmt w:val="decimal"/>
      <w:lvlText w:val=""/>
      <w:lvlJc w:val="left"/>
    </w:lvl>
    <w:lvl w:ilvl="6" w:tplc="15C0D9F2">
      <w:numFmt w:val="decimal"/>
      <w:lvlText w:val=""/>
      <w:lvlJc w:val="left"/>
    </w:lvl>
    <w:lvl w:ilvl="7" w:tplc="C076E09A">
      <w:numFmt w:val="decimal"/>
      <w:lvlText w:val=""/>
      <w:lvlJc w:val="left"/>
    </w:lvl>
    <w:lvl w:ilvl="8" w:tplc="2DEACFFC">
      <w:numFmt w:val="decimal"/>
      <w:lvlText w:val=""/>
      <w:lvlJc w:val="left"/>
    </w:lvl>
  </w:abstractNum>
  <w:abstractNum w:abstractNumId="25" w15:restartNumberingAfterBreak="0">
    <w:nsid w:val="6763845E"/>
    <w:multiLevelType w:val="hybridMultilevel"/>
    <w:tmpl w:val="F4D8BF9C"/>
    <w:lvl w:ilvl="0" w:tplc="3E301D16">
      <w:start w:val="41"/>
      <w:numFmt w:val="decimal"/>
      <w:lvlText w:val="%1"/>
      <w:lvlJc w:val="left"/>
    </w:lvl>
    <w:lvl w:ilvl="1" w:tplc="31A020CA">
      <w:numFmt w:val="decimal"/>
      <w:lvlText w:val=""/>
      <w:lvlJc w:val="left"/>
    </w:lvl>
    <w:lvl w:ilvl="2" w:tplc="3E4EB724">
      <w:numFmt w:val="decimal"/>
      <w:lvlText w:val=""/>
      <w:lvlJc w:val="left"/>
    </w:lvl>
    <w:lvl w:ilvl="3" w:tplc="70062C24">
      <w:numFmt w:val="decimal"/>
      <w:lvlText w:val=""/>
      <w:lvlJc w:val="left"/>
    </w:lvl>
    <w:lvl w:ilvl="4" w:tplc="AB24331A">
      <w:numFmt w:val="decimal"/>
      <w:lvlText w:val=""/>
      <w:lvlJc w:val="left"/>
    </w:lvl>
    <w:lvl w:ilvl="5" w:tplc="C6F4FEA4">
      <w:numFmt w:val="decimal"/>
      <w:lvlText w:val=""/>
      <w:lvlJc w:val="left"/>
    </w:lvl>
    <w:lvl w:ilvl="6" w:tplc="612C2EC0">
      <w:numFmt w:val="decimal"/>
      <w:lvlText w:val=""/>
      <w:lvlJc w:val="left"/>
    </w:lvl>
    <w:lvl w:ilvl="7" w:tplc="FB021572">
      <w:numFmt w:val="decimal"/>
      <w:lvlText w:val=""/>
      <w:lvlJc w:val="left"/>
    </w:lvl>
    <w:lvl w:ilvl="8" w:tplc="01C069AA">
      <w:numFmt w:val="decimal"/>
      <w:lvlText w:val=""/>
      <w:lvlJc w:val="left"/>
    </w:lvl>
  </w:abstractNum>
  <w:abstractNum w:abstractNumId="26" w15:restartNumberingAfterBreak="0">
    <w:nsid w:val="6B68079A"/>
    <w:multiLevelType w:val="hybridMultilevel"/>
    <w:tmpl w:val="A8961AC6"/>
    <w:lvl w:ilvl="0" w:tplc="7C2E6A0E">
      <w:start w:val="1"/>
      <w:numFmt w:val="bullet"/>
      <w:lvlText w:val="*"/>
      <w:lvlJc w:val="left"/>
    </w:lvl>
    <w:lvl w:ilvl="1" w:tplc="FE14EB76">
      <w:numFmt w:val="decimal"/>
      <w:lvlText w:val=""/>
      <w:lvlJc w:val="left"/>
    </w:lvl>
    <w:lvl w:ilvl="2" w:tplc="C252685A">
      <w:numFmt w:val="decimal"/>
      <w:lvlText w:val=""/>
      <w:lvlJc w:val="left"/>
    </w:lvl>
    <w:lvl w:ilvl="3" w:tplc="E2D0FC2A">
      <w:numFmt w:val="decimal"/>
      <w:lvlText w:val=""/>
      <w:lvlJc w:val="left"/>
    </w:lvl>
    <w:lvl w:ilvl="4" w:tplc="8F6CCCA8">
      <w:numFmt w:val="decimal"/>
      <w:lvlText w:val=""/>
      <w:lvlJc w:val="left"/>
    </w:lvl>
    <w:lvl w:ilvl="5" w:tplc="D58AAADC">
      <w:numFmt w:val="decimal"/>
      <w:lvlText w:val=""/>
      <w:lvlJc w:val="left"/>
    </w:lvl>
    <w:lvl w:ilvl="6" w:tplc="5EC2C4E0">
      <w:numFmt w:val="decimal"/>
      <w:lvlText w:val=""/>
      <w:lvlJc w:val="left"/>
    </w:lvl>
    <w:lvl w:ilvl="7" w:tplc="7B1EC598">
      <w:numFmt w:val="decimal"/>
      <w:lvlText w:val=""/>
      <w:lvlJc w:val="left"/>
    </w:lvl>
    <w:lvl w:ilvl="8" w:tplc="E3280760">
      <w:numFmt w:val="decimal"/>
      <w:lvlText w:val=""/>
      <w:lvlJc w:val="left"/>
    </w:lvl>
  </w:abstractNum>
  <w:abstractNum w:abstractNumId="27" w15:restartNumberingAfterBreak="0">
    <w:nsid w:val="71F32454"/>
    <w:multiLevelType w:val="hybridMultilevel"/>
    <w:tmpl w:val="B0F09ADE"/>
    <w:lvl w:ilvl="0" w:tplc="D5D003EC">
      <w:start w:val="54"/>
      <w:numFmt w:val="decimal"/>
      <w:lvlText w:val="%1"/>
      <w:lvlJc w:val="left"/>
    </w:lvl>
    <w:lvl w:ilvl="1" w:tplc="EAE0111A">
      <w:numFmt w:val="decimal"/>
      <w:lvlText w:val=""/>
      <w:lvlJc w:val="left"/>
    </w:lvl>
    <w:lvl w:ilvl="2" w:tplc="7048FDAA">
      <w:numFmt w:val="decimal"/>
      <w:lvlText w:val=""/>
      <w:lvlJc w:val="left"/>
    </w:lvl>
    <w:lvl w:ilvl="3" w:tplc="F5A0B6A8">
      <w:numFmt w:val="decimal"/>
      <w:lvlText w:val=""/>
      <w:lvlJc w:val="left"/>
    </w:lvl>
    <w:lvl w:ilvl="4" w:tplc="FF2E312A">
      <w:numFmt w:val="decimal"/>
      <w:lvlText w:val=""/>
      <w:lvlJc w:val="left"/>
    </w:lvl>
    <w:lvl w:ilvl="5" w:tplc="661A6D52">
      <w:numFmt w:val="decimal"/>
      <w:lvlText w:val=""/>
      <w:lvlJc w:val="left"/>
    </w:lvl>
    <w:lvl w:ilvl="6" w:tplc="5560BC8C">
      <w:numFmt w:val="decimal"/>
      <w:lvlText w:val=""/>
      <w:lvlJc w:val="left"/>
    </w:lvl>
    <w:lvl w:ilvl="7" w:tplc="D9BE0620">
      <w:numFmt w:val="decimal"/>
      <w:lvlText w:val=""/>
      <w:lvlJc w:val="left"/>
    </w:lvl>
    <w:lvl w:ilvl="8" w:tplc="444A37BE">
      <w:numFmt w:val="decimal"/>
      <w:lvlText w:val=""/>
      <w:lvlJc w:val="left"/>
    </w:lvl>
  </w:abstractNum>
  <w:abstractNum w:abstractNumId="28" w15:restartNumberingAfterBreak="0">
    <w:nsid w:val="721DA317"/>
    <w:multiLevelType w:val="hybridMultilevel"/>
    <w:tmpl w:val="A258730C"/>
    <w:lvl w:ilvl="0" w:tplc="F9560498">
      <w:start w:val="38"/>
      <w:numFmt w:val="decimal"/>
      <w:lvlText w:val="%1"/>
      <w:lvlJc w:val="left"/>
    </w:lvl>
    <w:lvl w:ilvl="1" w:tplc="8898C8FA">
      <w:numFmt w:val="decimal"/>
      <w:lvlText w:val=""/>
      <w:lvlJc w:val="left"/>
    </w:lvl>
    <w:lvl w:ilvl="2" w:tplc="D20836BA">
      <w:numFmt w:val="decimal"/>
      <w:lvlText w:val=""/>
      <w:lvlJc w:val="left"/>
    </w:lvl>
    <w:lvl w:ilvl="3" w:tplc="FB74249C">
      <w:numFmt w:val="decimal"/>
      <w:lvlText w:val=""/>
      <w:lvlJc w:val="left"/>
    </w:lvl>
    <w:lvl w:ilvl="4" w:tplc="B98A724A">
      <w:numFmt w:val="decimal"/>
      <w:lvlText w:val=""/>
      <w:lvlJc w:val="left"/>
    </w:lvl>
    <w:lvl w:ilvl="5" w:tplc="15384E6C">
      <w:numFmt w:val="decimal"/>
      <w:lvlText w:val=""/>
      <w:lvlJc w:val="left"/>
    </w:lvl>
    <w:lvl w:ilvl="6" w:tplc="F35EE2A0">
      <w:numFmt w:val="decimal"/>
      <w:lvlText w:val=""/>
      <w:lvlJc w:val="left"/>
    </w:lvl>
    <w:lvl w:ilvl="7" w:tplc="A942DE04">
      <w:numFmt w:val="decimal"/>
      <w:lvlText w:val=""/>
      <w:lvlJc w:val="left"/>
    </w:lvl>
    <w:lvl w:ilvl="8" w:tplc="E65AA302">
      <w:numFmt w:val="decimal"/>
      <w:lvlText w:val=""/>
      <w:lvlJc w:val="left"/>
    </w:lvl>
  </w:abstractNum>
  <w:abstractNum w:abstractNumId="29" w15:restartNumberingAfterBreak="0">
    <w:nsid w:val="75A2A8D4"/>
    <w:multiLevelType w:val="hybridMultilevel"/>
    <w:tmpl w:val="0CD0DB5E"/>
    <w:lvl w:ilvl="0" w:tplc="2126F79A">
      <w:start w:val="43"/>
      <w:numFmt w:val="decimal"/>
      <w:lvlText w:val="%1"/>
      <w:lvlJc w:val="left"/>
    </w:lvl>
    <w:lvl w:ilvl="1" w:tplc="53B0E63A">
      <w:numFmt w:val="decimal"/>
      <w:lvlText w:val=""/>
      <w:lvlJc w:val="left"/>
    </w:lvl>
    <w:lvl w:ilvl="2" w:tplc="E3DE4BEA">
      <w:numFmt w:val="decimal"/>
      <w:lvlText w:val=""/>
      <w:lvlJc w:val="left"/>
    </w:lvl>
    <w:lvl w:ilvl="3" w:tplc="D9260C2A">
      <w:numFmt w:val="decimal"/>
      <w:lvlText w:val=""/>
      <w:lvlJc w:val="left"/>
    </w:lvl>
    <w:lvl w:ilvl="4" w:tplc="15081E3A">
      <w:numFmt w:val="decimal"/>
      <w:lvlText w:val=""/>
      <w:lvlJc w:val="left"/>
    </w:lvl>
    <w:lvl w:ilvl="5" w:tplc="040ECCF4">
      <w:numFmt w:val="decimal"/>
      <w:lvlText w:val=""/>
      <w:lvlJc w:val="left"/>
    </w:lvl>
    <w:lvl w:ilvl="6" w:tplc="31749CB4">
      <w:numFmt w:val="decimal"/>
      <w:lvlText w:val=""/>
      <w:lvlJc w:val="left"/>
    </w:lvl>
    <w:lvl w:ilvl="7" w:tplc="529221D6">
      <w:numFmt w:val="decimal"/>
      <w:lvlText w:val=""/>
      <w:lvlJc w:val="left"/>
    </w:lvl>
    <w:lvl w:ilvl="8" w:tplc="8ACC1618">
      <w:numFmt w:val="decimal"/>
      <w:lvlText w:val=""/>
      <w:lvlJc w:val="left"/>
    </w:lvl>
  </w:abstractNum>
  <w:abstractNum w:abstractNumId="30" w15:restartNumberingAfterBreak="0">
    <w:nsid w:val="79838CB2"/>
    <w:multiLevelType w:val="hybridMultilevel"/>
    <w:tmpl w:val="562EB85E"/>
    <w:lvl w:ilvl="0" w:tplc="A1FA644A">
      <w:start w:val="49"/>
      <w:numFmt w:val="decimal"/>
      <w:lvlText w:val="%1"/>
      <w:lvlJc w:val="left"/>
    </w:lvl>
    <w:lvl w:ilvl="1" w:tplc="CF904C5A">
      <w:numFmt w:val="decimal"/>
      <w:lvlText w:val=""/>
      <w:lvlJc w:val="left"/>
    </w:lvl>
    <w:lvl w:ilvl="2" w:tplc="97E80636">
      <w:numFmt w:val="decimal"/>
      <w:lvlText w:val=""/>
      <w:lvlJc w:val="left"/>
    </w:lvl>
    <w:lvl w:ilvl="3" w:tplc="C0C61250">
      <w:numFmt w:val="decimal"/>
      <w:lvlText w:val=""/>
      <w:lvlJc w:val="left"/>
    </w:lvl>
    <w:lvl w:ilvl="4" w:tplc="0AFCC78E">
      <w:numFmt w:val="decimal"/>
      <w:lvlText w:val=""/>
      <w:lvlJc w:val="left"/>
    </w:lvl>
    <w:lvl w:ilvl="5" w:tplc="311435D4">
      <w:numFmt w:val="decimal"/>
      <w:lvlText w:val=""/>
      <w:lvlJc w:val="left"/>
    </w:lvl>
    <w:lvl w:ilvl="6" w:tplc="7BD8A726">
      <w:numFmt w:val="decimal"/>
      <w:lvlText w:val=""/>
      <w:lvlJc w:val="left"/>
    </w:lvl>
    <w:lvl w:ilvl="7" w:tplc="F6EECAAC">
      <w:numFmt w:val="decimal"/>
      <w:lvlText w:val=""/>
      <w:lvlJc w:val="left"/>
    </w:lvl>
    <w:lvl w:ilvl="8" w:tplc="B82E5A32">
      <w:numFmt w:val="decimal"/>
      <w:lvlText w:val=""/>
      <w:lvlJc w:val="left"/>
    </w:lvl>
  </w:abstractNum>
  <w:abstractNum w:abstractNumId="31" w15:restartNumberingAfterBreak="0">
    <w:nsid w:val="7C83E458"/>
    <w:multiLevelType w:val="hybridMultilevel"/>
    <w:tmpl w:val="3F7E5910"/>
    <w:lvl w:ilvl="0" w:tplc="5852AC9A">
      <w:start w:val="32"/>
      <w:numFmt w:val="decimal"/>
      <w:lvlText w:val="%1"/>
      <w:lvlJc w:val="left"/>
    </w:lvl>
    <w:lvl w:ilvl="1" w:tplc="01BCF760">
      <w:numFmt w:val="decimal"/>
      <w:lvlText w:val=""/>
      <w:lvlJc w:val="left"/>
    </w:lvl>
    <w:lvl w:ilvl="2" w:tplc="AA3A15D0">
      <w:numFmt w:val="decimal"/>
      <w:lvlText w:val=""/>
      <w:lvlJc w:val="left"/>
    </w:lvl>
    <w:lvl w:ilvl="3" w:tplc="1D92B86E">
      <w:numFmt w:val="decimal"/>
      <w:lvlText w:val=""/>
      <w:lvlJc w:val="left"/>
    </w:lvl>
    <w:lvl w:ilvl="4" w:tplc="F2A8DE28">
      <w:numFmt w:val="decimal"/>
      <w:lvlText w:val=""/>
      <w:lvlJc w:val="left"/>
    </w:lvl>
    <w:lvl w:ilvl="5" w:tplc="2F08A73C">
      <w:numFmt w:val="decimal"/>
      <w:lvlText w:val=""/>
      <w:lvlJc w:val="left"/>
    </w:lvl>
    <w:lvl w:ilvl="6" w:tplc="159ECD5C">
      <w:numFmt w:val="decimal"/>
      <w:lvlText w:val=""/>
      <w:lvlJc w:val="left"/>
    </w:lvl>
    <w:lvl w:ilvl="7" w:tplc="D6B2F612">
      <w:numFmt w:val="decimal"/>
      <w:lvlText w:val=""/>
      <w:lvlJc w:val="left"/>
    </w:lvl>
    <w:lvl w:ilvl="8" w:tplc="B3AC51A6">
      <w:numFmt w:val="decimal"/>
      <w:lvlText w:val=""/>
      <w:lvlJc w:val="left"/>
    </w:lvl>
  </w:abstractNum>
  <w:num w:numId="1">
    <w:abstractNumId w:val="15"/>
  </w:num>
  <w:num w:numId="2">
    <w:abstractNumId w:val="10"/>
  </w:num>
  <w:num w:numId="3">
    <w:abstractNumId w:val="4"/>
  </w:num>
  <w:num w:numId="4">
    <w:abstractNumId w:val="9"/>
  </w:num>
  <w:num w:numId="5">
    <w:abstractNumId w:val="21"/>
  </w:num>
  <w:num w:numId="6">
    <w:abstractNumId w:val="17"/>
  </w:num>
  <w:num w:numId="7">
    <w:abstractNumId w:val="16"/>
  </w:num>
  <w:num w:numId="8">
    <w:abstractNumId w:val="31"/>
  </w:num>
  <w:num w:numId="9">
    <w:abstractNumId w:val="8"/>
  </w:num>
  <w:num w:numId="10">
    <w:abstractNumId w:val="24"/>
  </w:num>
  <w:num w:numId="11">
    <w:abstractNumId w:val="19"/>
  </w:num>
  <w:num w:numId="12">
    <w:abstractNumId w:val="23"/>
  </w:num>
  <w:num w:numId="13">
    <w:abstractNumId w:val="13"/>
  </w:num>
  <w:num w:numId="14">
    <w:abstractNumId w:val="28"/>
  </w:num>
  <w:num w:numId="15">
    <w:abstractNumId w:val="7"/>
  </w:num>
  <w:num w:numId="16">
    <w:abstractNumId w:val="12"/>
  </w:num>
  <w:num w:numId="17">
    <w:abstractNumId w:val="25"/>
  </w:num>
  <w:num w:numId="18">
    <w:abstractNumId w:val="29"/>
  </w:num>
  <w:num w:numId="19">
    <w:abstractNumId w:val="3"/>
  </w:num>
  <w:num w:numId="20">
    <w:abstractNumId w:val="30"/>
  </w:num>
  <w:num w:numId="21">
    <w:abstractNumId w:val="18"/>
  </w:num>
  <w:num w:numId="22">
    <w:abstractNumId w:val="5"/>
  </w:num>
  <w:num w:numId="23">
    <w:abstractNumId w:val="6"/>
  </w:num>
  <w:num w:numId="24">
    <w:abstractNumId w:val="22"/>
  </w:num>
  <w:num w:numId="25">
    <w:abstractNumId w:val="27"/>
  </w:num>
  <w:num w:numId="26">
    <w:abstractNumId w:val="11"/>
  </w:num>
  <w:num w:numId="27">
    <w:abstractNumId w:val="2"/>
  </w:num>
  <w:num w:numId="28">
    <w:abstractNumId w:val="0"/>
  </w:num>
  <w:num w:numId="29">
    <w:abstractNumId w:val="14"/>
  </w:num>
  <w:num w:numId="30">
    <w:abstractNumId w:val="1"/>
  </w:num>
  <w:num w:numId="31">
    <w:abstractNumId w:val="26"/>
  </w:num>
  <w:num w:numId="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A3D"/>
    <w:rsid w:val="00020B16"/>
    <w:rsid w:val="000577DA"/>
    <w:rsid w:val="000818F1"/>
    <w:rsid w:val="00082D5F"/>
    <w:rsid w:val="000A02B1"/>
    <w:rsid w:val="000A346D"/>
    <w:rsid w:val="000B0155"/>
    <w:rsid w:val="000F633D"/>
    <w:rsid w:val="0011225F"/>
    <w:rsid w:val="00127740"/>
    <w:rsid w:val="00181CA9"/>
    <w:rsid w:val="0019768D"/>
    <w:rsid w:val="001A2FCF"/>
    <w:rsid w:val="001F0916"/>
    <w:rsid w:val="00224859"/>
    <w:rsid w:val="00252D40"/>
    <w:rsid w:val="00262CC3"/>
    <w:rsid w:val="00282283"/>
    <w:rsid w:val="002E02AA"/>
    <w:rsid w:val="002E5404"/>
    <w:rsid w:val="002F5069"/>
    <w:rsid w:val="00321138"/>
    <w:rsid w:val="003268A1"/>
    <w:rsid w:val="00333ED9"/>
    <w:rsid w:val="00370B2A"/>
    <w:rsid w:val="00386750"/>
    <w:rsid w:val="003B25FA"/>
    <w:rsid w:val="003F15C5"/>
    <w:rsid w:val="00455302"/>
    <w:rsid w:val="0049062F"/>
    <w:rsid w:val="00493E79"/>
    <w:rsid w:val="004B07FE"/>
    <w:rsid w:val="004B356D"/>
    <w:rsid w:val="005072AA"/>
    <w:rsid w:val="00513D03"/>
    <w:rsid w:val="00550A44"/>
    <w:rsid w:val="00595CC6"/>
    <w:rsid w:val="005B3ED4"/>
    <w:rsid w:val="00605940"/>
    <w:rsid w:val="006240EF"/>
    <w:rsid w:val="006A5692"/>
    <w:rsid w:val="006A65E9"/>
    <w:rsid w:val="006B09E2"/>
    <w:rsid w:val="006E4D24"/>
    <w:rsid w:val="006F1E09"/>
    <w:rsid w:val="006F4C9F"/>
    <w:rsid w:val="006F6EA6"/>
    <w:rsid w:val="00720AC6"/>
    <w:rsid w:val="0075293A"/>
    <w:rsid w:val="00790E6F"/>
    <w:rsid w:val="00792D1D"/>
    <w:rsid w:val="007D1A3D"/>
    <w:rsid w:val="007E233D"/>
    <w:rsid w:val="00883239"/>
    <w:rsid w:val="008A2280"/>
    <w:rsid w:val="008E49DD"/>
    <w:rsid w:val="00901E3A"/>
    <w:rsid w:val="00927A3B"/>
    <w:rsid w:val="0093694D"/>
    <w:rsid w:val="00937182"/>
    <w:rsid w:val="00940212"/>
    <w:rsid w:val="00952758"/>
    <w:rsid w:val="00954F45"/>
    <w:rsid w:val="0097213F"/>
    <w:rsid w:val="009A6AA9"/>
    <w:rsid w:val="009D3161"/>
    <w:rsid w:val="00A17C23"/>
    <w:rsid w:val="00A3280B"/>
    <w:rsid w:val="00A37DBD"/>
    <w:rsid w:val="00AA3EF2"/>
    <w:rsid w:val="00B013D8"/>
    <w:rsid w:val="00B04201"/>
    <w:rsid w:val="00B056D6"/>
    <w:rsid w:val="00B20338"/>
    <w:rsid w:val="00B67CC1"/>
    <w:rsid w:val="00BE01AB"/>
    <w:rsid w:val="00C07574"/>
    <w:rsid w:val="00C10C36"/>
    <w:rsid w:val="00C85FA3"/>
    <w:rsid w:val="00CB191F"/>
    <w:rsid w:val="00CE4572"/>
    <w:rsid w:val="00CF6BBA"/>
    <w:rsid w:val="00D266DB"/>
    <w:rsid w:val="00D308AE"/>
    <w:rsid w:val="00D83D18"/>
    <w:rsid w:val="00D95FA5"/>
    <w:rsid w:val="00DB6B5A"/>
    <w:rsid w:val="00DC7D25"/>
    <w:rsid w:val="00DE20C9"/>
    <w:rsid w:val="00DF69AF"/>
    <w:rsid w:val="00E163D1"/>
    <w:rsid w:val="00F11B1A"/>
    <w:rsid w:val="00F55D1A"/>
    <w:rsid w:val="00F63C52"/>
    <w:rsid w:val="00F8115F"/>
    <w:rsid w:val="00F9018A"/>
    <w:rsid w:val="00FA3D0C"/>
    <w:rsid w:val="00FB5194"/>
    <w:rsid w:val="00FC1571"/>
    <w:rsid w:val="00FC7F87"/>
    <w:rsid w:val="00FD1457"/>
    <w:rsid w:val="00FD3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7CAB6"/>
  <w15:chartTrackingRefBased/>
  <w15:docId w15:val="{CA76791C-0113-4DC0-9342-35D566C5D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A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1A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85FA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A3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1A3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85FA3"/>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95FA5"/>
    <w:pPr>
      <w:spacing w:line="256" w:lineRule="auto"/>
      <w:ind w:left="720"/>
      <w:contextualSpacing/>
    </w:pPr>
  </w:style>
  <w:style w:type="paragraph" w:styleId="NoSpacing">
    <w:name w:val="No Spacing"/>
    <w:uiPriority w:val="1"/>
    <w:qFormat/>
    <w:rsid w:val="00D95FA5"/>
    <w:pPr>
      <w:spacing w:after="0" w:line="240" w:lineRule="auto"/>
    </w:pPr>
  </w:style>
  <w:style w:type="table" w:styleId="TableGrid">
    <w:name w:val="Table Grid"/>
    <w:basedOn w:val="TableNormal"/>
    <w:uiPriority w:val="39"/>
    <w:rsid w:val="00790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90E6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5072A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5072AA"/>
    <w:rPr>
      <w:color w:val="0563C1" w:themeColor="hyperlink"/>
      <w:u w:val="single"/>
    </w:rPr>
  </w:style>
  <w:style w:type="paragraph" w:styleId="Header">
    <w:name w:val="header"/>
    <w:basedOn w:val="Normal"/>
    <w:link w:val="HeaderChar"/>
    <w:uiPriority w:val="99"/>
    <w:unhideWhenUsed/>
    <w:rsid w:val="00FB5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194"/>
  </w:style>
  <w:style w:type="paragraph" w:styleId="Footer">
    <w:name w:val="footer"/>
    <w:basedOn w:val="Normal"/>
    <w:link w:val="FooterChar"/>
    <w:uiPriority w:val="99"/>
    <w:unhideWhenUsed/>
    <w:rsid w:val="00FB5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1502343@student.uwtsd.ac.uk"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doi.org/10.4306/pi.2012.9.1.54"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3.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1CDF5-F6B3-498A-9DB9-8C5180BF3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90</Pages>
  <Words>16767</Words>
  <Characters>95573</Characters>
  <Application>Microsoft Office Word</Application>
  <DocSecurity>0</DocSecurity>
  <Lines>796</Lines>
  <Paragraphs>224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Taylor Margetson (1502343)</cp:lastModifiedBy>
  <cp:revision>4</cp:revision>
  <dcterms:created xsi:type="dcterms:W3CDTF">2018-03-27T16:11:00Z</dcterms:created>
  <dcterms:modified xsi:type="dcterms:W3CDTF">2018-03-27T16:14:00Z</dcterms:modified>
</cp:coreProperties>
</file>