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after="0"/>
        <w:jc w:val="center"/>
      </w:pPr>
      <w:r>
        <w:rPr>
          <w:rFonts w:ascii="Aptos Display" w:hAnsi="Aptos Display"/>
          <w:b/>
          <w:color w:val="0B5661"/>
          <w:sz w:val="40"/>
        </w:rPr>
        <w:t>2024 Competitor Benchmark Comparison</w:t>
      </w:r>
    </w:p>
    <w:p>
      <w:pPr>
        <w:spacing w:after="20"/>
        <w:jc w:val="center"/>
      </w:pPr>
      <w:r>
        <w:rPr>
          <w:b/>
          <w:color w:val="F05A00"/>
          <w:sz w:val="21"/>
        </w:rPr>
        <w:t>InterContinental Hotels Group PLC (IHG) vs Marriott International and Hilton Worldwide</w:t>
      </w:r>
    </w:p>
    <w:p>
      <w:pPr>
        <w:spacing w:before="0" w:after="60"/>
      </w:pPr>
      <w:r>
        <w:rPr>
          <w:color w:val="F05A00"/>
          <w:sz w:val="14"/>
        </w:rPr>
        <w:t>━━━━━━━━━━━━━━━━━━━━━━━━━━━━━━━━━━━━━━━━━━━━━━━━━━━━━━━━━━━━━━</w:t>
      </w:r>
    </w:p>
    <w:p>
      <w:pPr>
        <w:spacing w:after="80"/>
      </w:pPr>
      <w:r>
        <w:t>Marriott International and Hilton Worldwide were selected because they are major global hotel companies with business models that, like IHG, rely heavily on hotel management and franchising. The comparison uses 2024 annual-report figures and applies the same formulas to each company.</w:t>
      </w:r>
    </w:p>
    <w:tbl>
      <w:tblPr>
        <w:tblW w:type="auto" w:w="0"/>
        <w:jc w:val="center"/>
        <w:tblLayout w:type="fixed"/>
        <w:tblLook w:firstColumn="1" w:firstRow="1" w:lastColumn="0" w:lastRow="0" w:noHBand="0" w:noVBand="1" w:val="04A0"/>
      </w:tblPr>
      <w:tblGrid>
        <w:gridCol w:w="2131"/>
        <w:gridCol w:w="1094"/>
        <w:gridCol w:w="1267"/>
        <w:gridCol w:w="1123"/>
        <w:gridCol w:w="4579"/>
      </w:tblGrid>
      <w:tr>
        <w:tc>
          <w:tcPr>
            <w:tcW w:type="dxa" w:w="2007"/>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Ratio</w:t>
            </w:r>
          </w:p>
        </w:tc>
        <w:tc>
          <w:tcPr>
            <w:tcW w:type="dxa" w:w="2007"/>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IHG</w:t>
            </w:r>
          </w:p>
        </w:tc>
        <w:tc>
          <w:tcPr>
            <w:tcW w:type="dxa" w:w="2007"/>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Marriott</w:t>
            </w:r>
          </w:p>
        </w:tc>
        <w:tc>
          <w:tcPr>
            <w:tcW w:type="dxa" w:w="2007"/>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Hilton</w:t>
            </w:r>
          </w:p>
        </w:tc>
        <w:tc>
          <w:tcPr>
            <w:tcW w:type="dxa" w:w="2007"/>
            <w:vAlign w:val="center"/>
            <w:shd w:fill="F05A00"/>
            <w:tcBorders>
              <w:top w:val="single" w:sz="4" w:color="D9E1E5"/>
              <w:left w:val="single" w:sz="4" w:color="D9E1E5"/>
              <w:bottom w:val="single" w:sz="4" w:color="D9E1E5"/>
              <w:right w:val="single" w:sz="4" w:color="D9E1E5"/>
            </w:tcBorders>
          </w:tcPr>
          <w:p>
            <w:pPr>
              <w:spacing w:after="0"/>
              <w:jc w:val="center"/>
            </w:pPr>
            <w:r>
              <w:rPr>
                <w:b/>
                <w:color w:val="FFFFFF"/>
                <w:sz w:val="17"/>
              </w:rPr>
              <w:t>Comparison</w:t>
            </w:r>
          </w:p>
        </w:tc>
      </w:tr>
      <w:tr>
        <w:tc>
          <w:tcPr>
            <w:tcW w:type="dxa" w:w="2131"/>
            <w:vAlign w:val="center"/>
            <w:tcBorders>
              <w:top w:val="single" w:sz="3" w:color="D9E1E5"/>
              <w:left w:val="single" w:sz="3" w:color="D9E1E5"/>
              <w:bottom w:val="single" w:sz="3" w:color="D9E1E5"/>
              <w:right w:val="single" w:sz="3" w:color="D9E1E5"/>
            </w:tcBorders>
          </w:tcPr>
          <w:p>
            <w:pPr>
              <w:spacing w:after="0"/>
            </w:pPr>
            <w:r>
              <w:rPr>
                <w:b/>
                <w:color w:val="0B5661"/>
                <w:sz w:val="16"/>
              </w:rPr>
              <w:t>Return on equity (ROE)</w:t>
            </w:r>
          </w:p>
        </w:tc>
        <w:tc>
          <w:tcPr>
            <w:tcW w:type="dxa" w:w="1094"/>
            <w:vAlign w:val="center"/>
            <w:tcBorders>
              <w:top w:val="single" w:sz="3" w:color="D9E1E5"/>
              <w:left w:val="single" w:sz="3" w:color="D9E1E5"/>
              <w:bottom w:val="single" w:sz="3" w:color="D9E1E5"/>
              <w:right w:val="single" w:sz="3" w:color="D9E1E5"/>
            </w:tcBorders>
          </w:tcPr>
          <w:p>
            <w:pPr>
              <w:spacing w:after="0"/>
              <w:jc w:val="center"/>
            </w:pPr>
            <w:r>
              <w:rPr>
                <w:color w:val="C00000"/>
                <w:sz w:val="16"/>
              </w:rPr>
              <w:t>(29.5%)</w:t>
            </w:r>
          </w:p>
        </w:tc>
        <w:tc>
          <w:tcPr>
            <w:tcW w:type="dxa" w:w="1267"/>
            <w:vAlign w:val="center"/>
            <w:tcBorders>
              <w:top w:val="single" w:sz="3" w:color="D9E1E5"/>
              <w:left w:val="single" w:sz="3" w:color="D9E1E5"/>
              <w:bottom w:val="single" w:sz="3" w:color="D9E1E5"/>
              <w:right w:val="single" w:sz="3" w:color="D9E1E5"/>
            </w:tcBorders>
          </w:tcPr>
          <w:p>
            <w:pPr>
              <w:spacing w:after="0"/>
              <w:jc w:val="center"/>
            </w:pPr>
            <w:r>
              <w:rPr>
                <w:color w:val="C00000"/>
                <w:sz w:val="16"/>
              </w:rPr>
              <w:t>(129.3%)</w:t>
            </w:r>
          </w:p>
        </w:tc>
        <w:tc>
          <w:tcPr>
            <w:tcW w:type="dxa" w:w="1123"/>
            <w:vAlign w:val="center"/>
            <w:tcBorders>
              <w:top w:val="single" w:sz="3" w:color="D9E1E5"/>
              <w:left w:val="single" w:sz="3" w:color="D9E1E5"/>
              <w:bottom w:val="single" w:sz="3" w:color="D9E1E5"/>
              <w:right w:val="single" w:sz="3" w:color="D9E1E5"/>
            </w:tcBorders>
          </w:tcPr>
          <w:p>
            <w:pPr>
              <w:spacing w:after="0"/>
              <w:jc w:val="center"/>
            </w:pPr>
            <w:r>
              <w:rPr>
                <w:color w:val="C00000"/>
                <w:sz w:val="16"/>
              </w:rPr>
              <w:t>(50.4%)</w:t>
            </w:r>
          </w:p>
        </w:tc>
        <w:tc>
          <w:tcPr>
            <w:tcW w:type="dxa" w:w="4579"/>
            <w:vAlign w:val="center"/>
            <w:tcBorders>
              <w:top w:val="single" w:sz="3" w:color="D9E1E5"/>
              <w:left w:val="single" w:sz="3" w:color="D9E1E5"/>
              <w:bottom w:val="single" w:sz="3" w:color="D9E1E5"/>
              <w:right w:val="single" w:sz="3" w:color="D9E1E5"/>
            </w:tcBorders>
          </w:tcPr>
          <w:p>
            <w:pPr>
              <w:spacing w:after="0"/>
            </w:pPr>
            <w:r>
              <w:rPr>
                <w:sz w:val="16"/>
              </w:rPr>
              <w:t>Not directly meaningful because all three companies had negative average shareholders' equity.</w:t>
            </w:r>
          </w:p>
        </w:tc>
      </w:tr>
      <w:tr>
        <w:tc>
          <w:tcPr>
            <w:tcW w:type="dxa" w:w="2131"/>
            <w:vAlign w:val="center"/>
            <w:shd w:fill="EEF4F5"/>
            <w:tcBorders>
              <w:top w:val="single" w:sz="3" w:color="D9E1E5"/>
              <w:left w:val="single" w:sz="3" w:color="D9E1E5"/>
              <w:bottom w:val="single" w:sz="3" w:color="D9E1E5"/>
              <w:right w:val="single" w:sz="3" w:color="D9E1E5"/>
            </w:tcBorders>
          </w:tcPr>
          <w:p>
            <w:pPr>
              <w:spacing w:after="0"/>
            </w:pPr>
            <w:r>
              <w:rPr>
                <w:b/>
                <w:color w:val="0B5661"/>
                <w:sz w:val="16"/>
              </w:rPr>
              <w:t>Return on assets (ROA)</w:t>
            </w:r>
          </w:p>
        </w:tc>
        <w:tc>
          <w:tcPr>
            <w:tcW w:type="dxa" w:w="1094"/>
            <w:vAlign w:val="center"/>
            <w:shd w:fill="EEF4F5"/>
            <w:tcBorders>
              <w:top w:val="single" w:sz="3" w:color="D9E1E5"/>
              <w:left w:val="single" w:sz="3" w:color="D9E1E5"/>
              <w:bottom w:val="single" w:sz="3" w:color="D9E1E5"/>
              <w:right w:val="single" w:sz="3" w:color="D9E1E5"/>
            </w:tcBorders>
          </w:tcPr>
          <w:p>
            <w:pPr>
              <w:spacing w:after="0"/>
              <w:jc w:val="center"/>
            </w:pPr>
            <w:r>
              <w:rPr>
                <w:sz w:val="16"/>
              </w:rPr>
              <w:t>13.1%</w:t>
            </w:r>
          </w:p>
        </w:tc>
        <w:tc>
          <w:tcPr>
            <w:tcW w:type="dxa" w:w="1267"/>
            <w:vAlign w:val="center"/>
            <w:shd w:fill="EEF4F5"/>
            <w:tcBorders>
              <w:top w:val="single" w:sz="3" w:color="D9E1E5"/>
              <w:left w:val="single" w:sz="3" w:color="D9E1E5"/>
              <w:bottom w:val="single" w:sz="3" w:color="D9E1E5"/>
              <w:right w:val="single" w:sz="3" w:color="D9E1E5"/>
            </w:tcBorders>
          </w:tcPr>
          <w:p>
            <w:pPr>
              <w:spacing w:after="0"/>
              <w:jc w:val="center"/>
            </w:pPr>
            <w:r>
              <w:rPr>
                <w:sz w:val="16"/>
              </w:rPr>
              <w:t>9.2%</w:t>
            </w:r>
          </w:p>
        </w:tc>
        <w:tc>
          <w:tcPr>
            <w:tcW w:type="dxa" w:w="1123"/>
            <w:vAlign w:val="center"/>
            <w:shd w:fill="EEF4F5"/>
            <w:tcBorders>
              <w:top w:val="single" w:sz="3" w:color="D9E1E5"/>
              <w:left w:val="single" w:sz="3" w:color="D9E1E5"/>
              <w:bottom w:val="single" w:sz="3" w:color="D9E1E5"/>
              <w:right w:val="single" w:sz="3" w:color="D9E1E5"/>
            </w:tcBorders>
          </w:tcPr>
          <w:p>
            <w:pPr>
              <w:spacing w:after="0"/>
              <w:jc w:val="center"/>
            </w:pPr>
            <w:r>
              <w:rPr>
                <w:sz w:val="16"/>
              </w:rPr>
              <w:t>9.6%</w:t>
            </w:r>
          </w:p>
        </w:tc>
        <w:tc>
          <w:tcPr>
            <w:tcW w:type="dxa" w:w="4579"/>
            <w:vAlign w:val="center"/>
            <w:shd w:fill="EEF4F5"/>
            <w:tcBorders>
              <w:top w:val="single" w:sz="3" w:color="D9E1E5"/>
              <w:left w:val="single" w:sz="3" w:color="D9E1E5"/>
              <w:bottom w:val="single" w:sz="3" w:color="D9E1E5"/>
              <w:right w:val="single" w:sz="3" w:color="D9E1E5"/>
            </w:tcBorders>
          </w:tcPr>
          <w:p>
            <w:pPr>
              <w:spacing w:after="0"/>
            </w:pPr>
            <w:r>
              <w:rPr>
                <w:sz w:val="16"/>
              </w:rPr>
              <w:t>IHG is strongest and generated more profit from its average asset base.</w:t>
            </w:r>
          </w:p>
        </w:tc>
      </w:tr>
      <w:tr>
        <w:tc>
          <w:tcPr>
            <w:tcW w:type="dxa" w:w="2131"/>
            <w:vAlign w:val="center"/>
            <w:tcBorders>
              <w:top w:val="single" w:sz="3" w:color="D9E1E5"/>
              <w:left w:val="single" w:sz="3" w:color="D9E1E5"/>
              <w:bottom w:val="single" w:sz="3" w:color="D9E1E5"/>
              <w:right w:val="single" w:sz="3" w:color="D9E1E5"/>
            </w:tcBorders>
          </w:tcPr>
          <w:p>
            <w:pPr>
              <w:spacing w:after="0"/>
            </w:pPr>
            <w:r>
              <w:rPr>
                <w:b/>
                <w:color w:val="0B5661"/>
                <w:sz w:val="16"/>
              </w:rPr>
              <w:t>Price/earnings ratio (P/E)</w:t>
            </w:r>
          </w:p>
        </w:tc>
        <w:tc>
          <w:tcPr>
            <w:tcW w:type="dxa" w:w="1094"/>
            <w:vAlign w:val="center"/>
            <w:tcBorders>
              <w:top w:val="single" w:sz="3" w:color="D9E1E5"/>
              <w:left w:val="single" w:sz="3" w:color="D9E1E5"/>
              <w:bottom w:val="single" w:sz="3" w:color="D9E1E5"/>
              <w:right w:val="single" w:sz="3" w:color="D9E1E5"/>
            </w:tcBorders>
          </w:tcPr>
          <w:p>
            <w:pPr>
              <w:spacing w:after="0"/>
              <w:jc w:val="center"/>
            </w:pPr>
            <w:r>
              <w:rPr>
                <w:sz w:val="16"/>
              </w:rPr>
              <w:t>32.4x</w:t>
            </w:r>
          </w:p>
        </w:tc>
        <w:tc>
          <w:tcPr>
            <w:tcW w:type="dxa" w:w="1267"/>
            <w:vAlign w:val="center"/>
            <w:tcBorders>
              <w:top w:val="single" w:sz="3" w:color="D9E1E5"/>
              <w:left w:val="single" w:sz="3" w:color="D9E1E5"/>
              <w:bottom w:val="single" w:sz="3" w:color="D9E1E5"/>
              <w:right w:val="single" w:sz="3" w:color="D9E1E5"/>
            </w:tcBorders>
          </w:tcPr>
          <w:p>
            <w:pPr>
              <w:spacing w:after="0"/>
              <w:jc w:val="center"/>
            </w:pPr>
            <w:r>
              <w:rPr>
                <w:sz w:val="16"/>
              </w:rPr>
              <w:t>33.5x</w:t>
            </w:r>
          </w:p>
        </w:tc>
        <w:tc>
          <w:tcPr>
            <w:tcW w:type="dxa" w:w="1123"/>
            <w:vAlign w:val="center"/>
            <w:tcBorders>
              <w:top w:val="single" w:sz="3" w:color="D9E1E5"/>
              <w:left w:val="single" w:sz="3" w:color="D9E1E5"/>
              <w:bottom w:val="single" w:sz="3" w:color="D9E1E5"/>
              <w:right w:val="single" w:sz="3" w:color="D9E1E5"/>
            </w:tcBorders>
          </w:tcPr>
          <w:p>
            <w:pPr>
              <w:spacing w:after="0"/>
              <w:jc w:val="center"/>
            </w:pPr>
            <w:r>
              <w:rPr>
                <w:sz w:val="16"/>
              </w:rPr>
              <w:t>40.3x</w:t>
            </w:r>
          </w:p>
        </w:tc>
        <w:tc>
          <w:tcPr>
            <w:tcW w:type="dxa" w:w="4579"/>
            <w:vAlign w:val="center"/>
            <w:tcBorders>
              <w:top w:val="single" w:sz="3" w:color="D9E1E5"/>
              <w:left w:val="single" w:sz="3" w:color="D9E1E5"/>
              <w:bottom w:val="single" w:sz="3" w:color="D9E1E5"/>
              <w:right w:val="single" w:sz="3" w:color="D9E1E5"/>
            </w:tcBorders>
          </w:tcPr>
          <w:p>
            <w:pPr>
              <w:spacing w:after="0"/>
            </w:pPr>
            <w:r>
              <w:rPr>
                <w:sz w:val="16"/>
              </w:rPr>
              <w:t>IHG had the lowest valuation multiple. This may suggest better relative value, but it can also reflect lower growth expectations.</w:t>
            </w:r>
          </w:p>
        </w:tc>
      </w:tr>
      <w:tr>
        <w:tc>
          <w:tcPr>
            <w:tcW w:type="dxa" w:w="2131"/>
            <w:vAlign w:val="center"/>
            <w:shd w:fill="EEF4F5"/>
            <w:tcBorders>
              <w:top w:val="single" w:sz="3" w:color="D9E1E5"/>
              <w:left w:val="single" w:sz="3" w:color="D9E1E5"/>
              <w:bottom w:val="single" w:sz="3" w:color="D9E1E5"/>
              <w:right w:val="single" w:sz="3" w:color="D9E1E5"/>
            </w:tcBorders>
          </w:tcPr>
          <w:p>
            <w:pPr>
              <w:spacing w:after="0"/>
            </w:pPr>
            <w:r>
              <w:rPr>
                <w:b/>
                <w:color w:val="0B5661"/>
                <w:sz w:val="16"/>
              </w:rPr>
              <w:t>Operating cash flow ratio</w:t>
            </w:r>
          </w:p>
        </w:tc>
        <w:tc>
          <w:tcPr>
            <w:tcW w:type="dxa" w:w="1094"/>
            <w:vAlign w:val="center"/>
            <w:shd w:fill="EEF4F5"/>
            <w:tcBorders>
              <w:top w:val="single" w:sz="3" w:color="D9E1E5"/>
              <w:left w:val="single" w:sz="3" w:color="D9E1E5"/>
              <w:bottom w:val="single" w:sz="3" w:color="D9E1E5"/>
              <w:right w:val="single" w:sz="3" w:color="D9E1E5"/>
            </w:tcBorders>
          </w:tcPr>
          <w:p>
            <w:pPr>
              <w:spacing w:after="0"/>
              <w:jc w:val="center"/>
            </w:pPr>
            <w:r>
              <w:rPr>
                <w:sz w:val="16"/>
              </w:rPr>
              <w:t>0.38x</w:t>
            </w:r>
          </w:p>
        </w:tc>
        <w:tc>
          <w:tcPr>
            <w:tcW w:type="dxa" w:w="1267"/>
            <w:vAlign w:val="center"/>
            <w:shd w:fill="EEF4F5"/>
            <w:tcBorders>
              <w:top w:val="single" w:sz="3" w:color="D9E1E5"/>
              <w:left w:val="single" w:sz="3" w:color="D9E1E5"/>
              <w:bottom w:val="single" w:sz="3" w:color="D9E1E5"/>
              <w:right w:val="single" w:sz="3" w:color="D9E1E5"/>
            </w:tcBorders>
          </w:tcPr>
          <w:p>
            <w:pPr>
              <w:spacing w:after="0"/>
              <w:jc w:val="center"/>
            </w:pPr>
            <w:r>
              <w:rPr>
                <w:sz w:val="16"/>
              </w:rPr>
              <w:t>0.32x</w:t>
            </w:r>
          </w:p>
        </w:tc>
        <w:tc>
          <w:tcPr>
            <w:tcW w:type="dxa" w:w="1123"/>
            <w:vAlign w:val="center"/>
            <w:shd w:fill="EEF4F5"/>
            <w:tcBorders>
              <w:top w:val="single" w:sz="3" w:color="D9E1E5"/>
              <w:left w:val="single" w:sz="3" w:color="D9E1E5"/>
              <w:bottom w:val="single" w:sz="3" w:color="D9E1E5"/>
              <w:right w:val="single" w:sz="3" w:color="D9E1E5"/>
            </w:tcBorders>
          </w:tcPr>
          <w:p>
            <w:pPr>
              <w:spacing w:after="0"/>
              <w:jc w:val="center"/>
            </w:pPr>
            <w:r>
              <w:rPr>
                <w:sz w:val="16"/>
              </w:rPr>
              <w:t>0.43x</w:t>
            </w:r>
          </w:p>
        </w:tc>
        <w:tc>
          <w:tcPr>
            <w:tcW w:type="dxa" w:w="4579"/>
            <w:vAlign w:val="center"/>
            <w:shd w:fill="EEF4F5"/>
            <w:tcBorders>
              <w:top w:val="single" w:sz="3" w:color="D9E1E5"/>
              <w:left w:val="single" w:sz="3" w:color="D9E1E5"/>
              <w:bottom w:val="single" w:sz="3" w:color="D9E1E5"/>
              <w:right w:val="single" w:sz="3" w:color="D9E1E5"/>
            </w:tcBorders>
          </w:tcPr>
          <w:p>
            <w:pPr>
              <w:spacing w:after="0"/>
            </w:pPr>
            <w:r>
              <w:rPr>
                <w:sz w:val="16"/>
              </w:rPr>
              <w:t>IHG was ahead of Marriott but below Hilton, placing it close to the peer average.</w:t>
            </w:r>
          </w:p>
        </w:tc>
      </w:tr>
      <w:tr>
        <w:tc>
          <w:tcPr>
            <w:tcW w:type="dxa" w:w="2131"/>
            <w:vAlign w:val="center"/>
            <w:tcBorders>
              <w:top w:val="single" w:sz="3" w:color="D9E1E5"/>
              <w:left w:val="single" w:sz="3" w:color="D9E1E5"/>
              <w:bottom w:val="single" w:sz="3" w:color="D9E1E5"/>
              <w:right w:val="single" w:sz="3" w:color="D9E1E5"/>
            </w:tcBorders>
          </w:tcPr>
          <w:p>
            <w:pPr>
              <w:spacing w:after="0"/>
            </w:pPr>
            <w:r>
              <w:rPr>
                <w:b/>
                <w:color w:val="0B5661"/>
                <w:sz w:val="16"/>
              </w:rPr>
              <w:t>Free cash flow margin</w:t>
            </w:r>
          </w:p>
        </w:tc>
        <w:tc>
          <w:tcPr>
            <w:tcW w:type="dxa" w:w="1094"/>
            <w:vAlign w:val="center"/>
            <w:tcBorders>
              <w:top w:val="single" w:sz="3" w:color="D9E1E5"/>
              <w:left w:val="single" w:sz="3" w:color="D9E1E5"/>
              <w:bottom w:val="single" w:sz="3" w:color="D9E1E5"/>
              <w:right w:val="single" w:sz="3" w:color="D9E1E5"/>
            </w:tcBorders>
          </w:tcPr>
          <w:p>
            <w:pPr>
              <w:spacing w:after="0"/>
              <w:jc w:val="center"/>
            </w:pPr>
            <w:r>
              <w:rPr>
                <w:sz w:val="16"/>
              </w:rPr>
              <w:t>13.1%</w:t>
            </w:r>
          </w:p>
        </w:tc>
        <w:tc>
          <w:tcPr>
            <w:tcW w:type="dxa" w:w="1267"/>
            <w:vAlign w:val="center"/>
            <w:tcBorders>
              <w:top w:val="single" w:sz="3" w:color="D9E1E5"/>
              <w:left w:val="single" w:sz="3" w:color="D9E1E5"/>
              <w:bottom w:val="single" w:sz="3" w:color="D9E1E5"/>
              <w:right w:val="single" w:sz="3" w:color="D9E1E5"/>
            </w:tcBorders>
          </w:tcPr>
          <w:p>
            <w:pPr>
              <w:spacing w:after="0"/>
              <w:jc w:val="center"/>
            </w:pPr>
            <w:r>
              <w:rPr>
                <w:sz w:val="16"/>
              </w:rPr>
              <w:t>8.0%</w:t>
            </w:r>
          </w:p>
        </w:tc>
        <w:tc>
          <w:tcPr>
            <w:tcW w:type="dxa" w:w="1123"/>
            <w:vAlign w:val="center"/>
            <w:tcBorders>
              <w:top w:val="single" w:sz="3" w:color="D9E1E5"/>
              <w:left w:val="single" w:sz="3" w:color="D9E1E5"/>
              <w:bottom w:val="single" w:sz="3" w:color="D9E1E5"/>
              <w:right w:val="single" w:sz="3" w:color="D9E1E5"/>
            </w:tcBorders>
          </w:tcPr>
          <w:p>
            <w:pPr>
              <w:spacing w:after="0"/>
              <w:jc w:val="center"/>
            </w:pPr>
            <w:r>
              <w:rPr>
                <w:sz w:val="16"/>
              </w:rPr>
              <w:t>16.2%</w:t>
            </w:r>
          </w:p>
        </w:tc>
        <w:tc>
          <w:tcPr>
            <w:tcW w:type="dxa" w:w="4579"/>
            <w:vAlign w:val="center"/>
            <w:tcBorders>
              <w:top w:val="single" w:sz="3" w:color="D9E1E5"/>
              <w:left w:val="single" w:sz="3" w:color="D9E1E5"/>
              <w:bottom w:val="single" w:sz="3" w:color="D9E1E5"/>
              <w:right w:val="single" w:sz="3" w:color="D9E1E5"/>
            </w:tcBorders>
          </w:tcPr>
          <w:p>
            <w:pPr>
              <w:spacing w:after="0"/>
            </w:pPr>
            <w:r>
              <w:rPr>
                <w:sz w:val="16"/>
              </w:rPr>
              <w:t>IHG was clearly stronger than Marriott, although Hilton converted more revenue into free cash flow.</w:t>
            </w:r>
          </w:p>
        </w:tc>
      </w:tr>
    </w:tbl>
    <w:p>
      <w:pPr>
        <w:pStyle w:val="IHGHeading"/>
      </w:pPr>
      <w:r>
        <w:t>Key strengths</w:t>
      </w:r>
    </w:p>
    <w:p>
      <w:pPr>
        <w:ind w:left="259" w:hanging="259"/>
      </w:pPr>
      <w:r>
        <w:rPr>
          <w:b/>
        </w:rPr>
        <w:t xml:space="preserve">• </w:t>
      </w:r>
      <w:r>
        <w:t>IHG recorded the highest ROA at 13.1%, compared with 9.2% for Marriott and 9.6% for Hilton. This suggests that IHG used its asset base more efficiently to generate profit.</w:t>
      </w:r>
    </w:p>
    <w:p>
      <w:pPr>
        <w:ind w:left="259" w:hanging="259"/>
      </w:pPr>
      <w:r>
        <w:rPr>
          <w:b/>
        </w:rPr>
        <w:t xml:space="preserve">• </w:t>
      </w:r>
      <w:r>
        <w:t>The free cash flow margin of 13.1% was well above Marriott's 8.0%. This supports the view that IHG's asset-light model produces strong cash generation with relatively limited capital expenditure.</w:t>
      </w:r>
    </w:p>
    <w:p>
      <w:pPr>
        <w:ind w:left="259" w:hanging="259"/>
      </w:pPr>
      <w:r>
        <w:rPr>
          <w:b/>
        </w:rPr>
        <w:t xml:space="preserve">• </w:t>
      </w:r>
      <w:r>
        <w:t>IHG's operating cash flow ratio was slightly above the peer average and stronger than Marriott's, showing reasonable cash coverage of short-term obligations.</w:t>
      </w:r>
    </w:p>
    <w:p>
      <w:pPr>
        <w:pStyle w:val="IHGHeading"/>
      </w:pPr>
      <w:r>
        <w:t>Weaknesses and points to monitor</w:t>
      </w:r>
    </w:p>
    <w:p>
      <w:pPr>
        <w:ind w:left="259" w:hanging="259"/>
      </w:pPr>
      <w:r>
        <w:rPr>
          <w:b/>
        </w:rPr>
        <w:t xml:space="preserve">• </w:t>
      </w:r>
      <w:r>
        <w:t>ROE cannot be interpreted normally because IHG, Marriott and Hilton all reported negative shareholders' equity. IHG's negative ROE should not be treated as a standard measure of poor profitability.</w:t>
      </w:r>
    </w:p>
    <w:p>
      <w:pPr>
        <w:ind w:left="259" w:hanging="259"/>
      </w:pPr>
      <w:r>
        <w:rPr>
          <w:b/>
        </w:rPr>
        <w:t xml:space="preserve">• </w:t>
      </w:r>
      <w:r>
        <w:t>IHG's operating cash flow ratio and free cash flow margin were both below Hilton's. Hilton therefore showed stronger cash generation and short-term cash-flow coverage in 2024.</w:t>
      </w:r>
    </w:p>
    <w:p>
      <w:pPr>
        <w:ind w:left="259" w:hanging="259"/>
      </w:pPr>
      <w:r>
        <w:rPr>
          <w:b/>
        </w:rPr>
        <w:t xml:space="preserve">• </w:t>
      </w:r>
      <w:r>
        <w:t>Although IHG's P/E was the lowest of the three companies, a lower multiple is not automatically a strength. It may indicate a cheaper valuation, but it may also reflect differences in expected growth or investor risk.</w:t>
      </w:r>
    </w:p>
    <w:tbl>
      <w:tblPr>
        <w:tblW w:type="auto" w:w="0"/>
        <w:jc w:val="center"/>
        <w:tblLook w:firstColumn="1" w:firstRow="1" w:lastColumn="0" w:lastRow="0" w:noHBand="0" w:noVBand="1" w:val="04A0"/>
      </w:tblPr>
      <w:tblGrid>
        <w:gridCol w:w="10037"/>
      </w:tblGrid>
      <w:tr>
        <w:tc>
          <w:tcPr>
            <w:tcW w:type="dxa" w:w="10037"/>
            <w:shd w:fill="FFF2CC"/>
            <w:tcBorders>
              <w:top w:val="single" w:sz="5" w:color="E6B800"/>
              <w:left w:val="single" w:sz="5" w:color="E6B800"/>
              <w:bottom w:val="single" w:sz="5" w:color="E6B800"/>
              <w:right w:val="single" w:sz="5" w:color="E6B800"/>
            </w:tcBorders>
          </w:tcPr>
          <w:p>
            <w:pPr>
              <w:spacing w:after="0"/>
            </w:pPr>
            <w:r>
              <w:rPr>
                <w:b/>
                <w:color w:val="7F6000"/>
                <w:sz w:val="18"/>
              </w:rPr>
              <w:t>Overall comparison: IHG performed competitively in 2024. Its strongest results were ROA and free cash flow margin relative to Marriott. Hilton remained stronger on cash-flow coverage and free cash flow margin. The negative equity position across all three companies means ROE must be interpreted with caution.</w:t>
            </w:r>
          </w:p>
        </w:tc>
      </w:tr>
    </w:tbl>
    <w:p>
      <w:pPr>
        <w:pStyle w:val="IHGHeading"/>
      </w:pPr>
      <w:r>
        <w:t>Methodology</w:t>
      </w:r>
    </w:p>
    <w:p>
      <w:pPr>
        <w:spacing w:after="40"/>
      </w:pPr>
      <w:r>
        <w:t>ROE = net income attributable to shareholders ÷ average shareholders' equity; ROA = net income attributable to shareholders ÷ average total assets; operating cash flow ratio = operating cash flow ÷ current liabilities; and free cash flow margin = (operating cash flow - capital expenditure) ÷ revenue. P/E figures are fiscal-year ratios reported by StockAnalysis.</w:t>
      </w:r>
    </w:p>
    <w:p>
      <w:pPr>
        <w:pStyle w:val="IHGHeading"/>
      </w:pPr>
      <w:r>
        <w:t>Sources</w:t>
      </w:r>
    </w:p>
    <w:p>
      <w:pPr>
        <w:spacing w:after="0"/>
        <w:ind w:left="259" w:hanging="259"/>
      </w:pPr>
      <w:r>
        <w:rPr>
          <w:b/>
        </w:rPr>
        <w:t xml:space="preserve">• </w:t>
      </w:r>
      <w:hyperlink r:id="rId9">
        <w:r>
          <w:rPr>
            <w:color w:val="0563C1"/>
            <w:u w:val="single"/>
          </w:rPr>
          <w:t>IHG Annual Report and Form 20-F 2024</w:t>
        </w:r>
      </w:hyperlink>
    </w:p>
    <w:p>
      <w:pPr>
        <w:spacing w:after="0"/>
        <w:ind w:left="259" w:hanging="259"/>
      </w:pPr>
      <w:r>
        <w:rPr>
          <w:b/>
        </w:rPr>
        <w:t xml:space="preserve">• </w:t>
      </w:r>
      <w:hyperlink r:id="rId10">
        <w:r>
          <w:rPr>
            <w:color w:val="0563C1"/>
            <w:u w:val="single"/>
          </w:rPr>
          <w:t>Marriott International 2024 Form 10-K</w:t>
        </w:r>
      </w:hyperlink>
    </w:p>
    <w:p>
      <w:pPr>
        <w:spacing w:after="0"/>
        <w:ind w:left="259" w:hanging="259"/>
      </w:pPr>
      <w:r>
        <w:rPr>
          <w:b/>
        </w:rPr>
        <w:t xml:space="preserve">• </w:t>
      </w:r>
      <w:hyperlink r:id="rId11">
        <w:r>
          <w:rPr>
            <w:color w:val="0563C1"/>
            <w:u w:val="single"/>
          </w:rPr>
          <w:t>Hilton Worldwide 2024 Form 10-K</w:t>
        </w:r>
      </w:hyperlink>
    </w:p>
    <w:p>
      <w:pPr>
        <w:spacing w:after="0"/>
        <w:ind w:left="259" w:hanging="259"/>
      </w:pPr>
      <w:r>
        <w:rPr>
          <w:b/>
        </w:rPr>
        <w:t xml:space="preserve">• </w:t>
      </w:r>
      <w:hyperlink r:id="rId12">
        <w:r>
          <w:rPr>
            <w:color w:val="0563C1"/>
            <w:u w:val="single"/>
          </w:rPr>
          <w:t>StockAnalysis - IHG ratios</w:t>
        </w:r>
      </w:hyperlink>
    </w:p>
    <w:p>
      <w:pPr>
        <w:spacing w:after="0"/>
        <w:ind w:left="259" w:hanging="259"/>
      </w:pPr>
      <w:r>
        <w:rPr>
          <w:b/>
        </w:rPr>
        <w:t xml:space="preserve">• </w:t>
      </w:r>
      <w:hyperlink r:id="rId13">
        <w:r>
          <w:rPr>
            <w:color w:val="0563C1"/>
            <w:u w:val="single"/>
          </w:rPr>
          <w:t>StockAnalysis - Marriott ratios</w:t>
        </w:r>
      </w:hyperlink>
    </w:p>
    <w:p>
      <w:pPr>
        <w:spacing w:after="0"/>
        <w:ind w:left="259" w:hanging="259"/>
      </w:pPr>
      <w:r>
        <w:rPr>
          <w:b/>
        </w:rPr>
        <w:t xml:space="preserve">• </w:t>
      </w:r>
      <w:hyperlink r:id="rId14">
        <w:r>
          <w:rPr>
            <w:color w:val="0563C1"/>
            <w:u w:val="single"/>
          </w:rPr>
          <w:t>StockAnalysis - Hilton ratios</w:t>
        </w:r>
      </w:hyperlink>
    </w:p>
    <w:sectPr w:rsidR="00FC693F" w:rsidRPr="0006063C" w:rsidSect="00034616">
      <w:footerReference w:type="default" r:id="rId15"/>
      <w:pgSz w:w="11909" w:h="16834"/>
      <w:pgMar w:top="792" w:right="936" w:bottom="792" w:left="93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color w:val="808080"/>
        <w:sz w:val="16"/>
      </w:rPr>
      <w:t>IHG Financial Ratio Benchmark Comparison | 2024</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40" w:line="247" w:lineRule="auto"/>
    </w:pPr>
    <w:rPr>
      <w:rFonts w:ascii="Aptos" w:hAnsi="Aptos"/>
      <w:sz w:val="19"/>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IHGHeading">
    <w:name w:val="IHG Heading"/>
    <w:pPr>
      <w:spacing w:before="100" w:after="20"/>
    </w:pPr>
    <w:rPr>
      <w:rFonts w:ascii="Aptos Display" w:hAnsi="Aptos Display"/>
      <w:b/>
      <w:color w:val="0B5661"/>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hyperlink" Target="https://www.ihgplc.com/~/media/Files/I/Ihg-Plc/investors/annual-report/2024/annual-report-2024-IHG-144ppi.pdf" TargetMode="External"/><Relationship Id="rId10" Type="http://schemas.openxmlformats.org/officeDocument/2006/relationships/hyperlink" Target="https://www.sec.gov/Archives/edgar/data/1048286/000162828025004818/mar-20241231.htm" TargetMode="External"/><Relationship Id="rId11" Type="http://schemas.openxmlformats.org/officeDocument/2006/relationships/hyperlink" Target="https://www.sec.gov/Archives/edgar/data/1585689/000158568925000008/hlt-20241231.htm" TargetMode="External"/><Relationship Id="rId12" Type="http://schemas.openxmlformats.org/officeDocument/2006/relationships/hyperlink" Target="https://stockanalysis.com/stocks/ihg/financials/ratios/" TargetMode="External"/><Relationship Id="rId13" Type="http://schemas.openxmlformats.org/officeDocument/2006/relationships/hyperlink" Target="https://stockanalysis.com/stocks/mar/financials/ratios/" TargetMode="External"/><Relationship Id="rId14" Type="http://schemas.openxmlformats.org/officeDocument/2006/relationships/hyperlink" Target="https://stockanalysis.com/stocks/hlt/financials/ratios/" TargetMode="External"/><Relationship Id="rId1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