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A14100" w14:textId="495F2358" w:rsidR="00422DB5" w:rsidRPr="0059646E" w:rsidRDefault="00AE39C5">
      <w:pPr>
        <w:rPr>
          <w:color w:val="4472C4" w:themeColor="accent1"/>
          <w:sz w:val="44"/>
          <w:szCs w:val="44"/>
        </w:rPr>
      </w:pPr>
      <w:r w:rsidRPr="0059646E">
        <w:rPr>
          <w:color w:val="4472C4" w:themeColor="accent1"/>
          <w:sz w:val="44"/>
          <w:szCs w:val="44"/>
        </w:rPr>
        <w:t>Assessment 2</w:t>
      </w:r>
      <w:bookmarkStart w:id="0" w:name="_GoBack"/>
      <w:bookmarkEnd w:id="0"/>
    </w:p>
    <w:p w14:paraId="61DBC7C6" w14:textId="227B0429" w:rsidR="00AE39C5" w:rsidRPr="00C854BF" w:rsidRDefault="00AE39C5">
      <w:pPr>
        <w:rPr>
          <w:b/>
          <w:bCs/>
          <w:sz w:val="32"/>
          <w:szCs w:val="32"/>
        </w:rPr>
      </w:pPr>
      <w:r w:rsidRPr="00C854BF">
        <w:rPr>
          <w:b/>
          <w:bCs/>
          <w:sz w:val="32"/>
          <w:szCs w:val="32"/>
        </w:rPr>
        <w:t>Part A</w:t>
      </w:r>
    </w:p>
    <w:p w14:paraId="2E22C702" w14:textId="42E976E3" w:rsidR="006E715A" w:rsidRDefault="00820A35">
      <w:pPr>
        <w:rPr>
          <w:rStyle w:val="Hyperlink"/>
          <w:rFonts w:ascii="Arial" w:hAnsi="Arial" w:cs="Arial"/>
          <w:sz w:val="23"/>
          <w:szCs w:val="23"/>
          <w:u w:val="none"/>
          <w:shd w:val="clear" w:color="auto" w:fill="F4F4F4"/>
        </w:rPr>
      </w:pPr>
      <w:hyperlink r:id="rId5" w:tgtFrame="_blank" w:history="1">
        <w:r w:rsidR="0059646E">
          <w:rPr>
            <w:rStyle w:val="Hyperlink"/>
            <w:rFonts w:ascii="Arial" w:hAnsi="Arial" w:cs="Arial"/>
            <w:sz w:val="23"/>
            <w:szCs w:val="23"/>
            <w:u w:val="none"/>
            <w:shd w:val="clear" w:color="auto" w:fill="F4F4F4"/>
          </w:rPr>
          <w:t>https://youtu.be/cxzXvE37_tU</w:t>
        </w:r>
      </w:hyperlink>
      <w:r w:rsidR="00731F8A">
        <w:rPr>
          <w:rStyle w:val="Hyperlink"/>
          <w:rFonts w:ascii="Arial" w:hAnsi="Arial" w:cs="Arial"/>
          <w:sz w:val="23"/>
          <w:szCs w:val="23"/>
          <w:u w:val="none"/>
          <w:shd w:val="clear" w:color="auto" w:fill="F4F4F4"/>
        </w:rPr>
        <w:t xml:space="preserve"> </w:t>
      </w:r>
    </w:p>
    <w:p w14:paraId="05493B7F" w14:textId="391CDB53" w:rsidR="006E715A" w:rsidRPr="00820A35" w:rsidRDefault="006E715A" w:rsidP="00C854BF">
      <w:pPr>
        <w:spacing w:line="360" w:lineRule="auto"/>
        <w:ind w:firstLine="360"/>
        <w:rPr>
          <w:b/>
          <w:bCs/>
          <w:sz w:val="32"/>
          <w:szCs w:val="32"/>
        </w:rPr>
      </w:pPr>
      <w:r w:rsidRPr="00820A35">
        <w:rPr>
          <w:b/>
          <w:bCs/>
          <w:sz w:val="32"/>
          <w:szCs w:val="32"/>
        </w:rPr>
        <w:t>References:</w:t>
      </w:r>
    </w:p>
    <w:p w14:paraId="32708EF0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AIHW (2012), </w:t>
      </w:r>
      <w:r w:rsidRPr="00D11E5D">
        <w:rPr>
          <w:rFonts w:ascii="Arial" w:hAnsi="Arial" w:cs="Arial"/>
          <w:i/>
          <w:iCs/>
          <w:sz w:val="24"/>
          <w:szCs w:val="24"/>
        </w:rPr>
        <w:t>Access to health services</w:t>
      </w:r>
      <w:r w:rsidRPr="00D11E5D">
        <w:rPr>
          <w:rFonts w:ascii="Arial" w:hAnsi="Arial" w:cs="Arial"/>
          <w:sz w:val="24"/>
          <w:szCs w:val="24"/>
        </w:rPr>
        <w:t xml:space="preserve"> by Australians with disability 2012</w:t>
      </w:r>
    </w:p>
    <w:p w14:paraId="23285BA4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AIHW (2015), 2014-15 </w:t>
      </w:r>
      <w:r w:rsidRPr="00D11E5D">
        <w:rPr>
          <w:rFonts w:ascii="Arial" w:hAnsi="Arial" w:cs="Arial"/>
          <w:i/>
          <w:iCs/>
          <w:sz w:val="24"/>
          <w:szCs w:val="24"/>
        </w:rPr>
        <w:t>Australian Hospital Statistics</w:t>
      </w:r>
      <w:r w:rsidRPr="00D11E5D">
        <w:rPr>
          <w:rFonts w:ascii="Arial" w:hAnsi="Arial" w:cs="Arial"/>
          <w:sz w:val="24"/>
          <w:szCs w:val="24"/>
        </w:rPr>
        <w:t>: Emergency department care</w:t>
      </w:r>
    </w:p>
    <w:p w14:paraId="5E505CDF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AIHW (2016), </w:t>
      </w:r>
      <w:r w:rsidRPr="00D11E5D">
        <w:rPr>
          <w:rFonts w:ascii="Arial" w:hAnsi="Arial" w:cs="Arial"/>
          <w:i/>
          <w:iCs/>
          <w:sz w:val="24"/>
          <w:szCs w:val="24"/>
        </w:rPr>
        <w:t>National Healthcare Agreement</w:t>
      </w:r>
      <w:r w:rsidRPr="00D11E5D">
        <w:rPr>
          <w:rFonts w:ascii="Arial" w:hAnsi="Arial" w:cs="Arial"/>
          <w:sz w:val="24"/>
          <w:szCs w:val="24"/>
        </w:rPr>
        <w:t>: PI 19–Selected potentially avoidable GP-type presentations to emergency departments, 2016</w:t>
      </w:r>
    </w:p>
    <w:p w14:paraId="4C07BCFD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Comino EJ, </w:t>
      </w:r>
      <w:proofErr w:type="spellStart"/>
      <w:r w:rsidRPr="00D11E5D">
        <w:rPr>
          <w:rFonts w:ascii="Arial" w:hAnsi="Arial" w:cs="Arial"/>
          <w:sz w:val="24"/>
          <w:szCs w:val="24"/>
        </w:rPr>
        <w:t>Zwar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NA, </w:t>
      </w:r>
      <w:proofErr w:type="spellStart"/>
      <w:r w:rsidRPr="00D11E5D">
        <w:rPr>
          <w:rFonts w:ascii="Arial" w:hAnsi="Arial" w:cs="Arial"/>
          <w:sz w:val="24"/>
          <w:szCs w:val="24"/>
        </w:rPr>
        <w:t>Hermiz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O. (2007), </w:t>
      </w:r>
      <w:r w:rsidRPr="00D11E5D">
        <w:rPr>
          <w:rFonts w:ascii="Arial" w:hAnsi="Arial" w:cs="Arial"/>
          <w:i/>
          <w:iCs/>
          <w:sz w:val="24"/>
          <w:szCs w:val="24"/>
        </w:rPr>
        <w:t>The Macarthur GP After-hours Service: a model of after-hours care for Australia</w:t>
      </w:r>
    </w:p>
    <w:p w14:paraId="5FEA17EA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D11E5D">
        <w:rPr>
          <w:rFonts w:ascii="Arial" w:hAnsi="Arial" w:cs="Arial"/>
          <w:sz w:val="24"/>
          <w:szCs w:val="24"/>
        </w:rPr>
        <w:t>Deeble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Institute (2015), </w:t>
      </w:r>
      <w:r w:rsidRPr="00D11E5D">
        <w:rPr>
          <w:rFonts w:ascii="Arial" w:hAnsi="Arial" w:cs="Arial"/>
          <w:i/>
          <w:iCs/>
          <w:sz w:val="24"/>
          <w:szCs w:val="24"/>
        </w:rPr>
        <w:t>Review of after-hours service models: Learnings for regional, rural and remote communities</w:t>
      </w:r>
    </w:p>
    <w:p w14:paraId="32A45C54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Deloitte (2016), </w:t>
      </w:r>
      <w:r w:rsidRPr="00D11E5D">
        <w:rPr>
          <w:rFonts w:ascii="Arial" w:hAnsi="Arial" w:cs="Arial"/>
          <w:i/>
          <w:iCs/>
          <w:sz w:val="24"/>
          <w:szCs w:val="24"/>
        </w:rPr>
        <w:t>Analysis of afterhours primary care pathways, Deloitte</w:t>
      </w:r>
    </w:p>
    <w:p w14:paraId="6676C0B4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11E5D">
        <w:rPr>
          <w:rFonts w:ascii="Arial" w:hAnsi="Arial" w:cs="Arial"/>
          <w:sz w:val="24"/>
          <w:szCs w:val="24"/>
        </w:rPr>
        <w:t>Geir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(2018),</w:t>
      </w:r>
      <w:r w:rsidRPr="00D11E5D">
        <w:rPr>
          <w:rFonts w:ascii="Arial" w:hAnsi="Arial" w:cs="Arial"/>
          <w:i/>
          <w:iCs/>
          <w:sz w:val="24"/>
          <w:szCs w:val="24"/>
        </w:rPr>
        <w:t xml:space="preserve"> After hours GP Corporate struggling to Recruit Doctors, </w:t>
      </w:r>
      <w:r w:rsidRPr="00D11E5D">
        <w:rPr>
          <w:rFonts w:ascii="Arial" w:hAnsi="Arial" w:cs="Arial"/>
          <w:sz w:val="24"/>
          <w:szCs w:val="24"/>
        </w:rPr>
        <w:t>Australian Doctors</w:t>
      </w:r>
    </w:p>
    <w:p w14:paraId="74CBB073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>IHPA (2016), Australian Public Hospitals Cost Report 2013-2014 Round 18</w:t>
      </w:r>
    </w:p>
    <w:p w14:paraId="453D1DAB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Jackson (2014), Review of </w:t>
      </w:r>
      <w:proofErr w:type="spellStart"/>
      <w:proofErr w:type="gramStart"/>
      <w:r w:rsidRPr="00D11E5D">
        <w:rPr>
          <w:rFonts w:ascii="Arial" w:hAnsi="Arial" w:cs="Arial"/>
          <w:sz w:val="24"/>
          <w:szCs w:val="24"/>
        </w:rPr>
        <w:t>after hours</w:t>
      </w:r>
      <w:proofErr w:type="spellEnd"/>
      <w:proofErr w:type="gramEnd"/>
      <w:r w:rsidRPr="00D11E5D">
        <w:rPr>
          <w:rFonts w:ascii="Arial" w:hAnsi="Arial" w:cs="Arial"/>
          <w:sz w:val="24"/>
          <w:szCs w:val="24"/>
        </w:rPr>
        <w:t xml:space="preserve"> primary health care for the Department of Health</w:t>
      </w:r>
    </w:p>
    <w:p w14:paraId="54A8068E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D11E5D">
        <w:rPr>
          <w:rFonts w:ascii="Arial" w:hAnsi="Arial" w:cs="Arial"/>
          <w:sz w:val="24"/>
          <w:szCs w:val="24"/>
        </w:rPr>
        <w:t>Kemal(</w:t>
      </w:r>
      <w:proofErr w:type="gramEnd"/>
      <w:r w:rsidRPr="00D11E5D">
        <w:rPr>
          <w:rFonts w:ascii="Arial" w:hAnsi="Arial" w:cs="Arial"/>
          <w:sz w:val="24"/>
          <w:szCs w:val="24"/>
        </w:rPr>
        <w:t xml:space="preserve">2019), </w:t>
      </w:r>
      <w:r w:rsidRPr="00D11E5D">
        <w:rPr>
          <w:rFonts w:ascii="Arial" w:hAnsi="Arial" w:cs="Arial"/>
          <w:i/>
          <w:iCs/>
          <w:sz w:val="24"/>
          <w:szCs w:val="24"/>
        </w:rPr>
        <w:t>GP Deputising Services Warn of Recruitment Crisis</w:t>
      </w:r>
      <w:r w:rsidRPr="00D11E5D">
        <w:rPr>
          <w:rFonts w:ascii="Arial" w:hAnsi="Arial" w:cs="Arial"/>
          <w:sz w:val="24"/>
          <w:szCs w:val="24"/>
        </w:rPr>
        <w:t xml:space="preserve"> , Australian Doctor</w:t>
      </w:r>
    </w:p>
    <w:p w14:paraId="4D1062D5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Melbourne Institute (2016), </w:t>
      </w:r>
      <w:r w:rsidRPr="00D11E5D">
        <w:rPr>
          <w:rFonts w:ascii="Arial" w:hAnsi="Arial" w:cs="Arial"/>
          <w:i/>
          <w:iCs/>
          <w:sz w:val="24"/>
          <w:szCs w:val="24"/>
        </w:rPr>
        <w:t>Do Financial Incentives Influence GPs’ Decisions to Do After-Hours Work? A Discrete Choice Labour Supply Model</w:t>
      </w:r>
    </w:p>
    <w:p w14:paraId="08AC58C7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National Association for Medical Deputising Services (2016), </w:t>
      </w:r>
      <w:r w:rsidRPr="00D11E5D">
        <w:rPr>
          <w:rFonts w:ascii="Arial" w:hAnsi="Arial" w:cs="Arial"/>
          <w:i/>
          <w:iCs/>
          <w:sz w:val="24"/>
          <w:szCs w:val="24"/>
        </w:rPr>
        <w:t>AFTER HOURS PRIMARY CARE AND MEDICAL DEPUTISING SERVICES</w:t>
      </w:r>
      <w:r w:rsidRPr="00D11E5D">
        <w:rPr>
          <w:rFonts w:ascii="Arial" w:hAnsi="Arial" w:cs="Arial"/>
          <w:sz w:val="24"/>
          <w:szCs w:val="24"/>
        </w:rPr>
        <w:t>, A MEDICARE SUCCESS STORY</w:t>
      </w:r>
    </w:p>
    <w:p w14:paraId="56D68423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>PHN Tasmania (2015), After hours general practice forum</w:t>
      </w:r>
    </w:p>
    <w:p w14:paraId="6A467024" w14:textId="77777777" w:rsidR="00C854BF" w:rsidRDefault="006E715A" w:rsidP="00C854B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RACGP (2016), </w:t>
      </w:r>
      <w:r w:rsidRPr="00D11E5D">
        <w:rPr>
          <w:rFonts w:ascii="Arial" w:hAnsi="Arial" w:cs="Arial"/>
          <w:i/>
          <w:iCs/>
          <w:sz w:val="24"/>
          <w:szCs w:val="24"/>
        </w:rPr>
        <w:t>Who uses the ‘after hours GP helpline’? A profile of users of an after-hours primary care helpline</w:t>
      </w:r>
    </w:p>
    <w:p w14:paraId="1B1002AB" w14:textId="77777777" w:rsidR="00820A35" w:rsidRDefault="00820A35" w:rsidP="00C854BF">
      <w:pPr>
        <w:spacing w:line="360" w:lineRule="auto"/>
        <w:ind w:left="360"/>
        <w:jc w:val="both"/>
        <w:rPr>
          <w:b/>
          <w:bCs/>
          <w:sz w:val="32"/>
          <w:szCs w:val="32"/>
        </w:rPr>
      </w:pPr>
    </w:p>
    <w:p w14:paraId="7E26B7E0" w14:textId="3B3C803A" w:rsidR="00C854BF" w:rsidRPr="00C854BF" w:rsidRDefault="00C854BF" w:rsidP="00C854BF">
      <w:pPr>
        <w:spacing w:line="360" w:lineRule="auto"/>
        <w:ind w:left="360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C854BF">
        <w:rPr>
          <w:b/>
          <w:bCs/>
          <w:sz w:val="32"/>
          <w:szCs w:val="32"/>
        </w:rPr>
        <w:lastRenderedPageBreak/>
        <w:t>Part B</w:t>
      </w:r>
    </w:p>
    <w:p w14:paraId="2E6901DD" w14:textId="77777777" w:rsidR="00C854BF" w:rsidRDefault="00820A35" w:rsidP="00C854BF">
      <w:pPr>
        <w:ind w:left="360"/>
      </w:pPr>
      <w:hyperlink r:id="rId6" w:tgtFrame="_blank" w:history="1">
        <w:r w:rsidR="00C854BF" w:rsidRPr="00C854BF">
          <w:rPr>
            <w:rStyle w:val="Hyperlink"/>
            <w:rFonts w:ascii="Arial" w:hAnsi="Arial" w:cs="Arial"/>
            <w:sz w:val="23"/>
            <w:szCs w:val="23"/>
            <w:u w:val="none"/>
            <w:shd w:val="clear" w:color="auto" w:fill="F4F4F4"/>
          </w:rPr>
          <w:t>https://youtu.be/z_P95mvoUY4</w:t>
        </w:r>
      </w:hyperlink>
    </w:p>
    <w:p w14:paraId="3C10A2D8" w14:textId="77777777" w:rsidR="00820A35" w:rsidRDefault="00820A35" w:rsidP="00C854BF">
      <w:pPr>
        <w:spacing w:line="360" w:lineRule="auto"/>
        <w:ind w:firstLine="360"/>
        <w:rPr>
          <w:b/>
          <w:bCs/>
          <w:sz w:val="32"/>
          <w:szCs w:val="32"/>
        </w:rPr>
      </w:pPr>
    </w:p>
    <w:p w14:paraId="7AD2A6D3" w14:textId="50432C8B" w:rsidR="00C854BF" w:rsidRPr="00820A35" w:rsidRDefault="00C854BF" w:rsidP="00C854BF">
      <w:pPr>
        <w:spacing w:line="360" w:lineRule="auto"/>
        <w:ind w:firstLine="360"/>
        <w:rPr>
          <w:b/>
          <w:bCs/>
          <w:sz w:val="32"/>
          <w:szCs w:val="32"/>
        </w:rPr>
      </w:pPr>
      <w:r w:rsidRPr="00820A35">
        <w:rPr>
          <w:b/>
          <w:bCs/>
          <w:sz w:val="32"/>
          <w:szCs w:val="32"/>
        </w:rPr>
        <w:t>References:</w:t>
      </w:r>
    </w:p>
    <w:p w14:paraId="7E56DD57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AIHW (2012), </w:t>
      </w:r>
      <w:r w:rsidRPr="00D11E5D">
        <w:rPr>
          <w:rFonts w:ascii="Arial" w:hAnsi="Arial" w:cs="Arial"/>
          <w:i/>
          <w:iCs/>
          <w:sz w:val="24"/>
          <w:szCs w:val="24"/>
        </w:rPr>
        <w:t>Access to health services</w:t>
      </w:r>
      <w:r w:rsidRPr="00D11E5D">
        <w:rPr>
          <w:rFonts w:ascii="Arial" w:hAnsi="Arial" w:cs="Arial"/>
          <w:sz w:val="24"/>
          <w:szCs w:val="24"/>
        </w:rPr>
        <w:t xml:space="preserve"> by Australians with disability 2012</w:t>
      </w:r>
    </w:p>
    <w:p w14:paraId="65765A00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AIHW (2015), 2014-15 </w:t>
      </w:r>
      <w:r w:rsidRPr="00D11E5D">
        <w:rPr>
          <w:rFonts w:ascii="Arial" w:hAnsi="Arial" w:cs="Arial"/>
          <w:i/>
          <w:iCs/>
          <w:sz w:val="24"/>
          <w:szCs w:val="24"/>
        </w:rPr>
        <w:t>Australian Hospital Statistics</w:t>
      </w:r>
      <w:r w:rsidRPr="00D11E5D">
        <w:rPr>
          <w:rFonts w:ascii="Arial" w:hAnsi="Arial" w:cs="Arial"/>
          <w:sz w:val="24"/>
          <w:szCs w:val="24"/>
        </w:rPr>
        <w:t>: Emergency department care</w:t>
      </w:r>
    </w:p>
    <w:p w14:paraId="08679489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AIHW (2016), </w:t>
      </w:r>
      <w:r w:rsidRPr="00D11E5D">
        <w:rPr>
          <w:rFonts w:ascii="Arial" w:hAnsi="Arial" w:cs="Arial"/>
          <w:i/>
          <w:iCs/>
          <w:sz w:val="24"/>
          <w:szCs w:val="24"/>
        </w:rPr>
        <w:t>National Healthcare Agreement</w:t>
      </w:r>
      <w:r w:rsidRPr="00D11E5D">
        <w:rPr>
          <w:rFonts w:ascii="Arial" w:hAnsi="Arial" w:cs="Arial"/>
          <w:sz w:val="24"/>
          <w:szCs w:val="24"/>
        </w:rPr>
        <w:t>: PI 19–Selected potentially avoidable GP-type presentations to emergency departments, 2016</w:t>
      </w:r>
    </w:p>
    <w:p w14:paraId="08B9F9C7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Comino EJ, </w:t>
      </w:r>
      <w:proofErr w:type="spellStart"/>
      <w:r w:rsidRPr="00D11E5D">
        <w:rPr>
          <w:rFonts w:ascii="Arial" w:hAnsi="Arial" w:cs="Arial"/>
          <w:sz w:val="24"/>
          <w:szCs w:val="24"/>
        </w:rPr>
        <w:t>Zwar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NA, </w:t>
      </w:r>
      <w:proofErr w:type="spellStart"/>
      <w:r w:rsidRPr="00D11E5D">
        <w:rPr>
          <w:rFonts w:ascii="Arial" w:hAnsi="Arial" w:cs="Arial"/>
          <w:sz w:val="24"/>
          <w:szCs w:val="24"/>
        </w:rPr>
        <w:t>Hermiz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O. (2007), </w:t>
      </w:r>
      <w:r w:rsidRPr="00D11E5D">
        <w:rPr>
          <w:rFonts w:ascii="Arial" w:hAnsi="Arial" w:cs="Arial"/>
          <w:i/>
          <w:iCs/>
          <w:sz w:val="24"/>
          <w:szCs w:val="24"/>
        </w:rPr>
        <w:t>The Macarthur GP After-hours Service: a model of after-hours care for Australia</w:t>
      </w:r>
    </w:p>
    <w:p w14:paraId="61B00EFF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D11E5D">
        <w:rPr>
          <w:rFonts w:ascii="Arial" w:hAnsi="Arial" w:cs="Arial"/>
          <w:sz w:val="24"/>
          <w:szCs w:val="24"/>
        </w:rPr>
        <w:t>Deeble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Institute (2015), </w:t>
      </w:r>
      <w:r w:rsidRPr="00D11E5D">
        <w:rPr>
          <w:rFonts w:ascii="Arial" w:hAnsi="Arial" w:cs="Arial"/>
          <w:i/>
          <w:iCs/>
          <w:sz w:val="24"/>
          <w:szCs w:val="24"/>
        </w:rPr>
        <w:t>Review of after-hours service models: Learnings for regional, rural and remote communities</w:t>
      </w:r>
    </w:p>
    <w:p w14:paraId="3A3C4652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Deloitte (2016), </w:t>
      </w:r>
      <w:r w:rsidRPr="00D11E5D">
        <w:rPr>
          <w:rFonts w:ascii="Arial" w:hAnsi="Arial" w:cs="Arial"/>
          <w:i/>
          <w:iCs/>
          <w:sz w:val="24"/>
          <w:szCs w:val="24"/>
        </w:rPr>
        <w:t>Analysis of afterhours primary care pathways, Deloitte</w:t>
      </w:r>
    </w:p>
    <w:p w14:paraId="35629108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11E5D">
        <w:rPr>
          <w:rFonts w:ascii="Arial" w:hAnsi="Arial" w:cs="Arial"/>
          <w:sz w:val="24"/>
          <w:szCs w:val="24"/>
        </w:rPr>
        <w:t>Geir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(2018),</w:t>
      </w:r>
      <w:r w:rsidRPr="00D11E5D">
        <w:rPr>
          <w:rFonts w:ascii="Arial" w:hAnsi="Arial" w:cs="Arial"/>
          <w:i/>
          <w:iCs/>
          <w:sz w:val="24"/>
          <w:szCs w:val="24"/>
        </w:rPr>
        <w:t xml:space="preserve"> After hours GP Corporate struggling to Recruit Doctors, </w:t>
      </w:r>
      <w:r w:rsidRPr="00D11E5D">
        <w:rPr>
          <w:rFonts w:ascii="Arial" w:hAnsi="Arial" w:cs="Arial"/>
          <w:sz w:val="24"/>
          <w:szCs w:val="24"/>
        </w:rPr>
        <w:t>Australian Doctors</w:t>
      </w:r>
    </w:p>
    <w:p w14:paraId="2162A032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>IHPA (2016), Australian Public Hospitals Cost Report 2013-2014 Round 18</w:t>
      </w:r>
    </w:p>
    <w:p w14:paraId="5FA87228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Jackson (2014), Review of </w:t>
      </w:r>
      <w:proofErr w:type="spellStart"/>
      <w:proofErr w:type="gramStart"/>
      <w:r w:rsidRPr="00D11E5D">
        <w:rPr>
          <w:rFonts w:ascii="Arial" w:hAnsi="Arial" w:cs="Arial"/>
          <w:sz w:val="24"/>
          <w:szCs w:val="24"/>
        </w:rPr>
        <w:t>after hours</w:t>
      </w:r>
      <w:proofErr w:type="spellEnd"/>
      <w:proofErr w:type="gramEnd"/>
      <w:r w:rsidRPr="00D11E5D">
        <w:rPr>
          <w:rFonts w:ascii="Arial" w:hAnsi="Arial" w:cs="Arial"/>
          <w:sz w:val="24"/>
          <w:szCs w:val="24"/>
        </w:rPr>
        <w:t xml:space="preserve"> primary health care for the Department of Health</w:t>
      </w:r>
    </w:p>
    <w:p w14:paraId="5C305A1F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D11E5D">
        <w:rPr>
          <w:rFonts w:ascii="Arial" w:hAnsi="Arial" w:cs="Arial"/>
          <w:sz w:val="24"/>
          <w:szCs w:val="24"/>
        </w:rPr>
        <w:t>Kemal(</w:t>
      </w:r>
      <w:proofErr w:type="gramEnd"/>
      <w:r w:rsidRPr="00D11E5D">
        <w:rPr>
          <w:rFonts w:ascii="Arial" w:hAnsi="Arial" w:cs="Arial"/>
          <w:sz w:val="24"/>
          <w:szCs w:val="24"/>
        </w:rPr>
        <w:t xml:space="preserve">2019), </w:t>
      </w:r>
      <w:r w:rsidRPr="00D11E5D">
        <w:rPr>
          <w:rFonts w:ascii="Arial" w:hAnsi="Arial" w:cs="Arial"/>
          <w:i/>
          <w:iCs/>
          <w:sz w:val="24"/>
          <w:szCs w:val="24"/>
        </w:rPr>
        <w:t>GP Deputising Services Warn of Recruitment Crisis</w:t>
      </w:r>
      <w:r w:rsidRPr="00D11E5D">
        <w:rPr>
          <w:rFonts w:ascii="Arial" w:hAnsi="Arial" w:cs="Arial"/>
          <w:sz w:val="24"/>
          <w:szCs w:val="24"/>
        </w:rPr>
        <w:t xml:space="preserve"> , Australian Doctor</w:t>
      </w:r>
    </w:p>
    <w:p w14:paraId="45FE3F30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Melbourne Institute (2016), </w:t>
      </w:r>
      <w:r w:rsidRPr="00D11E5D">
        <w:rPr>
          <w:rFonts w:ascii="Arial" w:hAnsi="Arial" w:cs="Arial"/>
          <w:i/>
          <w:iCs/>
          <w:sz w:val="24"/>
          <w:szCs w:val="24"/>
        </w:rPr>
        <w:t>Do Financial Incentives Influence GPs’ Decisions to Do After-Hours Work? A Discrete Choice Labour Supply Model</w:t>
      </w:r>
    </w:p>
    <w:p w14:paraId="45CAEBCE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National Association for Medical Deputising Services (2016), </w:t>
      </w:r>
      <w:r w:rsidRPr="00D11E5D">
        <w:rPr>
          <w:rFonts w:ascii="Arial" w:hAnsi="Arial" w:cs="Arial"/>
          <w:i/>
          <w:iCs/>
          <w:sz w:val="24"/>
          <w:szCs w:val="24"/>
        </w:rPr>
        <w:t>AFTER HOURS PRIMARY CARE AND MEDICAL DEPUTISING SERVICES</w:t>
      </w:r>
      <w:r w:rsidRPr="00D11E5D">
        <w:rPr>
          <w:rFonts w:ascii="Arial" w:hAnsi="Arial" w:cs="Arial"/>
          <w:sz w:val="24"/>
          <w:szCs w:val="24"/>
        </w:rPr>
        <w:t>, A MEDICARE SUCCESS STORY</w:t>
      </w:r>
    </w:p>
    <w:p w14:paraId="14C50FBC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>PHN Tasmania (2015), After hours general practice forum</w:t>
      </w:r>
    </w:p>
    <w:p w14:paraId="66F9673A" w14:textId="77777777" w:rsidR="00C854BF" w:rsidRPr="00D11E5D" w:rsidRDefault="00C854BF" w:rsidP="00C854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RACGP (2016), </w:t>
      </w:r>
      <w:r w:rsidRPr="00D11E5D">
        <w:rPr>
          <w:rFonts w:ascii="Arial" w:hAnsi="Arial" w:cs="Arial"/>
          <w:i/>
          <w:iCs/>
          <w:sz w:val="24"/>
          <w:szCs w:val="24"/>
        </w:rPr>
        <w:t>Who uses the ‘after hours GP helpline’? A profile of users of an after-hours primary care helpline</w:t>
      </w:r>
    </w:p>
    <w:p w14:paraId="7F528F89" w14:textId="77777777" w:rsidR="00C854BF" w:rsidRDefault="00C854BF" w:rsidP="00C854BF"/>
    <w:p w14:paraId="2B73E642" w14:textId="77777777" w:rsidR="006E715A" w:rsidRDefault="006E715A" w:rsidP="006E715A">
      <w:pPr>
        <w:jc w:val="both"/>
      </w:pPr>
    </w:p>
    <w:p w14:paraId="185539D6" w14:textId="77777777" w:rsidR="006E715A" w:rsidRDefault="006E715A" w:rsidP="006E715A">
      <w:pPr>
        <w:jc w:val="both"/>
      </w:pPr>
    </w:p>
    <w:p w14:paraId="189881A3" w14:textId="77777777" w:rsidR="006E715A" w:rsidRDefault="006E715A" w:rsidP="006E715A">
      <w:pPr>
        <w:jc w:val="both"/>
      </w:pPr>
    </w:p>
    <w:p w14:paraId="53B06DC9" w14:textId="77777777" w:rsidR="006E715A" w:rsidRPr="00AE39C5" w:rsidRDefault="006E715A" w:rsidP="006E715A">
      <w:pPr>
        <w:jc w:val="both"/>
        <w:rPr>
          <w:sz w:val="44"/>
          <w:szCs w:val="44"/>
        </w:rPr>
      </w:pPr>
    </w:p>
    <w:sectPr w:rsidR="006E715A" w:rsidRPr="00AE39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495F73"/>
    <w:multiLevelType w:val="hybridMultilevel"/>
    <w:tmpl w:val="1D4AF1E8"/>
    <w:lvl w:ilvl="0" w:tplc="0C09000F">
      <w:start w:val="1"/>
      <w:numFmt w:val="decimal"/>
      <w:lvlText w:val="%1."/>
      <w:lvlJc w:val="left"/>
      <w:pPr>
        <w:ind w:left="720" w:hanging="360"/>
      </w:p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3457E4"/>
    <w:multiLevelType w:val="hybridMultilevel"/>
    <w:tmpl w:val="1D4AF1E8"/>
    <w:lvl w:ilvl="0" w:tplc="0C09000F">
      <w:start w:val="1"/>
      <w:numFmt w:val="decimal"/>
      <w:lvlText w:val="%1."/>
      <w:lvlJc w:val="left"/>
      <w:pPr>
        <w:ind w:left="720" w:hanging="360"/>
      </w:p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9C5"/>
    <w:rsid w:val="001017BD"/>
    <w:rsid w:val="00422DB5"/>
    <w:rsid w:val="0059646E"/>
    <w:rsid w:val="006E715A"/>
    <w:rsid w:val="00731F8A"/>
    <w:rsid w:val="00820A35"/>
    <w:rsid w:val="00AE39C5"/>
    <w:rsid w:val="00B073F7"/>
    <w:rsid w:val="00C854BF"/>
    <w:rsid w:val="00D11E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CE1C1"/>
  <w15:chartTrackingRefBased/>
  <w15:docId w15:val="{FFBDBF7E-830E-41AC-8220-ABFC4AB049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715A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9646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z_P95mvoUY4" TargetMode="External"/><Relationship Id="rId5" Type="http://schemas.openxmlformats.org/officeDocument/2006/relationships/hyperlink" Target="https://youtu.be/cxzXvE37_tU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3</Pages>
  <Words>445</Words>
  <Characters>2538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Sumangala Antonypillai</dc:creator>
  <cp:keywords/>
  <dc:description/>
  <cp:lastModifiedBy>Sumangala Antonypillai</cp:lastModifiedBy>
  <cp:revision>6</cp:revision>
  <dcterms:created xsi:type="dcterms:W3CDTF">2019-11-25T10:08:00Z</dcterms:created>
  <dcterms:modified xsi:type="dcterms:W3CDTF">2019-11-26T12:54:00Z</dcterms:modified>
</cp:coreProperties>
</file>