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3CEEF" w14:textId="77777777" w:rsidR="00946E09" w:rsidRPr="008C3009" w:rsidRDefault="00946E09" w:rsidP="00946E09">
      <w:pPr>
        <w:rPr>
          <w:rFonts w:ascii="Arial" w:hAnsi="Arial" w:cs="Arial"/>
          <w:sz w:val="24"/>
          <w:szCs w:val="24"/>
        </w:rPr>
      </w:pPr>
      <w:r w:rsidRPr="008C3009">
        <w:rPr>
          <w:rFonts w:ascii="Arial" w:hAnsi="Arial" w:cs="Arial"/>
          <w:b/>
          <w:bCs/>
          <w:sz w:val="24"/>
          <w:szCs w:val="24"/>
        </w:rPr>
        <w:t>AC-1.1:</w:t>
      </w:r>
      <w:r w:rsidRPr="008C3009">
        <w:rPr>
          <w:rFonts w:ascii="Arial" w:hAnsi="Arial" w:cs="Arial"/>
          <w:sz w:val="24"/>
          <w:szCs w:val="24"/>
        </w:rPr>
        <w:t xml:space="preserve">  Reward principles support an organisation to attract, motivate and retain employees through financial and non-financial rewards.  Armstrong and Brown (2019, p.6.) argue that reward management is not just about pay and employee benefits, it also contributes to the achievement of business goals and encourages high levels of employee performance.  For </w:t>
      </w:r>
      <w:proofErr w:type="spellStart"/>
      <w:r w:rsidRPr="008C3009">
        <w:rPr>
          <w:rFonts w:ascii="Arial" w:hAnsi="Arial" w:cs="Arial"/>
          <w:sz w:val="24"/>
          <w:szCs w:val="24"/>
        </w:rPr>
        <w:t>GreenFriendlyEco</w:t>
      </w:r>
      <w:proofErr w:type="spellEnd"/>
      <w:r w:rsidRPr="008C3009">
        <w:rPr>
          <w:rFonts w:ascii="Arial" w:hAnsi="Arial" w:cs="Arial"/>
          <w:sz w:val="24"/>
          <w:szCs w:val="24"/>
        </w:rPr>
        <w:t>, an effective reward system could help address employee turnover and low morale by reinforcing positive behaviours and supporting organisational performance.</w:t>
      </w:r>
    </w:p>
    <w:p w14:paraId="5FA6951E" w14:textId="3CB99CA0" w:rsidR="00946E09" w:rsidRPr="008C3009" w:rsidRDefault="00946E09" w:rsidP="00946E09">
      <w:pPr>
        <w:rPr>
          <w:rFonts w:ascii="Arial" w:hAnsi="Arial" w:cs="Arial"/>
          <w:sz w:val="24"/>
          <w:szCs w:val="24"/>
        </w:rPr>
      </w:pPr>
      <w:r w:rsidRPr="008C3009">
        <w:rPr>
          <w:rFonts w:ascii="Arial" w:hAnsi="Arial" w:cs="Arial"/>
          <w:sz w:val="24"/>
          <w:szCs w:val="24"/>
        </w:rPr>
        <w:t xml:space="preserve">Currently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offers limited re</w:t>
      </w:r>
      <w:r w:rsidR="005A4D99">
        <w:rPr>
          <w:rFonts w:ascii="Arial" w:hAnsi="Arial" w:cs="Arial"/>
          <w:sz w:val="24"/>
          <w:szCs w:val="24"/>
        </w:rPr>
        <w:t>wards</w:t>
      </w:r>
      <w:r w:rsidRPr="008C3009">
        <w:rPr>
          <w:rFonts w:ascii="Arial" w:hAnsi="Arial" w:cs="Arial"/>
          <w:sz w:val="24"/>
          <w:szCs w:val="24"/>
        </w:rPr>
        <w:t xml:space="preserve"> to employees, with no incentive schemes in place.  This may reduce the organisation’s ability to attract and retain employees, particularly when competitors offer a wider range of rewards.  A total reward approach combines financial regards, such as pay and benefits, with non-financial rewards including flexible working and career development opportunities.  According to CIPD (2025</w:t>
      </w:r>
      <w:r w:rsidR="00D44129">
        <w:rPr>
          <w:rFonts w:ascii="Arial" w:hAnsi="Arial" w:cs="Arial"/>
          <w:sz w:val="24"/>
          <w:szCs w:val="24"/>
        </w:rPr>
        <w:t>h</w:t>
      </w:r>
      <w:r w:rsidRPr="008C3009">
        <w:rPr>
          <w:rFonts w:ascii="Arial" w:hAnsi="Arial" w:cs="Arial"/>
          <w:sz w:val="24"/>
          <w:szCs w:val="24"/>
        </w:rPr>
        <w:t xml:space="preserve">) total reward can be a strategic way to retain and engage employees.  </w:t>
      </w:r>
      <w:proofErr w:type="spellStart"/>
      <w:r w:rsidRPr="008C3009">
        <w:rPr>
          <w:rFonts w:ascii="Arial" w:hAnsi="Arial" w:cs="Arial"/>
          <w:sz w:val="24"/>
          <w:szCs w:val="24"/>
        </w:rPr>
        <w:t>GreenFriednlyEco</w:t>
      </w:r>
      <w:proofErr w:type="spellEnd"/>
      <w:r w:rsidRPr="008C3009">
        <w:rPr>
          <w:rFonts w:ascii="Arial" w:hAnsi="Arial" w:cs="Arial"/>
          <w:sz w:val="24"/>
          <w:szCs w:val="24"/>
        </w:rPr>
        <w:t xml:space="preserve"> could introduce flexible working alongside existing holiday and pension benefits to better meet employee needs.   Another key principle of reward management is ensuring that rewards are fair, equitable, consistent and transparent.  Fairness is important because employees compare their rewards with those of colleagues and assess whether reward decisions are justified.  At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special schemes operate for senior staff only, which employees may see as unfair if the reasons for these additional rewards are not clearly communicated.  This may damage trust and increase turnover.  Therefore, Taylor and Woodhams (2022, p. 63-64) argue that clear and effective communication regarding reward practices and decisions are essential to maintain engagement and commitment.     </w:t>
      </w:r>
    </w:p>
    <w:p w14:paraId="14B38820" w14:textId="336CEEA7" w:rsidR="00946E09" w:rsidRPr="008C3009" w:rsidRDefault="00946E09" w:rsidP="00946E09">
      <w:pPr>
        <w:rPr>
          <w:rFonts w:ascii="Arial" w:hAnsi="Arial" w:cs="Arial"/>
          <w:sz w:val="24"/>
          <w:szCs w:val="24"/>
        </w:rPr>
      </w:pPr>
      <w:r w:rsidRPr="008C3009">
        <w:rPr>
          <w:rFonts w:ascii="Arial" w:hAnsi="Arial" w:cs="Arial"/>
          <w:sz w:val="24"/>
          <w:szCs w:val="24"/>
        </w:rPr>
        <w:t>Rewards strategies help shape organisational culture, by influencing valued behaviours and attitudes.  The CIPD (2025</w:t>
      </w:r>
      <w:r w:rsidR="00DD1336">
        <w:rPr>
          <w:rFonts w:ascii="Arial" w:hAnsi="Arial" w:cs="Arial"/>
          <w:sz w:val="24"/>
          <w:szCs w:val="24"/>
        </w:rPr>
        <w:t>g</w:t>
      </w:r>
      <w:r w:rsidRPr="008C3009">
        <w:rPr>
          <w:rFonts w:ascii="Arial" w:hAnsi="Arial" w:cs="Arial"/>
          <w:sz w:val="24"/>
          <w:szCs w:val="24"/>
        </w:rPr>
        <w:t xml:space="preserve">) states that effective reward packages should support organisation purpose, culture and performance.  At </w:t>
      </w:r>
      <w:proofErr w:type="spellStart"/>
      <w:r w:rsidRPr="008C3009">
        <w:rPr>
          <w:rFonts w:ascii="Arial" w:hAnsi="Arial" w:cs="Arial"/>
          <w:sz w:val="24"/>
          <w:szCs w:val="24"/>
        </w:rPr>
        <w:t>GreenFriendlyEco</w:t>
      </w:r>
      <w:proofErr w:type="spellEnd"/>
      <w:r w:rsidRPr="008C3009">
        <w:rPr>
          <w:rFonts w:ascii="Arial" w:hAnsi="Arial" w:cs="Arial"/>
          <w:sz w:val="24"/>
          <w:szCs w:val="24"/>
        </w:rPr>
        <w:t>, the current lack of incentives and recognition may be contributing to the negative culture identified by the Managing Director.  Introducing reward initiatives could create a more positive culture and motivate staff.</w:t>
      </w:r>
      <w:r w:rsidR="00D35F46">
        <w:rPr>
          <w:rFonts w:ascii="Arial" w:hAnsi="Arial" w:cs="Arial"/>
          <w:sz w:val="24"/>
          <w:szCs w:val="24"/>
        </w:rPr>
        <w:t xml:space="preserve">  </w:t>
      </w:r>
      <w:r w:rsidRPr="008C3009">
        <w:rPr>
          <w:rFonts w:ascii="Arial" w:hAnsi="Arial" w:cs="Arial"/>
          <w:sz w:val="24"/>
          <w:szCs w:val="24"/>
        </w:rPr>
        <w:t>The current measured day work system offers little recognition for high performers, according to a review by CIPD (2022</w:t>
      </w:r>
      <w:r w:rsidR="00C67A4A">
        <w:rPr>
          <w:rFonts w:ascii="Arial" w:hAnsi="Arial" w:cs="Arial"/>
          <w:sz w:val="24"/>
          <w:szCs w:val="24"/>
        </w:rPr>
        <w:t>b</w:t>
      </w:r>
      <w:r w:rsidRPr="008C3009">
        <w:rPr>
          <w:rFonts w:ascii="Arial" w:hAnsi="Arial" w:cs="Arial"/>
          <w:sz w:val="24"/>
          <w:szCs w:val="24"/>
        </w:rPr>
        <w:t xml:space="preserve">) evidence supports this, as it says it helps demonstrate to employees that their contributions are important.  For example, performance-related bonuses linked to productivity could encourage higher performance.  In addition, recognition schemes and development opportunities could reinforce positive behaviour. </w:t>
      </w:r>
    </w:p>
    <w:p w14:paraId="467A0080" w14:textId="77777777" w:rsidR="00946E09" w:rsidRPr="008C3009" w:rsidRDefault="00946E09" w:rsidP="00946E09">
      <w:pPr>
        <w:rPr>
          <w:rFonts w:ascii="Arial" w:hAnsi="Arial" w:cs="Arial"/>
          <w:sz w:val="24"/>
          <w:szCs w:val="24"/>
        </w:rPr>
      </w:pPr>
      <w:r w:rsidRPr="008C3009">
        <w:rPr>
          <w:rFonts w:ascii="Arial" w:hAnsi="Arial" w:cs="Arial"/>
          <w:sz w:val="24"/>
          <w:szCs w:val="24"/>
        </w:rPr>
        <w:t xml:space="preserve">Reward supports motivation and retention.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current reward offering is limited and may be contributing to the negative culture and turnover.  A strategic total reward approach that combines financial and non-financial rewards, while ensuring fairness and transparency, could improve organisation culture and organisation performance.  </w:t>
      </w:r>
    </w:p>
    <w:p w14:paraId="5E7C2E25" w14:textId="77777777" w:rsidR="00946E09" w:rsidRPr="008C3009" w:rsidRDefault="00946E09" w:rsidP="00946E09">
      <w:pPr>
        <w:rPr>
          <w:rFonts w:ascii="Arial" w:hAnsi="Arial" w:cs="Arial"/>
          <w:sz w:val="24"/>
          <w:szCs w:val="24"/>
        </w:rPr>
      </w:pPr>
    </w:p>
    <w:p w14:paraId="154C1B7F" w14:textId="77777777" w:rsidR="00946E09" w:rsidRPr="008C3009" w:rsidRDefault="00946E09" w:rsidP="00946E09">
      <w:pPr>
        <w:rPr>
          <w:rFonts w:ascii="Arial" w:hAnsi="Arial" w:cs="Arial"/>
          <w:sz w:val="24"/>
          <w:szCs w:val="24"/>
        </w:rPr>
      </w:pPr>
    </w:p>
    <w:p w14:paraId="5D032578" w14:textId="77777777" w:rsidR="00946E09" w:rsidRPr="008C3009" w:rsidRDefault="00946E09" w:rsidP="00946E09">
      <w:pPr>
        <w:rPr>
          <w:rFonts w:ascii="Arial" w:hAnsi="Arial" w:cs="Arial"/>
          <w:sz w:val="24"/>
          <w:szCs w:val="24"/>
        </w:rPr>
      </w:pPr>
      <w:r w:rsidRPr="008C3009">
        <w:rPr>
          <w:rFonts w:ascii="Arial" w:hAnsi="Arial" w:cs="Arial"/>
          <w:b/>
          <w:bCs/>
          <w:sz w:val="24"/>
          <w:szCs w:val="24"/>
        </w:rPr>
        <w:lastRenderedPageBreak/>
        <w:t>AC1.2:</w:t>
      </w:r>
      <w:r w:rsidRPr="008C3009">
        <w:rPr>
          <w:rFonts w:ascii="Arial" w:hAnsi="Arial" w:cs="Arial"/>
          <w:sz w:val="24"/>
          <w:szCs w:val="24"/>
        </w:rPr>
        <w:t xml:space="preserve">  Employee performance is influenced by both extrinsic rewards such as pay and benefits and intrinsic rewards such as recognition and development.  Extrinsic rewards can support short-term effort, while intrinsic rewards support long-term engagement.  At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high turnover and low morale suggest the current reward approach is ineffective.  Taylor and Woodhams (2022, p.64) suggest organisations should combine extrinsic and intrinsic rewards, although effectiveness depends on context. </w:t>
      </w:r>
    </w:p>
    <w:p w14:paraId="5CC1593D" w14:textId="78E834CF" w:rsidR="00946E09" w:rsidRPr="008C3009" w:rsidRDefault="00946E09" w:rsidP="00946E09">
      <w:pPr>
        <w:rPr>
          <w:rFonts w:ascii="Arial" w:hAnsi="Arial" w:cs="Arial"/>
          <w:sz w:val="24"/>
          <w:szCs w:val="24"/>
        </w:rPr>
      </w:pPr>
      <w:r w:rsidRPr="008C3009">
        <w:rPr>
          <w:rFonts w:ascii="Arial" w:hAnsi="Arial" w:cs="Arial"/>
          <w:sz w:val="24"/>
          <w:szCs w:val="24"/>
        </w:rPr>
        <w:t xml:space="preserve">At </w:t>
      </w:r>
      <w:proofErr w:type="spellStart"/>
      <w:r w:rsidRPr="008C3009">
        <w:rPr>
          <w:rFonts w:ascii="Arial" w:hAnsi="Arial" w:cs="Arial"/>
          <w:sz w:val="24"/>
          <w:szCs w:val="24"/>
        </w:rPr>
        <w:t>GreenFriendyEco</w:t>
      </w:r>
      <w:proofErr w:type="spellEnd"/>
      <w:r w:rsidRPr="008C3009">
        <w:rPr>
          <w:rFonts w:ascii="Arial" w:hAnsi="Arial" w:cs="Arial"/>
          <w:sz w:val="24"/>
          <w:szCs w:val="24"/>
        </w:rPr>
        <w:t>, the absence of incentive schemes weakens the link between performance and reward, meaning employees on measured day work may not see a connection between effort and outcomes, leading to minimum effort, rather than high performance.  Extrinsic rewards can improve productivity when there is a clear link to bonuses, aligning with Expectancy Theory, which suggests employees are more motivated when efforts lead to valued rewards, Lloyd and Mertens (2018).  The CIPD (2025</w:t>
      </w:r>
      <w:r w:rsidR="00DE31F0">
        <w:rPr>
          <w:rFonts w:ascii="Arial" w:hAnsi="Arial" w:cs="Arial"/>
          <w:sz w:val="24"/>
          <w:szCs w:val="24"/>
        </w:rPr>
        <w:t>a</w:t>
      </w:r>
      <w:r w:rsidRPr="008C3009">
        <w:rPr>
          <w:rFonts w:ascii="Arial" w:hAnsi="Arial" w:cs="Arial"/>
          <w:sz w:val="24"/>
          <w:szCs w:val="24"/>
        </w:rPr>
        <w:t xml:space="preserve">) highlights that bonus schemes are often used to link performance with wider business objectives. Introducing performance-related bonuses could encourage greater employee contribution and support performance.  However, extrinsic rewards may not sustain motivation.  </w:t>
      </w:r>
    </w:p>
    <w:p w14:paraId="0089618A" w14:textId="087BA4DE" w:rsidR="00946E09" w:rsidRPr="008C3009" w:rsidRDefault="00946E09" w:rsidP="00946E09">
      <w:pPr>
        <w:rPr>
          <w:rFonts w:ascii="Arial" w:hAnsi="Arial" w:cs="Arial"/>
          <w:sz w:val="24"/>
          <w:szCs w:val="24"/>
        </w:rPr>
      </w:pPr>
      <w:r w:rsidRPr="008C3009">
        <w:rPr>
          <w:rFonts w:ascii="Arial" w:hAnsi="Arial" w:cs="Arial"/>
          <w:sz w:val="24"/>
          <w:szCs w:val="24"/>
        </w:rPr>
        <w:t>Equity Theory suggests employees compare their rewards with others, so special schemes for senior staff may be seen as unfair, contributing to low morale and turnover.  However, the CIPD (2025</w:t>
      </w:r>
      <w:r w:rsidR="00B93716">
        <w:rPr>
          <w:rFonts w:ascii="Arial" w:hAnsi="Arial" w:cs="Arial"/>
          <w:sz w:val="24"/>
          <w:szCs w:val="24"/>
        </w:rPr>
        <w:t>a</w:t>
      </w:r>
      <w:r w:rsidRPr="008C3009">
        <w:rPr>
          <w:rFonts w:ascii="Arial" w:hAnsi="Arial" w:cs="Arial"/>
          <w:sz w:val="24"/>
          <w:szCs w:val="24"/>
        </w:rPr>
        <w:t xml:space="preserve">) notes that financial incentives have limitations, as over-reliance on them can create short-term focus and may not sustain motivation.  If used in isolation, motivation may decline once rewards become expected.   </w:t>
      </w:r>
    </w:p>
    <w:p w14:paraId="316F9F95" w14:textId="33463486" w:rsidR="00946E09" w:rsidRPr="008C3009" w:rsidRDefault="00946E09" w:rsidP="00946E09">
      <w:pPr>
        <w:rPr>
          <w:rFonts w:ascii="Arial" w:hAnsi="Arial" w:cs="Arial"/>
          <w:sz w:val="24"/>
          <w:szCs w:val="24"/>
        </w:rPr>
      </w:pPr>
      <w:r w:rsidRPr="008C3009">
        <w:rPr>
          <w:rFonts w:ascii="Arial" w:hAnsi="Arial" w:cs="Arial"/>
          <w:sz w:val="24"/>
          <w:szCs w:val="24"/>
        </w:rPr>
        <w:t>Intrinsic rewards are psychological benefits gained from meaningful work and align with intrinsic motivation, defined as the desire “to do a good job”, CIPD (20</w:t>
      </w:r>
      <w:r w:rsidR="002A1B31">
        <w:rPr>
          <w:rFonts w:ascii="Arial" w:hAnsi="Arial" w:cs="Arial"/>
          <w:sz w:val="24"/>
          <w:szCs w:val="24"/>
        </w:rPr>
        <w:t>15</w:t>
      </w:r>
      <w:r w:rsidRPr="008C3009">
        <w:rPr>
          <w:rFonts w:ascii="Arial" w:hAnsi="Arial" w:cs="Arial"/>
          <w:sz w:val="24"/>
          <w:szCs w:val="24"/>
        </w:rPr>
        <w:t xml:space="preserve">, p16-17).  Herzberg’s Two-Factor Theory suggests that motivators such as recognition and career opportunities support job satisfaction and long-term motivation.  Taylor and Woodham (2022, p.76) highlight that recognising positive contributions and encouraging teamwork through thoughtful job design can increase employees’ sense of achievement. At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the lack of recognition and development opportunities may reduce commitment and engagement.  While financial rewards can improve short-term effort, recognition programmes, training and clear career pathways are more likely to improve engagement.  This is supported by Hajduk (2017) who argues that “money alone is no longer a motivator” highlighting the importance of purpose, recognition and personal development in retaining and motivating employees over a longer term.  To sustain performance,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should ensure employees feel recognised and have development opportunities. </w:t>
      </w:r>
    </w:p>
    <w:p w14:paraId="130742E0" w14:textId="77777777" w:rsidR="00946E09" w:rsidRPr="008C3009" w:rsidRDefault="00946E09" w:rsidP="00946E09">
      <w:pPr>
        <w:spacing w:before="100" w:beforeAutospacing="1" w:after="100" w:afterAutospacing="1" w:line="240" w:lineRule="auto"/>
        <w:rPr>
          <w:rFonts w:ascii="Arial" w:eastAsia="Times New Roman" w:hAnsi="Arial" w:cs="Arial"/>
          <w:sz w:val="24"/>
          <w:szCs w:val="24"/>
          <w:lang w:eastAsia="en-GB"/>
        </w:rPr>
      </w:pPr>
      <w:r w:rsidRPr="008C3009">
        <w:rPr>
          <w:rFonts w:ascii="Arial" w:eastAsia="Times New Roman" w:hAnsi="Arial" w:cs="Arial"/>
          <w:sz w:val="24"/>
          <w:szCs w:val="24"/>
          <w:lang w:eastAsia="en-GB"/>
        </w:rPr>
        <w:t xml:space="preserve">In summary, extrinsic rewards can improve short-term performance, while intrinsic rewards are more effective for long term motivation and commitment.  At </w:t>
      </w:r>
      <w:proofErr w:type="spellStart"/>
      <w:r w:rsidRPr="008C3009">
        <w:rPr>
          <w:rFonts w:ascii="Arial" w:eastAsia="Times New Roman" w:hAnsi="Arial" w:cs="Arial"/>
          <w:sz w:val="24"/>
          <w:szCs w:val="24"/>
          <w:lang w:eastAsia="en-GB"/>
        </w:rPr>
        <w:t>GreenFriendlyEco</w:t>
      </w:r>
      <w:proofErr w:type="spellEnd"/>
      <w:r w:rsidRPr="008C3009">
        <w:rPr>
          <w:rFonts w:ascii="Arial" w:eastAsia="Times New Roman" w:hAnsi="Arial" w:cs="Arial"/>
          <w:sz w:val="24"/>
          <w:szCs w:val="24"/>
          <w:lang w:eastAsia="en-GB"/>
        </w:rPr>
        <w:t xml:space="preserve">, reward practices favouring senior staff are likely contributing to turnover and low morale.  A blended approach would improve performance and morale.  </w:t>
      </w:r>
    </w:p>
    <w:p w14:paraId="35DA4B30" w14:textId="76A0D48E" w:rsidR="00946E09" w:rsidRPr="008C3009" w:rsidRDefault="00946E09" w:rsidP="00946E09">
      <w:pPr>
        <w:spacing w:before="100" w:beforeAutospacing="1" w:after="100" w:afterAutospacing="1" w:line="240" w:lineRule="auto"/>
        <w:rPr>
          <w:rFonts w:ascii="Arial" w:eastAsia="Times New Roman" w:hAnsi="Arial" w:cs="Arial"/>
          <w:sz w:val="24"/>
          <w:szCs w:val="24"/>
          <w:lang w:eastAsia="en-GB"/>
        </w:rPr>
      </w:pPr>
      <w:r w:rsidRPr="009C1817">
        <w:rPr>
          <w:rFonts w:ascii="Arial" w:eastAsia="Times New Roman" w:hAnsi="Arial" w:cs="Arial"/>
          <w:b/>
          <w:bCs/>
          <w:sz w:val="24"/>
          <w:szCs w:val="24"/>
          <w:lang w:eastAsia="en-GB"/>
        </w:rPr>
        <w:lastRenderedPageBreak/>
        <w:t>AC-2.1:</w:t>
      </w:r>
      <w:r w:rsidRPr="008C3009">
        <w:rPr>
          <w:rFonts w:ascii="Arial" w:eastAsia="Times New Roman" w:hAnsi="Arial" w:cs="Arial"/>
          <w:sz w:val="24"/>
          <w:szCs w:val="24"/>
          <w:lang w:eastAsia="en-GB"/>
        </w:rPr>
        <w:t xml:space="preserve"> Grade and Pay structures provide the framework through which organisations establish fair and consistent employee pay.  Understanding these structures helps </w:t>
      </w:r>
      <w:proofErr w:type="spellStart"/>
      <w:r w:rsidRPr="008C3009">
        <w:rPr>
          <w:rFonts w:ascii="Arial" w:eastAsia="Times New Roman" w:hAnsi="Arial" w:cs="Arial"/>
          <w:sz w:val="24"/>
          <w:szCs w:val="24"/>
          <w:lang w:eastAsia="en-GB"/>
        </w:rPr>
        <w:t>GreenFriendlyEco</w:t>
      </w:r>
      <w:proofErr w:type="spellEnd"/>
      <w:r w:rsidRPr="008C3009">
        <w:rPr>
          <w:rFonts w:ascii="Arial" w:eastAsia="Times New Roman" w:hAnsi="Arial" w:cs="Arial"/>
          <w:sz w:val="24"/>
          <w:szCs w:val="24"/>
          <w:lang w:eastAsia="en-GB"/>
        </w:rPr>
        <w:t xml:space="preserve"> recognise how its current approach may contribute to low morale and turnover.  In line with Armstrong and Brown (2019, P.175) guiding principles, effective pay structures should support equity, fairness, consistency and transparency, while enabling flexibility and development.</w:t>
      </w:r>
    </w:p>
    <w:p w14:paraId="12833F31" w14:textId="622875D3" w:rsidR="00946E09" w:rsidRPr="008C3009" w:rsidRDefault="00946E09" w:rsidP="00946E09">
      <w:pPr>
        <w:spacing w:before="100" w:beforeAutospacing="1" w:after="100" w:afterAutospacing="1" w:line="240" w:lineRule="auto"/>
        <w:rPr>
          <w:rFonts w:ascii="Arial" w:eastAsia="Times New Roman" w:hAnsi="Arial" w:cs="Arial"/>
          <w:sz w:val="24"/>
          <w:szCs w:val="24"/>
          <w:lang w:eastAsia="en-GB"/>
        </w:rPr>
      </w:pPr>
      <w:r w:rsidRPr="008C3009">
        <w:rPr>
          <w:rFonts w:ascii="Arial" w:eastAsia="Times New Roman" w:hAnsi="Arial" w:cs="Arial"/>
          <w:sz w:val="24"/>
          <w:szCs w:val="24"/>
          <w:lang w:eastAsia="en-GB"/>
        </w:rPr>
        <w:t>Formal pay structures provide a clear and consistent framework for managing pay.  A multi-graded structure consists of narrow grades with pay ranges, allowing clear progression and transparency.</w:t>
      </w:r>
      <w:r w:rsidR="00D911AE">
        <w:rPr>
          <w:rFonts w:ascii="Arial" w:eastAsia="Times New Roman" w:hAnsi="Arial" w:cs="Arial"/>
          <w:sz w:val="24"/>
          <w:szCs w:val="24"/>
          <w:lang w:eastAsia="en-GB"/>
        </w:rPr>
        <w:t xml:space="preserve">  </w:t>
      </w:r>
      <w:r w:rsidRPr="008C3009">
        <w:rPr>
          <w:rFonts w:ascii="Arial" w:eastAsia="Times New Roman" w:hAnsi="Arial" w:cs="Arial"/>
          <w:sz w:val="24"/>
          <w:szCs w:val="24"/>
          <w:lang w:eastAsia="en-GB"/>
        </w:rPr>
        <w:t xml:space="preserve">Armstrong and Brown (2019, P.177) suggest that employees value the transparency and clear progression opportunities offered by this approach, while employers benefit from tighter cost control.  However, progression often depends on promotion to a higher rate, which may limit development opportunities for employees at </w:t>
      </w:r>
      <w:proofErr w:type="spellStart"/>
      <w:r w:rsidRPr="008C3009">
        <w:rPr>
          <w:rFonts w:ascii="Arial" w:eastAsia="Times New Roman" w:hAnsi="Arial" w:cs="Arial"/>
          <w:sz w:val="24"/>
          <w:szCs w:val="24"/>
          <w:lang w:eastAsia="en-GB"/>
        </w:rPr>
        <w:t>GreenFriendlyEco</w:t>
      </w:r>
      <w:proofErr w:type="spellEnd"/>
      <w:r w:rsidRPr="008C3009">
        <w:rPr>
          <w:rFonts w:ascii="Arial" w:eastAsia="Times New Roman" w:hAnsi="Arial" w:cs="Arial"/>
          <w:sz w:val="24"/>
          <w:szCs w:val="24"/>
          <w:lang w:eastAsia="en-GB"/>
        </w:rPr>
        <w:t>, who already feel the</w:t>
      </w:r>
      <w:r w:rsidR="0033226F">
        <w:rPr>
          <w:rFonts w:ascii="Arial" w:eastAsia="Times New Roman" w:hAnsi="Arial" w:cs="Arial"/>
          <w:sz w:val="24"/>
          <w:szCs w:val="24"/>
          <w:lang w:eastAsia="en-GB"/>
        </w:rPr>
        <w:t>y</w:t>
      </w:r>
      <w:r w:rsidRPr="008C3009">
        <w:rPr>
          <w:rFonts w:ascii="Arial" w:eastAsia="Times New Roman" w:hAnsi="Arial" w:cs="Arial"/>
          <w:sz w:val="24"/>
          <w:szCs w:val="24"/>
          <w:lang w:eastAsia="en-GB"/>
        </w:rPr>
        <w:t xml:space="preserve"> are limited opportunities for advancement.  Broad-graded structures reduce the number of grades while widening the pay range within each grade.  This allows flexibility to reward development and performance without promotion.  Compared with multi-graded structures, broad-graded structures reduce complexity and support career development.  For </w:t>
      </w:r>
      <w:proofErr w:type="spellStart"/>
      <w:r w:rsidRPr="008C3009">
        <w:rPr>
          <w:rFonts w:ascii="Arial" w:eastAsia="Times New Roman" w:hAnsi="Arial" w:cs="Arial"/>
          <w:sz w:val="24"/>
          <w:szCs w:val="24"/>
          <w:lang w:eastAsia="en-GB"/>
        </w:rPr>
        <w:t>GreenFriedndlyEco</w:t>
      </w:r>
      <w:proofErr w:type="spellEnd"/>
      <w:r w:rsidRPr="008C3009">
        <w:rPr>
          <w:rFonts w:ascii="Arial" w:eastAsia="Times New Roman" w:hAnsi="Arial" w:cs="Arial"/>
          <w:sz w:val="24"/>
          <w:szCs w:val="24"/>
          <w:lang w:eastAsia="en-GB"/>
        </w:rPr>
        <w:t>, this could help improve motivation by recognising skills and contribution more effectively.</w:t>
      </w:r>
      <w:r w:rsidR="00C13102">
        <w:rPr>
          <w:rFonts w:ascii="Arial" w:eastAsia="Times New Roman" w:hAnsi="Arial" w:cs="Arial"/>
          <w:sz w:val="24"/>
          <w:szCs w:val="24"/>
          <w:lang w:eastAsia="en-GB"/>
        </w:rPr>
        <w:t xml:space="preserve">  </w:t>
      </w:r>
      <w:r w:rsidRPr="008C3009">
        <w:rPr>
          <w:rFonts w:ascii="Arial" w:eastAsia="Times New Roman" w:hAnsi="Arial" w:cs="Arial"/>
          <w:sz w:val="24"/>
          <w:szCs w:val="24"/>
          <w:lang w:eastAsia="en-GB"/>
        </w:rPr>
        <w:t xml:space="preserve">Broad-banded structures use a small number of wide pay bands. These structures offer the greatest flexibility, and organisations respond to labour market conditions. However, unlike multi-graded and broad-graded structures, broad bands require strong governance and clear pay policies to ensure consistency and fairness. Without these controls, pay inconsistencies can arise.  </w:t>
      </w:r>
    </w:p>
    <w:p w14:paraId="501BEA9B" w14:textId="6B523CBF" w:rsidR="00946E09" w:rsidRPr="008C3009" w:rsidRDefault="00946E09" w:rsidP="00946E09">
      <w:pPr>
        <w:spacing w:before="100" w:beforeAutospacing="1" w:after="100" w:afterAutospacing="1" w:line="240" w:lineRule="auto"/>
        <w:rPr>
          <w:rFonts w:ascii="Arial" w:eastAsia="Times New Roman" w:hAnsi="Arial" w:cs="Arial"/>
          <w:sz w:val="24"/>
          <w:szCs w:val="24"/>
          <w:lang w:eastAsia="en-GB"/>
        </w:rPr>
      </w:pPr>
      <w:r w:rsidRPr="008C3009">
        <w:rPr>
          <w:rFonts w:ascii="Arial" w:eastAsia="Times New Roman" w:hAnsi="Arial" w:cs="Arial"/>
          <w:sz w:val="24"/>
          <w:szCs w:val="24"/>
          <w:lang w:eastAsia="en-GB"/>
        </w:rPr>
        <w:t>Informal pay structures include spot-rates, which are fixed rates of pay rather than pay ranges.  Often used where jobs are standardised and pay is negotiated through trade unions CIPD (2025</w:t>
      </w:r>
      <w:r w:rsidR="00D359CE">
        <w:rPr>
          <w:rFonts w:ascii="Arial" w:eastAsia="Times New Roman" w:hAnsi="Arial" w:cs="Arial"/>
          <w:sz w:val="24"/>
          <w:szCs w:val="24"/>
          <w:lang w:eastAsia="en-GB"/>
        </w:rPr>
        <w:t>d</w:t>
      </w:r>
      <w:r w:rsidRPr="008C3009">
        <w:rPr>
          <w:rFonts w:ascii="Arial" w:eastAsia="Times New Roman" w:hAnsi="Arial" w:cs="Arial"/>
          <w:sz w:val="24"/>
          <w:szCs w:val="24"/>
          <w:lang w:eastAsia="en-GB"/>
        </w:rPr>
        <w:t>). The Department for Business, Innovation and Skills (2013) found that spot rates can support consistency, transparency and cost control.  However, limited progression m</w:t>
      </w:r>
      <w:r w:rsidR="004A30BF">
        <w:rPr>
          <w:rFonts w:ascii="Arial" w:eastAsia="Times New Roman" w:hAnsi="Arial" w:cs="Arial"/>
          <w:sz w:val="24"/>
          <w:szCs w:val="24"/>
          <w:lang w:eastAsia="en-GB"/>
        </w:rPr>
        <w:t>eans</w:t>
      </w:r>
      <w:r w:rsidRPr="008C3009">
        <w:rPr>
          <w:rFonts w:ascii="Arial" w:eastAsia="Times New Roman" w:hAnsi="Arial" w:cs="Arial"/>
          <w:sz w:val="24"/>
          <w:szCs w:val="24"/>
          <w:lang w:eastAsia="en-GB"/>
        </w:rPr>
        <w:t xml:space="preserve"> </w:t>
      </w:r>
      <w:r w:rsidR="00041BBF">
        <w:rPr>
          <w:rFonts w:ascii="Arial" w:eastAsia="Times New Roman" w:hAnsi="Arial" w:cs="Arial"/>
          <w:sz w:val="24"/>
          <w:szCs w:val="24"/>
          <w:lang w:eastAsia="en-GB"/>
        </w:rPr>
        <w:t xml:space="preserve">that </w:t>
      </w:r>
      <w:r w:rsidRPr="008C3009">
        <w:rPr>
          <w:rFonts w:ascii="Arial" w:eastAsia="Times New Roman" w:hAnsi="Arial" w:cs="Arial"/>
          <w:sz w:val="24"/>
          <w:szCs w:val="24"/>
          <w:lang w:eastAsia="en-GB"/>
        </w:rPr>
        <w:t xml:space="preserve">this approach may not address </w:t>
      </w:r>
      <w:proofErr w:type="spellStart"/>
      <w:r w:rsidRPr="008C3009">
        <w:rPr>
          <w:rFonts w:ascii="Arial" w:eastAsia="Times New Roman" w:hAnsi="Arial" w:cs="Arial"/>
          <w:sz w:val="24"/>
          <w:szCs w:val="24"/>
          <w:lang w:eastAsia="en-GB"/>
        </w:rPr>
        <w:t>GreenFriendlyEco’s</w:t>
      </w:r>
      <w:proofErr w:type="spellEnd"/>
      <w:r w:rsidRPr="008C3009">
        <w:rPr>
          <w:rFonts w:ascii="Arial" w:eastAsia="Times New Roman" w:hAnsi="Arial" w:cs="Arial"/>
          <w:sz w:val="24"/>
          <w:szCs w:val="24"/>
          <w:lang w:eastAsia="en-GB"/>
        </w:rPr>
        <w:t xml:space="preserve"> concerns about motivation and career development.   </w:t>
      </w:r>
    </w:p>
    <w:p w14:paraId="5A0411CD" w14:textId="76536015" w:rsidR="00946E09" w:rsidRPr="008C3009" w:rsidRDefault="00946E09" w:rsidP="00946E09">
      <w:pPr>
        <w:spacing w:before="100" w:beforeAutospacing="1" w:after="100" w:afterAutospacing="1" w:line="240" w:lineRule="auto"/>
        <w:rPr>
          <w:rFonts w:ascii="Arial" w:eastAsia="Times New Roman" w:hAnsi="Arial" w:cs="Arial"/>
          <w:sz w:val="24"/>
          <w:szCs w:val="24"/>
          <w:lang w:eastAsia="en-GB"/>
        </w:rPr>
      </w:pPr>
      <w:r w:rsidRPr="008C3009">
        <w:rPr>
          <w:rFonts w:ascii="Arial" w:eastAsia="Times New Roman" w:hAnsi="Arial" w:cs="Arial"/>
          <w:sz w:val="24"/>
          <w:szCs w:val="24"/>
          <w:lang w:eastAsia="en-GB"/>
        </w:rPr>
        <w:t xml:space="preserve">Individual job grades provide a separate grade and pay range for specific jobs based on market value and organisational requirements.  Unlike spot rates, employees progress within the range as they gain experience and skills.  Market benchmarking and economic indicators, such as inflation data published by the Bank of England, can help ensure pay remains competitive.  For </w:t>
      </w:r>
      <w:proofErr w:type="spellStart"/>
      <w:r w:rsidRPr="008C3009">
        <w:rPr>
          <w:rFonts w:ascii="Arial" w:eastAsia="Times New Roman" w:hAnsi="Arial" w:cs="Arial"/>
          <w:sz w:val="24"/>
          <w:szCs w:val="24"/>
          <w:lang w:eastAsia="en-GB"/>
        </w:rPr>
        <w:t>GreenFriendlyEco</w:t>
      </w:r>
      <w:proofErr w:type="spellEnd"/>
      <w:r w:rsidRPr="008C3009">
        <w:rPr>
          <w:rFonts w:ascii="Arial" w:eastAsia="Times New Roman" w:hAnsi="Arial" w:cs="Arial"/>
          <w:sz w:val="24"/>
          <w:szCs w:val="24"/>
          <w:lang w:eastAsia="en-GB"/>
        </w:rPr>
        <w:t xml:space="preserve">, this could support retention by keeping salaries aligned with labour market conditions. </w:t>
      </w:r>
    </w:p>
    <w:p w14:paraId="692BC8FA" w14:textId="77777777" w:rsidR="00946E09" w:rsidRPr="008C3009" w:rsidRDefault="00946E09" w:rsidP="00946E09">
      <w:pPr>
        <w:spacing w:before="100" w:beforeAutospacing="1" w:after="100" w:afterAutospacing="1" w:line="240" w:lineRule="auto"/>
        <w:rPr>
          <w:rFonts w:ascii="Arial" w:eastAsia="Times New Roman" w:hAnsi="Arial" w:cs="Arial"/>
          <w:sz w:val="24"/>
          <w:szCs w:val="24"/>
          <w:lang w:eastAsia="en-GB"/>
        </w:rPr>
      </w:pPr>
      <w:r w:rsidRPr="008C3009">
        <w:rPr>
          <w:rFonts w:ascii="Arial" w:eastAsia="Times New Roman" w:hAnsi="Arial" w:cs="Arial"/>
          <w:sz w:val="24"/>
          <w:szCs w:val="24"/>
          <w:lang w:eastAsia="en-GB"/>
        </w:rPr>
        <w:t xml:space="preserve">Grade and pay structures differ in flexibility, transparency, progression and cost control.  Given </w:t>
      </w:r>
      <w:proofErr w:type="spellStart"/>
      <w:r w:rsidRPr="008C3009">
        <w:rPr>
          <w:rFonts w:ascii="Arial" w:eastAsia="Times New Roman" w:hAnsi="Arial" w:cs="Arial"/>
          <w:sz w:val="24"/>
          <w:szCs w:val="24"/>
          <w:lang w:eastAsia="en-GB"/>
        </w:rPr>
        <w:t>GreenFriendlyEco</w:t>
      </w:r>
      <w:proofErr w:type="spellEnd"/>
      <w:r w:rsidRPr="008C3009">
        <w:rPr>
          <w:rFonts w:ascii="Arial" w:eastAsia="Times New Roman" w:hAnsi="Arial" w:cs="Arial"/>
          <w:sz w:val="24"/>
          <w:szCs w:val="24"/>
          <w:lang w:eastAsia="en-GB"/>
        </w:rPr>
        <w:t xml:space="preserve"> retention, morale and development challenges, a broad-graded structure may provide a better balance of flexibility and progression than the current approach.  </w:t>
      </w:r>
    </w:p>
    <w:p w14:paraId="2F428900" w14:textId="77777777" w:rsidR="00946E09" w:rsidRPr="008C3009" w:rsidRDefault="00946E09" w:rsidP="00946E09">
      <w:pPr>
        <w:rPr>
          <w:rFonts w:ascii="Arial" w:hAnsi="Arial" w:cs="Arial"/>
          <w:sz w:val="24"/>
          <w:szCs w:val="24"/>
        </w:rPr>
      </w:pPr>
    </w:p>
    <w:p w14:paraId="268E8AFC" w14:textId="77777777" w:rsidR="00946E09" w:rsidRPr="008C3009" w:rsidRDefault="00946E09" w:rsidP="00946E09">
      <w:pPr>
        <w:rPr>
          <w:rFonts w:ascii="Arial" w:hAnsi="Arial" w:cs="Arial"/>
          <w:sz w:val="24"/>
          <w:szCs w:val="24"/>
        </w:rPr>
      </w:pPr>
    </w:p>
    <w:p w14:paraId="647DF77C" w14:textId="77777777" w:rsidR="00946E09" w:rsidRPr="008C3009" w:rsidRDefault="00946E09" w:rsidP="00946E09">
      <w:pPr>
        <w:rPr>
          <w:rFonts w:ascii="Arial" w:hAnsi="Arial" w:cs="Arial"/>
          <w:sz w:val="24"/>
          <w:szCs w:val="24"/>
        </w:rPr>
      </w:pPr>
    </w:p>
    <w:p w14:paraId="51B36D2D" w14:textId="189D4572" w:rsidR="00946E09" w:rsidRPr="008C3009" w:rsidRDefault="00946E09" w:rsidP="00946E09">
      <w:pPr>
        <w:rPr>
          <w:rFonts w:ascii="Arial" w:hAnsi="Arial" w:cs="Arial"/>
          <w:sz w:val="24"/>
          <w:szCs w:val="24"/>
        </w:rPr>
      </w:pPr>
      <w:r w:rsidRPr="008C3009">
        <w:rPr>
          <w:rFonts w:ascii="Arial" w:hAnsi="Arial" w:cs="Arial"/>
          <w:b/>
          <w:bCs/>
          <w:sz w:val="24"/>
          <w:szCs w:val="24"/>
        </w:rPr>
        <w:lastRenderedPageBreak/>
        <w:t>AC-2.2:</w:t>
      </w:r>
      <w:r w:rsidRPr="008C3009">
        <w:rPr>
          <w:rFonts w:ascii="Arial" w:hAnsi="Arial" w:cs="Arial"/>
          <w:sz w:val="24"/>
          <w:szCs w:val="24"/>
        </w:rPr>
        <w:t xml:space="preserve">  Contingent rewards are reward systems linked to employee performance in exchange for financial rewards.  Unlike </w:t>
      </w:r>
      <w:proofErr w:type="spellStart"/>
      <w:r w:rsidRPr="008C3009">
        <w:rPr>
          <w:rFonts w:ascii="Arial" w:hAnsi="Arial" w:cs="Arial"/>
          <w:sz w:val="24"/>
          <w:szCs w:val="24"/>
        </w:rPr>
        <w:t>GreenFriendlyEco’s</w:t>
      </w:r>
      <w:proofErr w:type="spellEnd"/>
      <w:r w:rsidRPr="008C3009">
        <w:rPr>
          <w:rFonts w:ascii="Arial" w:hAnsi="Arial" w:cs="Arial"/>
          <w:sz w:val="24"/>
          <w:szCs w:val="24"/>
        </w:rPr>
        <w:t xml:space="preserve"> current measured day work system, they reward employees for achieving performance standards or competency levels. </w:t>
      </w:r>
    </w:p>
    <w:p w14:paraId="6B70330F" w14:textId="1E0D4FC8" w:rsidR="00946E09" w:rsidRPr="008C3009" w:rsidRDefault="00946E09" w:rsidP="00946E09">
      <w:pPr>
        <w:rPr>
          <w:rFonts w:ascii="Arial" w:hAnsi="Arial" w:cs="Arial"/>
          <w:sz w:val="24"/>
          <w:szCs w:val="24"/>
        </w:rPr>
      </w:pPr>
      <w:r w:rsidRPr="008C3009">
        <w:rPr>
          <w:rFonts w:ascii="Arial" w:hAnsi="Arial" w:cs="Arial"/>
          <w:sz w:val="24"/>
          <w:szCs w:val="24"/>
        </w:rPr>
        <w:t>Performance-related-pay is a form of contingent reward that links pay rises, bonuses or incentives to agreed performance standards.  The CIPD (2025</w:t>
      </w:r>
      <w:r w:rsidR="00486BE5">
        <w:rPr>
          <w:rFonts w:ascii="Arial" w:hAnsi="Arial" w:cs="Arial"/>
          <w:sz w:val="24"/>
          <w:szCs w:val="24"/>
        </w:rPr>
        <w:t>f</w:t>
      </w:r>
      <w:r w:rsidRPr="008C3009">
        <w:rPr>
          <w:rFonts w:ascii="Arial" w:hAnsi="Arial" w:cs="Arial"/>
          <w:sz w:val="24"/>
          <w:szCs w:val="24"/>
        </w:rPr>
        <w:t>) states that performance-related-pay can motivate employees by creating a clear connection between performance and reward, helping to build a high-performance culture.  The CIPD (2025</w:t>
      </w:r>
      <w:r w:rsidR="00A04B1B">
        <w:rPr>
          <w:rFonts w:ascii="Arial" w:hAnsi="Arial" w:cs="Arial"/>
          <w:sz w:val="24"/>
          <w:szCs w:val="24"/>
        </w:rPr>
        <w:t>b</w:t>
      </w:r>
      <w:r w:rsidRPr="008C3009">
        <w:rPr>
          <w:rFonts w:ascii="Arial" w:hAnsi="Arial" w:cs="Arial"/>
          <w:sz w:val="24"/>
          <w:szCs w:val="24"/>
        </w:rPr>
        <w:t xml:space="preserve">) notes that rewarding higher achievement can encourage improved effort.  For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this could encourage employees to increase productivity and help address turnover.  However, a sole focus on individual performance may damage teamwork and knowledge sharing. </w:t>
      </w:r>
    </w:p>
    <w:p w14:paraId="4A63ACE0" w14:textId="77777777" w:rsidR="00946E09" w:rsidRPr="008C3009" w:rsidRDefault="00946E09" w:rsidP="00946E09">
      <w:pPr>
        <w:spacing w:before="100" w:beforeAutospacing="1" w:after="100" w:afterAutospacing="1" w:line="240" w:lineRule="auto"/>
        <w:rPr>
          <w:rFonts w:ascii="Arial" w:eastAsia="Times New Roman" w:hAnsi="Arial" w:cs="Arial"/>
          <w:sz w:val="24"/>
          <w:szCs w:val="24"/>
          <w:lang w:eastAsia="en-GB"/>
        </w:rPr>
      </w:pPr>
      <w:r w:rsidRPr="008C3009">
        <w:rPr>
          <w:rFonts w:ascii="Arial" w:eastAsia="Times New Roman" w:hAnsi="Arial" w:cs="Arial"/>
          <w:sz w:val="24"/>
          <w:szCs w:val="24"/>
          <w:lang w:eastAsia="en-GB"/>
        </w:rPr>
        <w:t xml:space="preserve">When rewards are linked to team objectives, employees may collaborate more, share knowledge and support collectives’ goals.  </w:t>
      </w:r>
      <w:proofErr w:type="spellStart"/>
      <w:r w:rsidRPr="008C3009">
        <w:rPr>
          <w:rFonts w:ascii="Arial" w:eastAsia="Times New Roman" w:hAnsi="Arial" w:cs="Arial"/>
          <w:sz w:val="24"/>
          <w:szCs w:val="24"/>
          <w:lang w:eastAsia="en-GB"/>
        </w:rPr>
        <w:t>GreenFriendlyEco</w:t>
      </w:r>
      <w:proofErr w:type="spellEnd"/>
      <w:r w:rsidRPr="008C3009">
        <w:rPr>
          <w:rFonts w:ascii="Arial" w:eastAsia="Times New Roman" w:hAnsi="Arial" w:cs="Arial"/>
          <w:sz w:val="24"/>
          <w:szCs w:val="24"/>
          <w:lang w:eastAsia="en-GB"/>
        </w:rPr>
        <w:t xml:space="preserve"> could introduce team-based incentives linked to production targets.  </w:t>
      </w:r>
    </w:p>
    <w:p w14:paraId="6CEBF2E7" w14:textId="45422108" w:rsidR="00946E09" w:rsidRPr="008C3009" w:rsidRDefault="00946E09" w:rsidP="00946E09">
      <w:pPr>
        <w:spacing w:before="100" w:beforeAutospacing="1" w:after="100" w:afterAutospacing="1" w:line="240" w:lineRule="auto"/>
        <w:rPr>
          <w:rFonts w:ascii="Arial" w:eastAsia="Times New Roman" w:hAnsi="Arial" w:cs="Arial"/>
          <w:sz w:val="24"/>
          <w:szCs w:val="24"/>
          <w:lang w:eastAsia="en-GB"/>
        </w:rPr>
      </w:pPr>
      <w:r w:rsidRPr="008C3009">
        <w:rPr>
          <w:rFonts w:ascii="Arial" w:eastAsia="Times New Roman" w:hAnsi="Arial" w:cs="Arial"/>
          <w:sz w:val="24"/>
          <w:szCs w:val="24"/>
          <w:lang w:eastAsia="en-GB"/>
        </w:rPr>
        <w:t>Performance-related-pay can align behaviours with business goals by rewarding productivity, quality and efficiency.  However, ACAS (2023) emphasises the need for fair, objective performance measures.  If employees view the targets as biased or unrealistic, motivation may fall and turnover may rise.  The CIPD (2025</w:t>
      </w:r>
      <w:r w:rsidR="00AC4FE0">
        <w:rPr>
          <w:rFonts w:ascii="Arial" w:eastAsia="Times New Roman" w:hAnsi="Arial" w:cs="Arial"/>
          <w:sz w:val="24"/>
          <w:szCs w:val="24"/>
          <w:lang w:eastAsia="en-GB"/>
        </w:rPr>
        <w:t>f</w:t>
      </w:r>
      <w:r w:rsidRPr="008C3009">
        <w:rPr>
          <w:rFonts w:ascii="Arial" w:eastAsia="Times New Roman" w:hAnsi="Arial" w:cs="Arial"/>
          <w:sz w:val="24"/>
          <w:szCs w:val="24"/>
          <w:lang w:eastAsia="en-GB"/>
        </w:rPr>
        <w:t xml:space="preserve">) also highlights that performance management can be time consuming and influenced by managerial judgment, creating risks of bias and inconsistency.  Organisations must ensure managers engage properly in the process. </w:t>
      </w:r>
    </w:p>
    <w:p w14:paraId="32D2667B" w14:textId="14FA1630" w:rsidR="00946E09" w:rsidRPr="008C3009" w:rsidRDefault="00946E09" w:rsidP="00946E09">
      <w:pPr>
        <w:spacing w:before="100" w:beforeAutospacing="1" w:after="100" w:afterAutospacing="1" w:line="240" w:lineRule="auto"/>
        <w:rPr>
          <w:rFonts w:ascii="Arial" w:eastAsia="Times New Roman" w:hAnsi="Arial" w:cs="Arial"/>
          <w:sz w:val="24"/>
          <w:szCs w:val="24"/>
          <w:lang w:eastAsia="en-GB"/>
        </w:rPr>
      </w:pPr>
      <w:r w:rsidRPr="008C3009">
        <w:rPr>
          <w:rFonts w:ascii="Arial" w:eastAsia="Times New Roman" w:hAnsi="Arial" w:cs="Arial"/>
          <w:sz w:val="24"/>
          <w:szCs w:val="24"/>
          <w:lang w:eastAsia="en-GB"/>
        </w:rPr>
        <w:t>Another example of a contingent rewards is a competency-based reward framework, which links reward to demonstration of specific skills, knowledge and behaviours rather than solely to the achievement of performance targets.  The CIPD (2025</w:t>
      </w:r>
      <w:r w:rsidR="00AC4FE0">
        <w:rPr>
          <w:rFonts w:ascii="Arial" w:eastAsia="Times New Roman" w:hAnsi="Arial" w:cs="Arial"/>
          <w:sz w:val="24"/>
          <w:szCs w:val="24"/>
          <w:lang w:eastAsia="en-GB"/>
        </w:rPr>
        <w:t>b</w:t>
      </w:r>
      <w:r w:rsidRPr="008C3009">
        <w:rPr>
          <w:rFonts w:ascii="Arial" w:eastAsia="Times New Roman" w:hAnsi="Arial" w:cs="Arial"/>
          <w:sz w:val="24"/>
          <w:szCs w:val="24"/>
          <w:lang w:eastAsia="en-GB"/>
        </w:rPr>
        <w:t xml:space="preserve">) states that, when implemented effectively, competency frameworks can increase clarity around performance expectations </w:t>
      </w:r>
    </w:p>
    <w:p w14:paraId="4CB23926" w14:textId="77777777" w:rsidR="00946E09" w:rsidRPr="008C3009" w:rsidRDefault="00946E09" w:rsidP="00946E09">
      <w:pPr>
        <w:spacing w:before="100" w:beforeAutospacing="1" w:after="100" w:afterAutospacing="1" w:line="240" w:lineRule="auto"/>
        <w:rPr>
          <w:rFonts w:ascii="Arial" w:eastAsia="Times New Roman" w:hAnsi="Arial" w:cs="Arial"/>
          <w:sz w:val="24"/>
          <w:szCs w:val="24"/>
          <w:lang w:eastAsia="en-GB"/>
        </w:rPr>
      </w:pPr>
      <w:r w:rsidRPr="008C3009">
        <w:rPr>
          <w:rFonts w:ascii="Arial" w:eastAsia="Times New Roman" w:hAnsi="Arial" w:cs="Arial"/>
          <w:sz w:val="24"/>
          <w:szCs w:val="24"/>
          <w:lang w:eastAsia="en-GB"/>
        </w:rPr>
        <w:t xml:space="preserve">Armstrong &amp; Brown (2019, Pg, 268) argue that the effectiveness of competency-based rewards depends on fair and accurate assessments, as evaluations are not always objective or consistent.  These rewards can improve performance by clarifying expected behaviours and skills while supporting development.  Compared with performance-related-pay, competency frameworks may offer a fairer basis for reward because they recognise behaviours as well as results.  For </w:t>
      </w:r>
      <w:proofErr w:type="spellStart"/>
      <w:r w:rsidRPr="008C3009">
        <w:rPr>
          <w:rFonts w:ascii="Arial" w:eastAsia="Times New Roman" w:hAnsi="Arial" w:cs="Arial"/>
          <w:sz w:val="24"/>
          <w:szCs w:val="24"/>
          <w:lang w:eastAsia="en-GB"/>
        </w:rPr>
        <w:t>GreenFriendlyEco</w:t>
      </w:r>
      <w:proofErr w:type="spellEnd"/>
      <w:r w:rsidRPr="008C3009">
        <w:rPr>
          <w:rFonts w:ascii="Arial" w:eastAsia="Times New Roman" w:hAnsi="Arial" w:cs="Arial"/>
          <w:sz w:val="24"/>
          <w:szCs w:val="24"/>
          <w:lang w:eastAsia="en-GB"/>
        </w:rPr>
        <w:t xml:space="preserve">, rewarding competencies such as problem solving, teamwork and communication could develop employee capabilities and improve retention.  Competency-based rewards can strengthen teamwork by promoting supportive behaviours.  For </w:t>
      </w:r>
      <w:proofErr w:type="spellStart"/>
      <w:r w:rsidRPr="008C3009">
        <w:rPr>
          <w:rFonts w:ascii="Arial" w:eastAsia="Times New Roman" w:hAnsi="Arial" w:cs="Arial"/>
          <w:sz w:val="24"/>
          <w:szCs w:val="24"/>
          <w:lang w:eastAsia="en-GB"/>
        </w:rPr>
        <w:t>GreenFriendlyEco</w:t>
      </w:r>
      <w:proofErr w:type="spellEnd"/>
      <w:r w:rsidRPr="008C3009">
        <w:rPr>
          <w:rFonts w:ascii="Arial" w:eastAsia="Times New Roman" w:hAnsi="Arial" w:cs="Arial"/>
          <w:sz w:val="24"/>
          <w:szCs w:val="24"/>
          <w:lang w:eastAsia="en-GB"/>
        </w:rPr>
        <w:t>, this may help improve morale and reduce turnover.</w:t>
      </w:r>
    </w:p>
    <w:p w14:paraId="7C885D25" w14:textId="77777777" w:rsidR="00946E09" w:rsidRPr="008C3009" w:rsidRDefault="00946E09" w:rsidP="00946E09">
      <w:pPr>
        <w:spacing w:before="100" w:beforeAutospacing="1" w:after="100" w:afterAutospacing="1" w:line="240" w:lineRule="auto"/>
        <w:rPr>
          <w:rFonts w:ascii="Arial" w:eastAsia="Times New Roman" w:hAnsi="Arial" w:cs="Arial"/>
          <w:sz w:val="24"/>
          <w:szCs w:val="24"/>
          <w:lang w:eastAsia="en-GB"/>
        </w:rPr>
      </w:pPr>
      <w:r w:rsidRPr="008C3009">
        <w:rPr>
          <w:rFonts w:ascii="Arial" w:eastAsia="Times New Roman" w:hAnsi="Arial" w:cs="Arial"/>
          <w:sz w:val="24"/>
          <w:szCs w:val="24"/>
          <w:lang w:eastAsia="en-GB"/>
        </w:rPr>
        <w:t xml:space="preserve">Competency frameworks can develop the skills and behaviours needed to achieve long-term business objectives and support a positive culture.  A transparent competency-based reward system may also address perceptions that senior staff receive preferential treatment.  </w:t>
      </w:r>
    </w:p>
    <w:p w14:paraId="57414F4A" w14:textId="524357B3" w:rsidR="00946E09" w:rsidRPr="008C3009" w:rsidRDefault="00946E09" w:rsidP="00946E09">
      <w:pPr>
        <w:spacing w:before="100" w:beforeAutospacing="1" w:after="100" w:afterAutospacing="1" w:line="240" w:lineRule="auto"/>
        <w:rPr>
          <w:rFonts w:ascii="Arial" w:eastAsia="Times New Roman" w:hAnsi="Arial" w:cs="Arial"/>
          <w:sz w:val="24"/>
          <w:szCs w:val="24"/>
          <w:lang w:eastAsia="en-GB"/>
        </w:rPr>
      </w:pPr>
      <w:r w:rsidRPr="00A36B43">
        <w:rPr>
          <w:rFonts w:ascii="Arial" w:hAnsi="Arial" w:cs="Arial"/>
          <w:b/>
          <w:bCs/>
          <w:sz w:val="24"/>
          <w:szCs w:val="24"/>
        </w:rPr>
        <w:lastRenderedPageBreak/>
        <w:t xml:space="preserve">AC-2.3:  </w:t>
      </w:r>
      <w:r w:rsidRPr="008C3009">
        <w:rPr>
          <w:rFonts w:ascii="Arial" w:hAnsi="Arial" w:cs="Arial"/>
          <w:sz w:val="24"/>
          <w:szCs w:val="24"/>
        </w:rPr>
        <w:t>Employee benefits forms part of a reward package offered by an organisation.  As cited by Jones &amp; Perkins (2020, p.243), Heery &amp; Noon (2017) note that an important function of benefits is to provide an employee with security, while other cases, benefits support recruitment and retention.  Different benefits offer advantages for employer and employees.</w:t>
      </w:r>
    </w:p>
    <w:p w14:paraId="7F8BB494" w14:textId="77777777" w:rsidR="00946E09" w:rsidRPr="008C3009" w:rsidRDefault="00946E09" w:rsidP="00946E09">
      <w:pPr>
        <w:rPr>
          <w:rFonts w:ascii="Arial" w:hAnsi="Arial" w:cs="Arial"/>
          <w:sz w:val="24"/>
          <w:szCs w:val="24"/>
        </w:rPr>
      </w:pPr>
      <w:r w:rsidRPr="008C3009">
        <w:rPr>
          <w:rFonts w:ascii="Arial" w:hAnsi="Arial" w:cs="Arial"/>
          <w:sz w:val="24"/>
          <w:szCs w:val="24"/>
        </w:rPr>
        <w:t xml:space="preserve">Pension schemes are a wellbeing benefits which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could offer to its employees to save for retirement and can contribute to its pension.  This could support retention, as employees may be reluctant to leave if a strong pension scheme is offered.  It could also help recruitment, attracting experienced staff who consider pensions important when choosing an employer.  </w:t>
      </w:r>
    </w:p>
    <w:p w14:paraId="2D9B84C8" w14:textId="77777777" w:rsidR="00946E09" w:rsidRPr="008C3009" w:rsidRDefault="00946E09" w:rsidP="00946E09">
      <w:pPr>
        <w:rPr>
          <w:rFonts w:ascii="Arial" w:hAnsi="Arial" w:cs="Arial"/>
          <w:sz w:val="24"/>
          <w:szCs w:val="24"/>
        </w:rPr>
      </w:pPr>
      <w:r w:rsidRPr="008C3009">
        <w:rPr>
          <w:rFonts w:ascii="Arial" w:hAnsi="Arial" w:cs="Arial"/>
          <w:sz w:val="24"/>
          <w:szCs w:val="24"/>
        </w:rPr>
        <w:t xml:space="preserve">Another benefit that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could introduce is a bonus scheme.  The merits of a bonus scheme are that they can increase motivation by creating a clear link between performance and rewards.  Currently the organisation has no incentive scheme and employee are expected to achieve standard levels of performance based on measured day work.  Introducing a bonus scheme could support with employee motivation by rewarding independent or teams who achieve their targets.  This would also recognise their contribution.  As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is experiencing increased turnover, bonus payments could improve commitment, as employees feel recognised and are less likely to leave.  </w:t>
      </w:r>
    </w:p>
    <w:p w14:paraId="0E1E0706" w14:textId="1C65C42C" w:rsidR="005938DC" w:rsidRPr="008C3009" w:rsidRDefault="00946E09" w:rsidP="00946E09">
      <w:pPr>
        <w:rPr>
          <w:rFonts w:ascii="Arial" w:hAnsi="Arial" w:cs="Arial"/>
          <w:sz w:val="24"/>
          <w:szCs w:val="24"/>
        </w:rPr>
      </w:pPr>
      <w:r w:rsidRPr="008C3009">
        <w:rPr>
          <w:rFonts w:ascii="Arial" w:hAnsi="Arial" w:cs="Arial"/>
          <w:sz w:val="24"/>
          <w:szCs w:val="24"/>
        </w:rPr>
        <w:t xml:space="preserve">Flexible working is another benefit that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could introduce to help address its high levels of employee turnover, and the negative workplace culture, which has been identified by the managing director.  Flexible working arrangements such as flexitime, compressed hours or hybrid working can improve work-life balance and job satisfaction. This is especially important in a competitive marke</w:t>
      </w:r>
      <w:r w:rsidR="00A67011">
        <w:rPr>
          <w:rFonts w:ascii="Arial" w:hAnsi="Arial" w:cs="Arial"/>
          <w:sz w:val="24"/>
          <w:szCs w:val="24"/>
        </w:rPr>
        <w:t>t</w:t>
      </w:r>
      <w:r w:rsidRPr="008C3009">
        <w:rPr>
          <w:rFonts w:ascii="Arial" w:hAnsi="Arial" w:cs="Arial"/>
          <w:sz w:val="24"/>
          <w:szCs w:val="24"/>
        </w:rPr>
        <w:t xml:space="preserve"> as it will help to attract new employees.  Research b</w:t>
      </w:r>
      <w:r w:rsidR="009C786A">
        <w:rPr>
          <w:rFonts w:ascii="Arial" w:hAnsi="Arial" w:cs="Arial"/>
          <w:sz w:val="24"/>
          <w:szCs w:val="24"/>
        </w:rPr>
        <w:t>y CIPD (</w:t>
      </w:r>
      <w:r w:rsidRPr="008C3009">
        <w:rPr>
          <w:rFonts w:ascii="Arial" w:hAnsi="Arial" w:cs="Arial"/>
          <w:sz w:val="24"/>
          <w:szCs w:val="24"/>
        </w:rPr>
        <w:t>20</w:t>
      </w:r>
      <w:r w:rsidR="009C786A">
        <w:rPr>
          <w:rFonts w:ascii="Arial" w:hAnsi="Arial" w:cs="Arial"/>
          <w:sz w:val="24"/>
          <w:szCs w:val="24"/>
        </w:rPr>
        <w:t>22</w:t>
      </w:r>
      <w:r w:rsidR="00034F0D">
        <w:rPr>
          <w:rFonts w:ascii="Arial" w:hAnsi="Arial" w:cs="Arial"/>
          <w:sz w:val="24"/>
          <w:szCs w:val="24"/>
        </w:rPr>
        <w:t>a</w:t>
      </w:r>
      <w:r w:rsidRPr="008C3009">
        <w:rPr>
          <w:rFonts w:ascii="Arial" w:hAnsi="Arial" w:cs="Arial"/>
          <w:sz w:val="24"/>
          <w:szCs w:val="24"/>
        </w:rPr>
        <w:t xml:space="preserve">) found that flexible working practices significantly increased job satisfaction and reduced employees' intentions to leave their employer.  </w:t>
      </w:r>
      <w:r w:rsidR="00633325">
        <w:rPr>
          <w:rFonts w:ascii="Arial" w:hAnsi="Arial" w:cs="Arial"/>
          <w:sz w:val="24"/>
          <w:szCs w:val="24"/>
        </w:rPr>
        <w:t>Recently research by CIPD (2025</w:t>
      </w:r>
      <w:r w:rsidR="005649F2">
        <w:rPr>
          <w:rFonts w:ascii="Arial" w:hAnsi="Arial" w:cs="Arial"/>
          <w:sz w:val="24"/>
          <w:szCs w:val="24"/>
        </w:rPr>
        <w:t>i</w:t>
      </w:r>
      <w:r w:rsidR="00633325">
        <w:rPr>
          <w:rFonts w:ascii="Arial" w:hAnsi="Arial" w:cs="Arial"/>
          <w:sz w:val="24"/>
          <w:szCs w:val="24"/>
        </w:rPr>
        <w:t>)</w:t>
      </w:r>
      <w:r w:rsidR="005822CA">
        <w:rPr>
          <w:rFonts w:ascii="Arial" w:hAnsi="Arial" w:cs="Arial"/>
          <w:sz w:val="24"/>
          <w:szCs w:val="24"/>
        </w:rPr>
        <w:t xml:space="preserve"> found that </w:t>
      </w:r>
      <w:r w:rsidR="00073D45">
        <w:rPr>
          <w:rFonts w:ascii="Arial" w:hAnsi="Arial" w:cs="Arial"/>
          <w:sz w:val="24"/>
          <w:szCs w:val="24"/>
        </w:rPr>
        <w:t>flexible working is vital to attract</w:t>
      </w:r>
      <w:r w:rsidR="00545B08">
        <w:rPr>
          <w:rFonts w:ascii="Arial" w:hAnsi="Arial" w:cs="Arial"/>
          <w:sz w:val="24"/>
          <w:szCs w:val="24"/>
        </w:rPr>
        <w:t xml:space="preserve">ing and retaining staff, estimating that </w:t>
      </w:r>
      <w:r w:rsidR="00073D45">
        <w:rPr>
          <w:rFonts w:ascii="Arial" w:hAnsi="Arial" w:cs="Arial"/>
          <w:sz w:val="24"/>
          <w:szCs w:val="24"/>
        </w:rPr>
        <w:t>1.1 million employees le</w:t>
      </w:r>
      <w:r w:rsidR="00545B08">
        <w:rPr>
          <w:rFonts w:ascii="Arial" w:hAnsi="Arial" w:cs="Arial"/>
          <w:sz w:val="24"/>
          <w:szCs w:val="24"/>
        </w:rPr>
        <w:t>ft their</w:t>
      </w:r>
      <w:r w:rsidR="00FE257C">
        <w:rPr>
          <w:rFonts w:ascii="Arial" w:hAnsi="Arial" w:cs="Arial"/>
          <w:sz w:val="24"/>
          <w:szCs w:val="24"/>
        </w:rPr>
        <w:t xml:space="preserve"> job in the previous year </w:t>
      </w:r>
      <w:r w:rsidR="00545B08">
        <w:rPr>
          <w:rFonts w:ascii="Arial" w:hAnsi="Arial" w:cs="Arial"/>
          <w:sz w:val="24"/>
          <w:szCs w:val="24"/>
        </w:rPr>
        <w:t xml:space="preserve">due to </w:t>
      </w:r>
      <w:r w:rsidR="00FE257C">
        <w:rPr>
          <w:rFonts w:ascii="Arial" w:hAnsi="Arial" w:cs="Arial"/>
          <w:sz w:val="24"/>
          <w:szCs w:val="24"/>
        </w:rPr>
        <w:t xml:space="preserve">the lack of flexible working. </w:t>
      </w:r>
      <w:r w:rsidRPr="008C3009">
        <w:rPr>
          <w:rFonts w:ascii="Arial" w:hAnsi="Arial" w:cs="Arial"/>
          <w:sz w:val="24"/>
          <w:szCs w:val="24"/>
        </w:rPr>
        <w:t xml:space="preserve">For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this could improve engagement and retention while strengthening its reputation as an employer.   Although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will need to plan flexible working carefully to ensure productivity levels are met, its merits can improve retention and motivation which outweighs these costs. </w:t>
      </w:r>
    </w:p>
    <w:p w14:paraId="6F6053B4" w14:textId="7DAD4BAC" w:rsidR="00946E09" w:rsidRPr="008C3009" w:rsidRDefault="00946E09" w:rsidP="00946E09">
      <w:pPr>
        <w:rPr>
          <w:rFonts w:ascii="Arial" w:hAnsi="Arial" w:cs="Arial"/>
          <w:sz w:val="24"/>
          <w:szCs w:val="24"/>
        </w:rPr>
      </w:pPr>
      <w:r w:rsidRPr="008C3009">
        <w:rPr>
          <w:rFonts w:ascii="Arial" w:hAnsi="Arial" w:cs="Arial"/>
          <w:sz w:val="24"/>
          <w:szCs w:val="24"/>
        </w:rPr>
        <w:t>Pension</w:t>
      </w:r>
      <w:r w:rsidR="006F3767">
        <w:rPr>
          <w:rFonts w:ascii="Arial" w:hAnsi="Arial" w:cs="Arial"/>
          <w:sz w:val="24"/>
          <w:szCs w:val="24"/>
        </w:rPr>
        <w:t xml:space="preserve"> and bonus schemes and </w:t>
      </w:r>
      <w:r w:rsidRPr="008C3009">
        <w:rPr>
          <w:rFonts w:ascii="Arial" w:hAnsi="Arial" w:cs="Arial"/>
          <w:sz w:val="24"/>
          <w:szCs w:val="24"/>
        </w:rPr>
        <w:t>flexible working offer different benefits to</w:t>
      </w:r>
      <w:r w:rsidR="0092180D">
        <w:rPr>
          <w:rFonts w:ascii="Arial" w:hAnsi="Arial" w:cs="Arial"/>
          <w:sz w:val="24"/>
          <w:szCs w:val="24"/>
        </w:rPr>
        <w:t xml:space="preserve"> both</w:t>
      </w:r>
      <w:r w:rsidRPr="008C3009">
        <w:rPr>
          <w:rFonts w:ascii="Arial" w:hAnsi="Arial" w:cs="Arial"/>
          <w:sz w:val="24"/>
          <w:szCs w:val="24"/>
        </w:rPr>
        <w:t xml:space="preserve"> employees and organisations.  Bonus schemes can motivate high performance, flexible working can improve wellbeing and work-life balance, while pension schemes provide financial security.</w:t>
      </w:r>
      <w:r w:rsidR="00713DB8">
        <w:rPr>
          <w:rFonts w:ascii="Arial" w:hAnsi="Arial" w:cs="Arial"/>
          <w:sz w:val="24"/>
          <w:szCs w:val="24"/>
        </w:rPr>
        <w:t xml:space="preserve">  CIPD (2019) suggests that organisations</w:t>
      </w:r>
      <w:r w:rsidR="000A0B60">
        <w:rPr>
          <w:rFonts w:ascii="Arial" w:hAnsi="Arial" w:cs="Arial"/>
          <w:sz w:val="24"/>
          <w:szCs w:val="24"/>
        </w:rPr>
        <w:t xml:space="preserve"> are most effective </w:t>
      </w:r>
      <w:r w:rsidR="007A1052">
        <w:rPr>
          <w:rFonts w:ascii="Arial" w:hAnsi="Arial" w:cs="Arial"/>
          <w:sz w:val="24"/>
          <w:szCs w:val="24"/>
        </w:rPr>
        <w:t>when they combine financial and non-financial rewards, rather</w:t>
      </w:r>
      <w:r w:rsidR="007A01DE">
        <w:rPr>
          <w:rFonts w:ascii="Arial" w:hAnsi="Arial" w:cs="Arial"/>
          <w:sz w:val="24"/>
          <w:szCs w:val="24"/>
        </w:rPr>
        <w:t xml:space="preserve"> than relying on pay alone.  </w:t>
      </w:r>
      <w:r w:rsidRPr="008C3009">
        <w:rPr>
          <w:rFonts w:ascii="Arial" w:hAnsi="Arial" w:cs="Arial"/>
          <w:sz w:val="24"/>
          <w:szCs w:val="24"/>
        </w:rPr>
        <w:t>Together</w:t>
      </w:r>
      <w:r w:rsidR="007A01DE">
        <w:rPr>
          <w:rFonts w:ascii="Arial" w:hAnsi="Arial" w:cs="Arial"/>
          <w:sz w:val="24"/>
          <w:szCs w:val="24"/>
        </w:rPr>
        <w:t>,</w:t>
      </w:r>
      <w:r w:rsidRPr="008C3009">
        <w:rPr>
          <w:rFonts w:ascii="Arial" w:hAnsi="Arial" w:cs="Arial"/>
          <w:sz w:val="24"/>
          <w:szCs w:val="24"/>
        </w:rPr>
        <w:t xml:space="preserve"> these rewards can support </w:t>
      </w:r>
      <w:proofErr w:type="spellStart"/>
      <w:r w:rsidRPr="008C3009">
        <w:rPr>
          <w:rFonts w:ascii="Arial" w:hAnsi="Arial" w:cs="Arial"/>
          <w:sz w:val="24"/>
          <w:szCs w:val="24"/>
        </w:rPr>
        <w:t>GreenF</w:t>
      </w:r>
      <w:r w:rsidR="00CE09CA">
        <w:rPr>
          <w:rFonts w:ascii="Arial" w:hAnsi="Arial" w:cs="Arial"/>
          <w:sz w:val="24"/>
          <w:szCs w:val="24"/>
        </w:rPr>
        <w:t>r</w:t>
      </w:r>
      <w:r w:rsidRPr="008C3009">
        <w:rPr>
          <w:rFonts w:ascii="Arial" w:hAnsi="Arial" w:cs="Arial"/>
          <w:sz w:val="24"/>
          <w:szCs w:val="24"/>
        </w:rPr>
        <w:t>iendlyEco</w:t>
      </w:r>
      <w:proofErr w:type="spellEnd"/>
      <w:r w:rsidRPr="008C3009">
        <w:rPr>
          <w:rFonts w:ascii="Arial" w:hAnsi="Arial" w:cs="Arial"/>
          <w:sz w:val="24"/>
          <w:szCs w:val="24"/>
        </w:rPr>
        <w:t xml:space="preserve"> attract new employees, improve retention and remain competitive.  However,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must ensure they weigh up the benefits against the costs of providing them.  </w:t>
      </w:r>
    </w:p>
    <w:p w14:paraId="123D0D85" w14:textId="77777777" w:rsidR="00946E09" w:rsidRPr="008C3009" w:rsidRDefault="00946E09" w:rsidP="00946E09">
      <w:pPr>
        <w:rPr>
          <w:rFonts w:ascii="Arial" w:hAnsi="Arial" w:cs="Arial"/>
          <w:sz w:val="24"/>
          <w:szCs w:val="24"/>
        </w:rPr>
      </w:pPr>
    </w:p>
    <w:p w14:paraId="33B54527" w14:textId="09A4CC44" w:rsidR="00946E09" w:rsidRPr="008C3009" w:rsidRDefault="00946E09" w:rsidP="00946E09">
      <w:pPr>
        <w:rPr>
          <w:rFonts w:ascii="Arial" w:hAnsi="Arial" w:cs="Arial"/>
          <w:sz w:val="24"/>
          <w:szCs w:val="24"/>
        </w:rPr>
      </w:pPr>
      <w:r w:rsidRPr="008C3009">
        <w:rPr>
          <w:rFonts w:ascii="Arial" w:hAnsi="Arial" w:cs="Arial"/>
          <w:b/>
          <w:bCs/>
          <w:sz w:val="24"/>
          <w:szCs w:val="24"/>
        </w:rPr>
        <w:lastRenderedPageBreak/>
        <w:t>AC-2.4:</w:t>
      </w:r>
      <w:r w:rsidRPr="008C3009">
        <w:rPr>
          <w:rFonts w:ascii="Arial" w:hAnsi="Arial" w:cs="Arial"/>
          <w:sz w:val="24"/>
          <w:szCs w:val="24"/>
        </w:rPr>
        <w:t xml:space="preserve">  Formal recognition schemes provide employees with tangible rewards for their contribution, such as employee-of-the-month awards, long-service awards and structured recognition programmes.  These schemes can help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build a positive culture by demonstrating that the organisation values employee contributions.  Formal recognition can also promote fairness and consistency because clear criteria are applied to all employees.   Armstrong and Brown (2019, p.240) suggest that organisations can strengthen fairness by establishing a recognition committee that includes employee representatives.  However, formal schemes can be administratively demanding, which may be challenging given the organisation’s limited HR resources.</w:t>
      </w:r>
    </w:p>
    <w:p w14:paraId="4C2AABC7" w14:textId="3192866F" w:rsidR="00946E09" w:rsidRPr="008C3009" w:rsidRDefault="000C646C" w:rsidP="00946E09">
      <w:pPr>
        <w:rPr>
          <w:rFonts w:ascii="Arial" w:hAnsi="Arial" w:cs="Arial"/>
          <w:sz w:val="24"/>
          <w:szCs w:val="24"/>
        </w:rPr>
      </w:pPr>
      <w:r w:rsidRPr="008C3009">
        <w:rPr>
          <w:rFonts w:ascii="Arial" w:hAnsi="Arial" w:cs="Arial"/>
          <w:sz w:val="24"/>
          <w:szCs w:val="24"/>
        </w:rPr>
        <w:t>I</w:t>
      </w:r>
      <w:r w:rsidR="00946E09" w:rsidRPr="008C3009">
        <w:rPr>
          <w:rFonts w:ascii="Arial" w:hAnsi="Arial" w:cs="Arial"/>
          <w:sz w:val="24"/>
          <w:szCs w:val="24"/>
        </w:rPr>
        <w:t>nformal recognition is a more immediate and personal form of appreciation, often involving verbal praise, a thank you message or</w:t>
      </w:r>
      <w:r w:rsidRPr="008C3009">
        <w:rPr>
          <w:rFonts w:ascii="Arial" w:hAnsi="Arial" w:cs="Arial"/>
          <w:sz w:val="24"/>
          <w:szCs w:val="24"/>
        </w:rPr>
        <w:t xml:space="preserve"> </w:t>
      </w:r>
      <w:r w:rsidR="00946E09" w:rsidRPr="008C3009">
        <w:rPr>
          <w:rFonts w:ascii="Arial" w:hAnsi="Arial" w:cs="Arial"/>
          <w:sz w:val="24"/>
          <w:szCs w:val="24"/>
        </w:rPr>
        <w:t xml:space="preserve">acknowledgement during a team meeting.  One key merit is that it is low cost and easy to incorporate into the working day.  The CIPD (2020) highlights that even a small “thank you” can help employees feel valued and motivated.  This approach could be effective at </w:t>
      </w:r>
      <w:proofErr w:type="spellStart"/>
      <w:r w:rsidR="00946E09" w:rsidRPr="008C3009">
        <w:rPr>
          <w:rFonts w:ascii="Arial" w:hAnsi="Arial" w:cs="Arial"/>
          <w:sz w:val="24"/>
          <w:szCs w:val="24"/>
        </w:rPr>
        <w:t>GreenFriendlyEco</w:t>
      </w:r>
      <w:proofErr w:type="spellEnd"/>
      <w:r w:rsidR="00946E09" w:rsidRPr="008C3009">
        <w:rPr>
          <w:rFonts w:ascii="Arial" w:hAnsi="Arial" w:cs="Arial"/>
          <w:sz w:val="24"/>
          <w:szCs w:val="24"/>
        </w:rPr>
        <w:t xml:space="preserve">, where employees receive little feedback.  Regular informal recognition could strengthen relationships and increase engagement.  </w:t>
      </w:r>
    </w:p>
    <w:p w14:paraId="1C0CDD7E" w14:textId="0D332ED9" w:rsidR="00946E09" w:rsidRPr="008C3009" w:rsidRDefault="00946E09" w:rsidP="00946E09">
      <w:pPr>
        <w:rPr>
          <w:rFonts w:ascii="Arial" w:hAnsi="Arial" w:cs="Arial"/>
          <w:sz w:val="24"/>
          <w:szCs w:val="24"/>
        </w:rPr>
      </w:pPr>
      <w:r w:rsidRPr="008C3009">
        <w:rPr>
          <w:rFonts w:ascii="Arial" w:hAnsi="Arial" w:cs="Arial"/>
          <w:sz w:val="24"/>
          <w:szCs w:val="24"/>
        </w:rPr>
        <w:t xml:space="preserve">Day-to-day recognition </w:t>
      </w:r>
      <w:r w:rsidR="002E1D84" w:rsidRPr="008C3009">
        <w:rPr>
          <w:rFonts w:ascii="Arial" w:hAnsi="Arial" w:cs="Arial"/>
          <w:sz w:val="24"/>
          <w:szCs w:val="24"/>
        </w:rPr>
        <w:t>acknowledges</w:t>
      </w:r>
      <w:r w:rsidRPr="008C3009">
        <w:rPr>
          <w:rFonts w:ascii="Arial" w:hAnsi="Arial" w:cs="Arial"/>
          <w:sz w:val="24"/>
          <w:szCs w:val="24"/>
        </w:rPr>
        <w:t xml:space="preserve"> positive behaviours, such as helping a colleague or demonstrating excellent attendance.  </w:t>
      </w:r>
      <w:r w:rsidR="002E1D84" w:rsidRPr="008C3009">
        <w:rPr>
          <w:rFonts w:ascii="Arial" w:hAnsi="Arial" w:cs="Arial"/>
          <w:sz w:val="24"/>
          <w:szCs w:val="24"/>
        </w:rPr>
        <w:t xml:space="preserve">It </w:t>
      </w:r>
      <w:r w:rsidRPr="008C3009">
        <w:rPr>
          <w:rFonts w:ascii="Arial" w:hAnsi="Arial" w:cs="Arial"/>
          <w:sz w:val="24"/>
          <w:szCs w:val="24"/>
        </w:rPr>
        <w:t xml:space="preserve">reinforces desired behaviours and encourages good performance.  Armstrong and Brown (2019, p.240) emphasise that recognition should be natural and genuine because employees can easily spot insincere praise.  For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consistent recognition could increase motivation and strengthen manager-employee relationships.  </w:t>
      </w:r>
    </w:p>
    <w:p w14:paraId="3499E957" w14:textId="77777777" w:rsidR="00946E09" w:rsidRPr="008C3009" w:rsidRDefault="00946E09" w:rsidP="00946E09">
      <w:pPr>
        <w:rPr>
          <w:rFonts w:ascii="Arial" w:hAnsi="Arial" w:cs="Arial"/>
          <w:sz w:val="24"/>
          <w:szCs w:val="24"/>
        </w:rPr>
      </w:pPr>
      <w:r w:rsidRPr="008C3009">
        <w:rPr>
          <w:rFonts w:ascii="Arial" w:hAnsi="Arial" w:cs="Arial"/>
          <w:sz w:val="24"/>
          <w:szCs w:val="24"/>
        </w:rPr>
        <w:t xml:space="preserve">Public recognition involves highlighting an individual’s achievement through team meetings, newsletters, noticeboards or organisation communications.  Public recognition celebrates success and raises an employee’s profile.  It can boost confidence and encourage similar behaviour.  For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publicly recognising employee achievements could strengthen teamwork and create a culture of appreciation.  However, CIPD (2022, p.11) warns that public recognition can foster envy and resentment among colleagues, demotivating teams.  It should be delivered carefully, with clear communication about the reason for recognition. </w:t>
      </w:r>
    </w:p>
    <w:p w14:paraId="0F997BC9" w14:textId="1F0D790A" w:rsidR="00946E09" w:rsidRPr="008C3009" w:rsidRDefault="00946E09" w:rsidP="00946E09">
      <w:pPr>
        <w:rPr>
          <w:rFonts w:ascii="Arial" w:hAnsi="Arial" w:cs="Arial"/>
          <w:sz w:val="24"/>
          <w:szCs w:val="24"/>
        </w:rPr>
      </w:pPr>
      <w:r w:rsidRPr="008C3009">
        <w:rPr>
          <w:rFonts w:ascii="Arial" w:hAnsi="Arial" w:cs="Arial"/>
          <w:sz w:val="24"/>
          <w:szCs w:val="24"/>
        </w:rPr>
        <w:t xml:space="preserve">Cash awards, such as bonuses, provide employees with a financial reward for achieving individual or organisation goals.  Cash awards can act as a strong short-term motivator and encourage achievement of performance targets.  This may benefit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where employees receive limited incentives.  However, they may not create long-term engagement.  </w:t>
      </w:r>
      <w:r w:rsidR="00786750">
        <w:rPr>
          <w:rFonts w:ascii="Arial" w:hAnsi="Arial" w:cs="Arial"/>
          <w:sz w:val="24"/>
          <w:szCs w:val="24"/>
        </w:rPr>
        <w:t>M</w:t>
      </w:r>
      <w:r w:rsidR="00E136CF">
        <w:rPr>
          <w:rFonts w:ascii="Arial" w:hAnsi="Arial" w:cs="Arial"/>
          <w:sz w:val="24"/>
          <w:szCs w:val="24"/>
        </w:rPr>
        <w:t xml:space="preserve">cCulloch (2024) reports that </w:t>
      </w:r>
      <w:r w:rsidRPr="008C3009">
        <w:rPr>
          <w:rFonts w:ascii="Arial" w:hAnsi="Arial" w:cs="Arial"/>
          <w:sz w:val="24"/>
          <w:szCs w:val="24"/>
        </w:rPr>
        <w:t xml:space="preserve">TESCO provides its employees with a bonus payment </w:t>
      </w:r>
      <w:r w:rsidR="00AF67AD" w:rsidRPr="008C3009">
        <w:rPr>
          <w:rFonts w:ascii="Arial" w:hAnsi="Arial" w:cs="Arial"/>
          <w:sz w:val="24"/>
          <w:szCs w:val="24"/>
        </w:rPr>
        <w:t>for</w:t>
      </w:r>
      <w:r w:rsidRPr="008C3009">
        <w:rPr>
          <w:rFonts w:ascii="Arial" w:hAnsi="Arial" w:cs="Arial"/>
          <w:sz w:val="24"/>
          <w:szCs w:val="24"/>
        </w:rPr>
        <w:t xml:space="preserve"> their contribution to the organisation success.     </w:t>
      </w:r>
    </w:p>
    <w:p w14:paraId="0E2E84F2" w14:textId="77777777" w:rsidR="00946E09" w:rsidRPr="008C3009" w:rsidRDefault="00946E09" w:rsidP="00946E09">
      <w:pPr>
        <w:rPr>
          <w:rFonts w:ascii="Arial" w:hAnsi="Arial" w:cs="Arial"/>
          <w:sz w:val="24"/>
          <w:szCs w:val="24"/>
        </w:rPr>
      </w:pPr>
      <w:r w:rsidRPr="008C3009">
        <w:rPr>
          <w:rFonts w:ascii="Arial" w:hAnsi="Arial" w:cs="Arial"/>
          <w:sz w:val="24"/>
          <w:szCs w:val="24"/>
        </w:rPr>
        <w:t xml:space="preserve">Non-cash awards, such as vouchers or gift cards can provide a more personal form of recognition.  Non-cash awards can create a stronger emotional connection because they are viewed as a genuine gesture of appreciation. For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non-cash awards could support a positive culture.   </w:t>
      </w:r>
    </w:p>
    <w:p w14:paraId="17B16A34" w14:textId="66234787" w:rsidR="00946E09" w:rsidRPr="008C3009" w:rsidRDefault="00946E09" w:rsidP="00946E09">
      <w:pPr>
        <w:rPr>
          <w:rFonts w:ascii="Arial" w:hAnsi="Arial" w:cs="Arial"/>
          <w:sz w:val="24"/>
          <w:szCs w:val="24"/>
        </w:rPr>
      </w:pPr>
      <w:r w:rsidRPr="008C3009">
        <w:rPr>
          <w:rFonts w:ascii="Arial" w:hAnsi="Arial" w:cs="Arial"/>
          <w:sz w:val="24"/>
          <w:szCs w:val="24"/>
        </w:rPr>
        <w:lastRenderedPageBreak/>
        <w:t xml:space="preserve">In summary recognition schemes can improve motivation, engagement and morale.  For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a combination of day-to-day, public recognition and non-cash awards may be the most cost-effective way to build a positive culture and improve retention. </w:t>
      </w:r>
    </w:p>
    <w:p w14:paraId="0C43FCD9" w14:textId="77777777" w:rsidR="00946E09" w:rsidRPr="008C3009" w:rsidRDefault="00946E09" w:rsidP="00946E09">
      <w:pPr>
        <w:spacing w:after="0" w:line="240" w:lineRule="auto"/>
        <w:rPr>
          <w:rFonts w:ascii="Arial" w:hAnsi="Arial" w:cs="Arial"/>
          <w:color w:val="000000" w:themeColor="text1"/>
          <w:sz w:val="24"/>
          <w:szCs w:val="24"/>
        </w:rPr>
      </w:pPr>
    </w:p>
    <w:p w14:paraId="1807C37B" w14:textId="74029705" w:rsidR="00A11B21" w:rsidRPr="008C3009" w:rsidRDefault="00946E09" w:rsidP="00946E09">
      <w:pPr>
        <w:spacing w:after="0" w:line="240" w:lineRule="auto"/>
        <w:rPr>
          <w:rFonts w:ascii="Arial" w:hAnsi="Arial" w:cs="Arial"/>
          <w:color w:val="000000" w:themeColor="text1"/>
          <w:sz w:val="24"/>
          <w:szCs w:val="24"/>
        </w:rPr>
      </w:pPr>
      <w:r w:rsidRPr="008C3009">
        <w:rPr>
          <w:rFonts w:ascii="Arial" w:hAnsi="Arial" w:cs="Arial"/>
          <w:b/>
          <w:bCs/>
          <w:color w:val="000000" w:themeColor="text1"/>
          <w:sz w:val="24"/>
          <w:szCs w:val="24"/>
        </w:rPr>
        <w:t>AC-3.1:</w:t>
      </w:r>
      <w:r w:rsidRPr="008C3009">
        <w:rPr>
          <w:rFonts w:ascii="Arial" w:hAnsi="Arial" w:cs="Arial"/>
          <w:color w:val="000000" w:themeColor="text1"/>
          <w:sz w:val="24"/>
          <w:szCs w:val="24"/>
        </w:rPr>
        <w:t xml:space="preserve"> For effective reward management, reward strategies should align with an organisation’s objectives, culture, workforce needs and external environments.  For </w:t>
      </w:r>
      <w:proofErr w:type="spellStart"/>
      <w:r w:rsidRPr="008C3009">
        <w:rPr>
          <w:rFonts w:ascii="Arial" w:hAnsi="Arial" w:cs="Arial"/>
          <w:color w:val="000000" w:themeColor="text1"/>
          <w:sz w:val="24"/>
          <w:szCs w:val="24"/>
        </w:rPr>
        <w:t>GreenFriendlyEco</w:t>
      </w:r>
      <w:proofErr w:type="spellEnd"/>
      <w:r w:rsidRPr="008C3009">
        <w:rPr>
          <w:rFonts w:ascii="Arial" w:hAnsi="Arial" w:cs="Arial"/>
          <w:color w:val="000000" w:themeColor="text1"/>
          <w:sz w:val="24"/>
          <w:szCs w:val="24"/>
        </w:rPr>
        <w:t xml:space="preserve">, </w:t>
      </w:r>
      <w:r w:rsidR="00EF1FDC" w:rsidRPr="008C3009">
        <w:rPr>
          <w:rFonts w:ascii="Arial" w:hAnsi="Arial" w:cs="Arial"/>
          <w:color w:val="000000" w:themeColor="text1"/>
          <w:sz w:val="24"/>
          <w:szCs w:val="24"/>
        </w:rPr>
        <w:t xml:space="preserve">understanding </w:t>
      </w:r>
      <w:r w:rsidRPr="008C3009">
        <w:rPr>
          <w:rFonts w:ascii="Arial" w:hAnsi="Arial" w:cs="Arial"/>
          <w:color w:val="000000" w:themeColor="text1"/>
          <w:sz w:val="24"/>
          <w:szCs w:val="24"/>
        </w:rPr>
        <w:t xml:space="preserve">the business context will support reward practices that </w:t>
      </w:r>
      <w:r w:rsidR="00EF1FDC" w:rsidRPr="008C3009">
        <w:rPr>
          <w:rFonts w:ascii="Arial" w:hAnsi="Arial" w:cs="Arial"/>
          <w:color w:val="000000" w:themeColor="text1"/>
          <w:sz w:val="24"/>
          <w:szCs w:val="24"/>
        </w:rPr>
        <w:t>attract</w:t>
      </w:r>
      <w:r w:rsidRPr="008C3009">
        <w:rPr>
          <w:rFonts w:ascii="Arial" w:hAnsi="Arial" w:cs="Arial"/>
          <w:color w:val="000000" w:themeColor="text1"/>
          <w:sz w:val="24"/>
          <w:szCs w:val="24"/>
        </w:rPr>
        <w:t xml:space="preserve"> motivate and retain employees.</w:t>
      </w:r>
    </w:p>
    <w:p w14:paraId="08B2CBD2" w14:textId="53AB8131" w:rsidR="00946E09" w:rsidRPr="008C3009" w:rsidRDefault="00946E09" w:rsidP="00946E09">
      <w:pPr>
        <w:spacing w:after="0" w:line="240" w:lineRule="auto"/>
        <w:rPr>
          <w:rFonts w:ascii="Arial" w:hAnsi="Arial" w:cs="Arial"/>
          <w:color w:val="000000" w:themeColor="text1"/>
          <w:sz w:val="24"/>
          <w:szCs w:val="24"/>
        </w:rPr>
      </w:pPr>
    </w:p>
    <w:p w14:paraId="4E41F3E8" w14:textId="774387D4" w:rsidR="00946E09" w:rsidRPr="008C3009" w:rsidRDefault="00946E09" w:rsidP="00946E09">
      <w:pPr>
        <w:spacing w:after="0" w:line="240" w:lineRule="auto"/>
        <w:rPr>
          <w:rFonts w:ascii="Arial" w:hAnsi="Arial" w:cs="Arial"/>
          <w:color w:val="000000" w:themeColor="text1"/>
          <w:sz w:val="24"/>
          <w:szCs w:val="24"/>
        </w:rPr>
      </w:pPr>
      <w:r w:rsidRPr="008C3009">
        <w:rPr>
          <w:rFonts w:ascii="Arial" w:hAnsi="Arial" w:cs="Arial"/>
          <w:color w:val="000000" w:themeColor="text1"/>
          <w:sz w:val="24"/>
          <w:szCs w:val="24"/>
        </w:rPr>
        <w:t xml:space="preserve">Labour market shortages have increased competition for skilled workers.  According to the Office for National Statistics (2024), the UK labour market has remained stable, with high employment levels.  This gives employees greater opportunities to move to employers offering better </w:t>
      </w:r>
      <w:r w:rsidR="00AB1CB3" w:rsidRPr="008C3009">
        <w:rPr>
          <w:rFonts w:ascii="Arial" w:hAnsi="Arial" w:cs="Arial"/>
          <w:color w:val="000000" w:themeColor="text1"/>
          <w:sz w:val="24"/>
          <w:szCs w:val="24"/>
        </w:rPr>
        <w:t>rewards</w:t>
      </w:r>
      <w:r w:rsidRPr="008C3009">
        <w:rPr>
          <w:rFonts w:ascii="Arial" w:hAnsi="Arial" w:cs="Arial"/>
          <w:color w:val="000000" w:themeColor="text1"/>
          <w:sz w:val="24"/>
          <w:szCs w:val="24"/>
        </w:rPr>
        <w:t xml:space="preserve">.  For </w:t>
      </w:r>
      <w:proofErr w:type="spellStart"/>
      <w:r w:rsidRPr="008C3009">
        <w:rPr>
          <w:rFonts w:ascii="Arial" w:hAnsi="Arial" w:cs="Arial"/>
          <w:color w:val="000000" w:themeColor="text1"/>
          <w:sz w:val="24"/>
          <w:szCs w:val="24"/>
        </w:rPr>
        <w:t>GreenFriendlyEco</w:t>
      </w:r>
      <w:proofErr w:type="spellEnd"/>
      <w:r w:rsidRPr="008C3009">
        <w:rPr>
          <w:rFonts w:ascii="Arial" w:hAnsi="Arial" w:cs="Arial"/>
          <w:color w:val="000000" w:themeColor="text1"/>
          <w:sz w:val="24"/>
          <w:szCs w:val="24"/>
        </w:rPr>
        <w:t xml:space="preserve">, this is likely to increase turnover, suggesting the reward package </w:t>
      </w:r>
      <w:r w:rsidR="00197F9B" w:rsidRPr="008C3009">
        <w:rPr>
          <w:rFonts w:ascii="Arial" w:hAnsi="Arial" w:cs="Arial"/>
          <w:color w:val="000000" w:themeColor="text1"/>
          <w:sz w:val="24"/>
          <w:szCs w:val="24"/>
        </w:rPr>
        <w:t xml:space="preserve">is not </w:t>
      </w:r>
      <w:r w:rsidRPr="008C3009">
        <w:rPr>
          <w:rFonts w:ascii="Arial" w:hAnsi="Arial" w:cs="Arial"/>
          <w:color w:val="000000" w:themeColor="text1"/>
          <w:sz w:val="24"/>
          <w:szCs w:val="24"/>
        </w:rPr>
        <w:t xml:space="preserve">competitive.  Higer inflation and the rising cost of living have increased employees’ expectations for pay and benefits.  </w:t>
      </w:r>
      <w:r w:rsidR="00197F9B" w:rsidRPr="008C3009">
        <w:rPr>
          <w:rFonts w:ascii="Arial" w:hAnsi="Arial" w:cs="Arial"/>
          <w:color w:val="000000" w:themeColor="text1"/>
          <w:sz w:val="24"/>
          <w:szCs w:val="24"/>
        </w:rPr>
        <w:t>E</w:t>
      </w:r>
      <w:r w:rsidRPr="008C3009">
        <w:rPr>
          <w:rFonts w:ascii="Arial" w:hAnsi="Arial" w:cs="Arial"/>
          <w:color w:val="000000" w:themeColor="text1"/>
          <w:sz w:val="24"/>
          <w:szCs w:val="24"/>
        </w:rPr>
        <w:t xml:space="preserve">mployees may leave for organisations offering more competitive reward packages if salaries </w:t>
      </w:r>
      <w:r w:rsidR="00C57998" w:rsidRPr="008C3009">
        <w:rPr>
          <w:rFonts w:ascii="Arial" w:hAnsi="Arial" w:cs="Arial"/>
          <w:color w:val="000000" w:themeColor="text1"/>
          <w:sz w:val="24"/>
          <w:szCs w:val="24"/>
        </w:rPr>
        <w:t xml:space="preserve">fail to </w:t>
      </w:r>
      <w:r w:rsidRPr="008C3009">
        <w:rPr>
          <w:rFonts w:ascii="Arial" w:hAnsi="Arial" w:cs="Arial"/>
          <w:color w:val="000000" w:themeColor="text1"/>
          <w:sz w:val="24"/>
          <w:szCs w:val="24"/>
        </w:rPr>
        <w:t xml:space="preserve">keep up with living costs. The CIPD Labour Market Outlook (2026) highlights that rising inflation, and cost pressures are increasing expectations regarding pay, reinforcing the importance of competitive reward strategies to attract and retain staff.   Equality legislation is also an external factor influencing reward management.  Reward packages must comply with the Equality Act 2010, ensuring pay practices are fair and non-discriminatory.  ACAS advises that employers should use fair, transparent and consistent pay structures to reduce the risk of unequal pay and perceptions of unfairness.  For </w:t>
      </w:r>
      <w:proofErr w:type="spellStart"/>
      <w:r w:rsidRPr="008C3009">
        <w:rPr>
          <w:rFonts w:ascii="Arial" w:hAnsi="Arial" w:cs="Arial"/>
          <w:color w:val="000000" w:themeColor="text1"/>
          <w:sz w:val="24"/>
          <w:szCs w:val="24"/>
        </w:rPr>
        <w:t>GreenFriendlyEco</w:t>
      </w:r>
      <w:proofErr w:type="spellEnd"/>
      <w:r w:rsidRPr="008C3009">
        <w:rPr>
          <w:rFonts w:ascii="Arial" w:hAnsi="Arial" w:cs="Arial"/>
          <w:color w:val="000000" w:themeColor="text1"/>
          <w:sz w:val="24"/>
          <w:szCs w:val="24"/>
        </w:rPr>
        <w:t xml:space="preserve"> the additional pension schemes for senior staff could be seen as unfairness, if not transparent and justified.  A fair reward strategy would support legal compliance and help build trust</w:t>
      </w:r>
      <w:r w:rsidR="00D27007" w:rsidRPr="008C3009">
        <w:rPr>
          <w:rFonts w:ascii="Arial" w:hAnsi="Arial" w:cs="Arial"/>
          <w:color w:val="000000" w:themeColor="text1"/>
          <w:sz w:val="24"/>
          <w:szCs w:val="24"/>
        </w:rPr>
        <w:t>.</w:t>
      </w:r>
      <w:r w:rsidRPr="008C3009">
        <w:rPr>
          <w:rFonts w:ascii="Arial" w:hAnsi="Arial" w:cs="Arial"/>
          <w:color w:val="000000" w:themeColor="text1"/>
          <w:sz w:val="24"/>
          <w:szCs w:val="24"/>
        </w:rPr>
        <w:t xml:space="preserve">          </w:t>
      </w:r>
    </w:p>
    <w:p w14:paraId="5336E319" w14:textId="77777777" w:rsidR="00946E09" w:rsidRPr="008C3009" w:rsidRDefault="00946E09" w:rsidP="00946E09">
      <w:pPr>
        <w:spacing w:after="0" w:line="240" w:lineRule="auto"/>
        <w:rPr>
          <w:rFonts w:ascii="Arial" w:hAnsi="Arial" w:cs="Arial"/>
          <w:color w:val="000000" w:themeColor="text1"/>
          <w:sz w:val="24"/>
          <w:szCs w:val="24"/>
        </w:rPr>
      </w:pPr>
    </w:p>
    <w:p w14:paraId="7BB30B6C" w14:textId="2E3A5AA2" w:rsidR="00946E09" w:rsidRPr="008C3009" w:rsidRDefault="00946E09" w:rsidP="00946E09">
      <w:pPr>
        <w:spacing w:after="0" w:line="240" w:lineRule="auto"/>
        <w:rPr>
          <w:rFonts w:ascii="Arial" w:hAnsi="Arial" w:cs="Arial"/>
          <w:color w:val="000000" w:themeColor="text1"/>
          <w:sz w:val="24"/>
          <w:szCs w:val="24"/>
        </w:rPr>
      </w:pPr>
      <w:r w:rsidRPr="008C3009">
        <w:rPr>
          <w:rFonts w:ascii="Arial" w:hAnsi="Arial" w:cs="Arial"/>
          <w:color w:val="000000" w:themeColor="text1"/>
          <w:sz w:val="24"/>
          <w:szCs w:val="24"/>
        </w:rPr>
        <w:t xml:space="preserve">The current reward strategy at </w:t>
      </w:r>
      <w:r w:rsidR="0064231B" w:rsidRPr="008C3009">
        <w:rPr>
          <w:rFonts w:ascii="Arial" w:hAnsi="Arial" w:cs="Arial"/>
          <w:color w:val="000000" w:themeColor="text1"/>
          <w:sz w:val="24"/>
          <w:szCs w:val="24"/>
        </w:rPr>
        <w:t>p</w:t>
      </w:r>
      <w:r w:rsidRPr="008C3009">
        <w:rPr>
          <w:rFonts w:ascii="Arial" w:hAnsi="Arial" w:cs="Arial"/>
          <w:color w:val="000000" w:themeColor="text1"/>
          <w:sz w:val="24"/>
          <w:szCs w:val="24"/>
        </w:rPr>
        <w:t xml:space="preserve">rovides little recognition with no incentive schemes apart from senior staff pension schemes and measured day work.  The CIPD (2021, p.25) highlights that recognition, and rewards are linked to employee commitment and satisfaction, particularly in relation to pay and contribution.  </w:t>
      </w:r>
      <w:r w:rsidR="00181DCE" w:rsidRPr="008C3009">
        <w:rPr>
          <w:rFonts w:ascii="Arial" w:hAnsi="Arial" w:cs="Arial"/>
          <w:color w:val="000000" w:themeColor="text1"/>
          <w:sz w:val="24"/>
          <w:szCs w:val="24"/>
        </w:rPr>
        <w:t>L</w:t>
      </w:r>
      <w:r w:rsidRPr="008C3009">
        <w:rPr>
          <w:rFonts w:ascii="Arial" w:hAnsi="Arial" w:cs="Arial"/>
          <w:color w:val="000000" w:themeColor="text1"/>
          <w:sz w:val="24"/>
          <w:szCs w:val="24"/>
        </w:rPr>
        <w:t xml:space="preserve">imited recognition is contributing to a negative culture, low morale and increased turnover.  Internal equity refers to employees’ perception of fairness in pay and rewards.  </w:t>
      </w:r>
      <w:r w:rsidR="00815C97" w:rsidRPr="008C3009">
        <w:rPr>
          <w:rFonts w:ascii="Arial" w:hAnsi="Arial" w:cs="Arial"/>
          <w:color w:val="000000" w:themeColor="text1"/>
          <w:sz w:val="24"/>
          <w:szCs w:val="24"/>
        </w:rPr>
        <w:t>T</w:t>
      </w:r>
      <w:r w:rsidRPr="008C3009">
        <w:rPr>
          <w:rFonts w:ascii="Arial" w:hAnsi="Arial" w:cs="Arial"/>
          <w:color w:val="000000" w:themeColor="text1"/>
          <w:sz w:val="24"/>
          <w:szCs w:val="24"/>
        </w:rPr>
        <w:t xml:space="preserve">his </w:t>
      </w:r>
      <w:r w:rsidR="00135619" w:rsidRPr="008C3009">
        <w:rPr>
          <w:rFonts w:ascii="Arial" w:hAnsi="Arial" w:cs="Arial"/>
          <w:color w:val="000000" w:themeColor="text1"/>
          <w:sz w:val="24"/>
          <w:szCs w:val="24"/>
        </w:rPr>
        <w:t>could</w:t>
      </w:r>
      <w:r w:rsidRPr="008C3009">
        <w:rPr>
          <w:rFonts w:ascii="Arial" w:hAnsi="Arial" w:cs="Arial"/>
          <w:color w:val="000000" w:themeColor="text1"/>
          <w:sz w:val="24"/>
          <w:szCs w:val="24"/>
        </w:rPr>
        <w:t xml:space="preserve"> be a concern due to additional pension schemes for senior staff, which are not available to other employees.  This could be seen as unfair, if differences are not linked to job value or contribution.  According to equity theory, employees judge fairness by comparing their inputs and outcomes with others.</w:t>
      </w:r>
      <w:r w:rsidRPr="008C3009">
        <w:rPr>
          <w:rFonts w:ascii="Arial" w:hAnsi="Arial" w:cs="Arial"/>
          <w:sz w:val="24"/>
          <w:szCs w:val="24"/>
        </w:rPr>
        <w:t xml:space="preserve">  Armstrong and Brown (2019, p.84) suggest that if employees view this as unfavourable, they will experience reward inequity, which may affect morale and performance.  </w:t>
      </w:r>
    </w:p>
    <w:p w14:paraId="1ECA2A2B" w14:textId="77777777" w:rsidR="00946E09" w:rsidRPr="008C3009" w:rsidRDefault="00946E09" w:rsidP="00946E09">
      <w:pPr>
        <w:spacing w:after="0" w:line="240" w:lineRule="auto"/>
        <w:rPr>
          <w:rFonts w:ascii="Arial" w:hAnsi="Arial" w:cs="Arial"/>
          <w:color w:val="000000" w:themeColor="text1"/>
          <w:sz w:val="24"/>
          <w:szCs w:val="24"/>
        </w:rPr>
      </w:pPr>
    </w:p>
    <w:p w14:paraId="4CC077E1" w14:textId="746D887A" w:rsidR="00946E09" w:rsidRPr="008C3009" w:rsidRDefault="00946E09" w:rsidP="00946E09">
      <w:pPr>
        <w:spacing w:after="0" w:line="240" w:lineRule="auto"/>
        <w:rPr>
          <w:rFonts w:ascii="Arial" w:hAnsi="Arial" w:cs="Arial"/>
          <w:color w:val="000000" w:themeColor="text1"/>
          <w:sz w:val="24"/>
          <w:szCs w:val="24"/>
        </w:rPr>
      </w:pPr>
      <w:r w:rsidRPr="008C3009">
        <w:rPr>
          <w:rFonts w:ascii="Arial" w:hAnsi="Arial" w:cs="Arial"/>
          <w:sz w:val="24"/>
          <w:szCs w:val="24"/>
        </w:rPr>
        <w:t xml:space="preserve">Externally,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operates in a competitive labour market. Internally, a lack of incentives, recognition and a negative culture is reducing engagement. Together, these factors increase turnover and make recruitment harder.  </w:t>
      </w:r>
    </w:p>
    <w:p w14:paraId="0EC3DECA" w14:textId="77777777" w:rsidR="00946E09" w:rsidRPr="008C3009" w:rsidRDefault="00946E09" w:rsidP="00946E09">
      <w:pPr>
        <w:spacing w:after="0" w:line="240" w:lineRule="auto"/>
        <w:rPr>
          <w:rFonts w:ascii="Arial" w:hAnsi="Arial" w:cs="Arial"/>
          <w:color w:val="000000" w:themeColor="text1"/>
          <w:sz w:val="24"/>
          <w:szCs w:val="24"/>
        </w:rPr>
      </w:pPr>
    </w:p>
    <w:p w14:paraId="30556D03" w14:textId="77777777" w:rsidR="00946E09" w:rsidRPr="008C3009" w:rsidRDefault="00946E09" w:rsidP="00946E09">
      <w:pPr>
        <w:spacing w:after="0" w:line="240" w:lineRule="auto"/>
        <w:rPr>
          <w:rFonts w:ascii="Arial" w:hAnsi="Arial" w:cs="Arial"/>
          <w:color w:val="000000" w:themeColor="text1"/>
          <w:sz w:val="24"/>
          <w:szCs w:val="24"/>
        </w:rPr>
      </w:pPr>
    </w:p>
    <w:p w14:paraId="50DC643D" w14:textId="77777777" w:rsidR="00B3371A" w:rsidRPr="008C3009" w:rsidRDefault="00B3371A" w:rsidP="00946E09">
      <w:pPr>
        <w:spacing w:after="0" w:line="240" w:lineRule="auto"/>
        <w:rPr>
          <w:rFonts w:ascii="Arial" w:hAnsi="Arial" w:cs="Arial"/>
          <w:b/>
          <w:bCs/>
          <w:color w:val="000000" w:themeColor="text1"/>
          <w:sz w:val="24"/>
          <w:szCs w:val="24"/>
        </w:rPr>
      </w:pPr>
    </w:p>
    <w:p w14:paraId="17A72C68" w14:textId="2E1A8A76" w:rsidR="00D5229D" w:rsidRPr="008C3009" w:rsidRDefault="00B3371A" w:rsidP="00B3371A">
      <w:pPr>
        <w:rPr>
          <w:rFonts w:ascii="Arial" w:hAnsi="Arial" w:cs="Arial"/>
          <w:sz w:val="24"/>
          <w:szCs w:val="24"/>
        </w:rPr>
      </w:pPr>
      <w:r w:rsidRPr="008C3009">
        <w:rPr>
          <w:rFonts w:ascii="Arial" w:hAnsi="Arial" w:cs="Arial"/>
          <w:b/>
          <w:bCs/>
          <w:sz w:val="24"/>
          <w:szCs w:val="24"/>
        </w:rPr>
        <w:lastRenderedPageBreak/>
        <w:t>AC-3.2:</w:t>
      </w:r>
      <w:r w:rsidRPr="008C3009">
        <w:rPr>
          <w:rFonts w:ascii="Arial" w:hAnsi="Arial" w:cs="Arial"/>
          <w:sz w:val="24"/>
          <w:szCs w:val="24"/>
        </w:rPr>
        <w:t xml:space="preserve"> Benchmarking compare</w:t>
      </w:r>
      <w:r w:rsidR="00D5229D" w:rsidRPr="008C3009">
        <w:rPr>
          <w:rFonts w:ascii="Arial" w:hAnsi="Arial" w:cs="Arial"/>
          <w:sz w:val="24"/>
          <w:szCs w:val="24"/>
        </w:rPr>
        <w:t>s</w:t>
      </w:r>
      <w:r w:rsidRPr="008C3009">
        <w:rPr>
          <w:rFonts w:ascii="Arial" w:hAnsi="Arial" w:cs="Arial"/>
          <w:sz w:val="24"/>
          <w:szCs w:val="24"/>
        </w:rPr>
        <w:t xml:space="preserve"> </w:t>
      </w:r>
      <w:r w:rsidR="00D5229D" w:rsidRPr="008C3009">
        <w:rPr>
          <w:rFonts w:ascii="Arial" w:hAnsi="Arial" w:cs="Arial"/>
          <w:sz w:val="24"/>
          <w:szCs w:val="24"/>
        </w:rPr>
        <w:t xml:space="preserve">organisational </w:t>
      </w:r>
      <w:r w:rsidRPr="008C3009">
        <w:rPr>
          <w:rFonts w:ascii="Arial" w:hAnsi="Arial" w:cs="Arial"/>
          <w:sz w:val="24"/>
          <w:szCs w:val="24"/>
        </w:rPr>
        <w:t xml:space="preserve">data against internal and external standards to identify strength, weaknesses and areas for improvement.   At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w:t>
      </w:r>
      <w:r w:rsidR="00D555E2" w:rsidRPr="008C3009">
        <w:rPr>
          <w:rFonts w:ascii="Arial" w:hAnsi="Arial" w:cs="Arial"/>
          <w:sz w:val="24"/>
          <w:szCs w:val="24"/>
        </w:rPr>
        <w:t>concerns include</w:t>
      </w:r>
      <w:r w:rsidR="006C6237" w:rsidRPr="008C3009">
        <w:rPr>
          <w:rFonts w:ascii="Arial" w:hAnsi="Arial" w:cs="Arial"/>
          <w:sz w:val="24"/>
          <w:szCs w:val="24"/>
        </w:rPr>
        <w:t xml:space="preserve"> high </w:t>
      </w:r>
      <w:r w:rsidRPr="008C3009">
        <w:rPr>
          <w:rFonts w:ascii="Arial" w:hAnsi="Arial" w:cs="Arial"/>
          <w:sz w:val="24"/>
          <w:szCs w:val="24"/>
        </w:rPr>
        <w:t>turnover, reward, pay and benefits.  According to the CIPD (2026</w:t>
      </w:r>
      <w:r w:rsidR="00EC79C7" w:rsidRPr="008C3009">
        <w:rPr>
          <w:rFonts w:ascii="Arial" w:hAnsi="Arial" w:cs="Arial"/>
          <w:sz w:val="24"/>
          <w:szCs w:val="24"/>
        </w:rPr>
        <w:t>) using</w:t>
      </w:r>
      <w:r w:rsidR="0036695E" w:rsidRPr="008C3009">
        <w:rPr>
          <w:rFonts w:ascii="Arial" w:hAnsi="Arial" w:cs="Arial"/>
          <w:sz w:val="24"/>
          <w:szCs w:val="24"/>
        </w:rPr>
        <w:t xml:space="preserve"> a range of benchmarking sources supports</w:t>
      </w:r>
      <w:r w:rsidRPr="008C3009">
        <w:rPr>
          <w:rFonts w:ascii="Arial" w:hAnsi="Arial" w:cs="Arial"/>
          <w:sz w:val="24"/>
          <w:szCs w:val="24"/>
        </w:rPr>
        <w:t xml:space="preserve"> evidence-based decision</w:t>
      </w:r>
      <w:r w:rsidR="00EC79C7" w:rsidRPr="008C3009">
        <w:rPr>
          <w:rFonts w:ascii="Arial" w:hAnsi="Arial" w:cs="Arial"/>
          <w:sz w:val="24"/>
          <w:szCs w:val="24"/>
        </w:rPr>
        <w:t>-</w:t>
      </w:r>
      <w:r w:rsidR="00D555E2" w:rsidRPr="008C3009">
        <w:rPr>
          <w:rFonts w:ascii="Arial" w:hAnsi="Arial" w:cs="Arial"/>
          <w:sz w:val="24"/>
          <w:szCs w:val="24"/>
        </w:rPr>
        <w:t>making</w:t>
      </w:r>
      <w:r w:rsidRPr="008C3009">
        <w:rPr>
          <w:rFonts w:ascii="Arial" w:hAnsi="Arial" w:cs="Arial"/>
          <w:sz w:val="24"/>
          <w:szCs w:val="24"/>
        </w:rPr>
        <w:t xml:space="preserve"> based on </w:t>
      </w:r>
      <w:proofErr w:type="gramStart"/>
      <w:r w:rsidRPr="008C3009">
        <w:rPr>
          <w:rFonts w:ascii="Arial" w:hAnsi="Arial" w:cs="Arial"/>
          <w:sz w:val="24"/>
          <w:szCs w:val="24"/>
        </w:rPr>
        <w:t>factual information</w:t>
      </w:r>
      <w:proofErr w:type="gramEnd"/>
      <w:r w:rsidRPr="008C3009">
        <w:rPr>
          <w:rFonts w:ascii="Arial" w:hAnsi="Arial" w:cs="Arial"/>
          <w:sz w:val="24"/>
          <w:szCs w:val="24"/>
        </w:rPr>
        <w:t xml:space="preserve"> rather assumptions, bias or outdated practices.  </w:t>
      </w:r>
    </w:p>
    <w:p w14:paraId="16004A1E" w14:textId="79084BCB" w:rsidR="00214674" w:rsidRPr="008C3009" w:rsidRDefault="00B3371A" w:rsidP="00B3371A">
      <w:pPr>
        <w:rPr>
          <w:rFonts w:ascii="Arial" w:hAnsi="Arial" w:cs="Arial"/>
          <w:sz w:val="24"/>
          <w:szCs w:val="24"/>
        </w:rPr>
      </w:pPr>
      <w:r w:rsidRPr="008C3009">
        <w:rPr>
          <w:rFonts w:ascii="Arial" w:hAnsi="Arial" w:cs="Arial"/>
          <w:sz w:val="24"/>
          <w:szCs w:val="24"/>
        </w:rPr>
        <w:t xml:space="preserve">Salary and Reward Surveys involve comparing pay, bonuses and benefits offered by similar organisations.  This </w:t>
      </w:r>
      <w:r w:rsidR="004A602A" w:rsidRPr="008C3009">
        <w:rPr>
          <w:rFonts w:ascii="Arial" w:hAnsi="Arial" w:cs="Arial"/>
          <w:sz w:val="24"/>
          <w:szCs w:val="24"/>
        </w:rPr>
        <w:t xml:space="preserve">helps assess whether </w:t>
      </w:r>
      <w:r w:rsidRPr="008C3009">
        <w:rPr>
          <w:rFonts w:ascii="Arial" w:hAnsi="Arial" w:cs="Arial"/>
          <w:sz w:val="24"/>
          <w:szCs w:val="24"/>
        </w:rPr>
        <w:t>current reward packages are competitive, however validity may be reduced if data is taken from organisation with different workforce structures</w:t>
      </w:r>
      <w:r w:rsidR="004A602A" w:rsidRPr="008C3009">
        <w:rPr>
          <w:rFonts w:ascii="Arial" w:hAnsi="Arial" w:cs="Arial"/>
          <w:sz w:val="24"/>
          <w:szCs w:val="24"/>
        </w:rPr>
        <w:t>.</w:t>
      </w:r>
      <w:r w:rsidRPr="008C3009">
        <w:rPr>
          <w:rFonts w:ascii="Arial" w:hAnsi="Arial" w:cs="Arial"/>
          <w:sz w:val="24"/>
          <w:szCs w:val="24"/>
        </w:rPr>
        <w:t xml:space="preserve">   Reliable surveys should use large sample sizes and transparent methodologies.  This method is applicable to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because it has no incentive scheme and concerns around turnover, it would help identify whether employees are leaving for organisations that offer better rewards.  </w:t>
      </w:r>
      <w:r w:rsidR="00824A1A" w:rsidRPr="008C3009">
        <w:rPr>
          <w:rFonts w:ascii="Arial" w:hAnsi="Arial" w:cs="Arial"/>
          <w:sz w:val="24"/>
          <w:szCs w:val="24"/>
        </w:rPr>
        <w:t>I</w:t>
      </w:r>
      <w:r w:rsidRPr="008C3009">
        <w:rPr>
          <w:rFonts w:ascii="Arial" w:hAnsi="Arial" w:cs="Arial"/>
          <w:sz w:val="24"/>
          <w:szCs w:val="24"/>
        </w:rPr>
        <w:t xml:space="preserve">t directly relates to attraction and retention.  </w:t>
      </w:r>
      <w:r w:rsidR="00824A1A" w:rsidRPr="008C3009">
        <w:rPr>
          <w:rFonts w:ascii="Arial" w:hAnsi="Arial" w:cs="Arial"/>
          <w:sz w:val="24"/>
          <w:szCs w:val="24"/>
        </w:rPr>
        <w:t>T</w:t>
      </w:r>
      <w:r w:rsidRPr="008C3009">
        <w:rPr>
          <w:rFonts w:ascii="Arial" w:hAnsi="Arial" w:cs="Arial"/>
          <w:sz w:val="24"/>
          <w:szCs w:val="24"/>
        </w:rPr>
        <w:t>he CIPD (2025</w:t>
      </w:r>
      <w:r w:rsidR="00E06676">
        <w:rPr>
          <w:rFonts w:ascii="Arial" w:hAnsi="Arial" w:cs="Arial"/>
          <w:sz w:val="24"/>
          <w:szCs w:val="24"/>
        </w:rPr>
        <w:t>e</w:t>
      </w:r>
      <w:r w:rsidRPr="008C3009">
        <w:rPr>
          <w:rFonts w:ascii="Arial" w:hAnsi="Arial" w:cs="Arial"/>
          <w:sz w:val="24"/>
          <w:szCs w:val="24"/>
        </w:rPr>
        <w:t xml:space="preserve">) highlights salary surveys as a valuable source of external workforce data that can support evidence-based reward decisions.      </w:t>
      </w:r>
    </w:p>
    <w:p w14:paraId="4B1429D7" w14:textId="11DC8722" w:rsidR="00C42E8C" w:rsidRPr="008C3009" w:rsidRDefault="00B3371A" w:rsidP="00B3371A">
      <w:pPr>
        <w:rPr>
          <w:rFonts w:ascii="Arial" w:hAnsi="Arial" w:cs="Arial"/>
          <w:sz w:val="24"/>
          <w:szCs w:val="24"/>
        </w:rPr>
      </w:pPr>
      <w:r w:rsidRPr="008C3009">
        <w:rPr>
          <w:rFonts w:ascii="Arial" w:hAnsi="Arial" w:cs="Arial"/>
          <w:sz w:val="24"/>
          <w:szCs w:val="24"/>
        </w:rPr>
        <w:t xml:space="preserve">Benchmarking against industry data enables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to compare its turnover, productivity and engagement levels against manufacturing organisations.  The validity of this method depends on comparison being made against similar organisations </w:t>
      </w:r>
      <w:r w:rsidR="00C42E8C" w:rsidRPr="008C3009">
        <w:rPr>
          <w:rFonts w:ascii="Arial" w:hAnsi="Arial" w:cs="Arial"/>
          <w:sz w:val="24"/>
          <w:szCs w:val="24"/>
        </w:rPr>
        <w:t xml:space="preserve">a similar </w:t>
      </w:r>
      <w:r w:rsidRPr="008C3009">
        <w:rPr>
          <w:rFonts w:ascii="Arial" w:hAnsi="Arial" w:cs="Arial"/>
          <w:sz w:val="24"/>
          <w:szCs w:val="24"/>
        </w:rPr>
        <w:t xml:space="preserve">size and sector, as using data from different industries reduces relevance.   Reliability of data is strong when obtained from recognised sources such as the Office for National Statistics, which provides data on labour market and employment data.   </w:t>
      </w:r>
      <w:proofErr w:type="spellStart"/>
      <w:r w:rsidRPr="008C3009">
        <w:rPr>
          <w:rFonts w:ascii="Arial" w:hAnsi="Arial" w:cs="Arial"/>
          <w:sz w:val="24"/>
          <w:szCs w:val="24"/>
        </w:rPr>
        <w:t>GreenFriendlyEco’s</w:t>
      </w:r>
      <w:proofErr w:type="spellEnd"/>
      <w:r w:rsidRPr="008C3009">
        <w:rPr>
          <w:rFonts w:ascii="Arial" w:hAnsi="Arial" w:cs="Arial"/>
          <w:sz w:val="24"/>
          <w:szCs w:val="24"/>
        </w:rPr>
        <w:t xml:space="preserve"> key challenge is retaining employees, industry data would allow them to identify whether this is a sector wide issue or whether improvement to pay, benefits or organisation culture are required.    </w:t>
      </w:r>
    </w:p>
    <w:p w14:paraId="6C1FBA52" w14:textId="04BB807C" w:rsidR="00AB6293" w:rsidRPr="008C3009" w:rsidRDefault="00B3371A" w:rsidP="00B3371A">
      <w:pPr>
        <w:rPr>
          <w:rFonts w:ascii="Arial" w:hAnsi="Arial" w:cs="Arial"/>
          <w:sz w:val="24"/>
          <w:szCs w:val="24"/>
        </w:rPr>
      </w:pPr>
      <w:r w:rsidRPr="008C3009">
        <w:rPr>
          <w:rFonts w:ascii="Arial" w:hAnsi="Arial" w:cs="Arial"/>
          <w:sz w:val="24"/>
          <w:szCs w:val="24"/>
        </w:rPr>
        <w:t>Professional research</w:t>
      </w:r>
      <w:r w:rsidR="00AB6293" w:rsidRPr="008C3009">
        <w:rPr>
          <w:rFonts w:ascii="Arial" w:hAnsi="Arial" w:cs="Arial"/>
          <w:sz w:val="24"/>
          <w:szCs w:val="24"/>
        </w:rPr>
        <w:t>,</w:t>
      </w:r>
      <w:r w:rsidRPr="008C3009">
        <w:rPr>
          <w:rFonts w:ascii="Arial" w:hAnsi="Arial" w:cs="Arial"/>
          <w:sz w:val="24"/>
          <w:szCs w:val="24"/>
        </w:rPr>
        <w:t xml:space="preserve"> such as CIPD reports provide</w:t>
      </w:r>
      <w:r w:rsidR="00AB6293" w:rsidRPr="008C3009">
        <w:rPr>
          <w:rFonts w:ascii="Arial" w:hAnsi="Arial" w:cs="Arial"/>
          <w:sz w:val="24"/>
          <w:szCs w:val="24"/>
        </w:rPr>
        <w:t>s</w:t>
      </w:r>
      <w:r w:rsidRPr="008C3009">
        <w:rPr>
          <w:rFonts w:ascii="Arial" w:hAnsi="Arial" w:cs="Arial"/>
          <w:sz w:val="24"/>
          <w:szCs w:val="24"/>
        </w:rPr>
        <w:t xml:space="preserve"> evidence-based information on reward trends, motivation and best practice.  It is valid </w:t>
      </w:r>
      <w:r w:rsidR="00AB6293" w:rsidRPr="008C3009">
        <w:rPr>
          <w:rFonts w:ascii="Arial" w:hAnsi="Arial" w:cs="Arial"/>
          <w:sz w:val="24"/>
          <w:szCs w:val="24"/>
        </w:rPr>
        <w:t xml:space="preserve">due to </w:t>
      </w:r>
      <w:r w:rsidRPr="008C3009">
        <w:rPr>
          <w:rFonts w:ascii="Arial" w:hAnsi="Arial" w:cs="Arial"/>
          <w:sz w:val="24"/>
          <w:szCs w:val="24"/>
        </w:rPr>
        <w:t xml:space="preserve">established research </w:t>
      </w:r>
      <w:r w:rsidR="00AB6293" w:rsidRPr="008C3009">
        <w:rPr>
          <w:rFonts w:ascii="Arial" w:hAnsi="Arial" w:cs="Arial"/>
          <w:sz w:val="24"/>
          <w:szCs w:val="24"/>
        </w:rPr>
        <w:t xml:space="preserve">methods </w:t>
      </w:r>
      <w:r w:rsidRPr="008C3009">
        <w:rPr>
          <w:rFonts w:ascii="Arial" w:hAnsi="Arial" w:cs="Arial"/>
          <w:sz w:val="24"/>
          <w:szCs w:val="24"/>
        </w:rPr>
        <w:t xml:space="preserve">and specialist expertise and reliable because </w:t>
      </w:r>
      <w:r w:rsidR="00FF5675" w:rsidRPr="008C3009">
        <w:rPr>
          <w:rFonts w:ascii="Arial" w:hAnsi="Arial" w:cs="Arial"/>
          <w:sz w:val="24"/>
          <w:szCs w:val="24"/>
        </w:rPr>
        <w:t xml:space="preserve">it is </w:t>
      </w:r>
      <w:r w:rsidRPr="008C3009">
        <w:rPr>
          <w:rFonts w:ascii="Arial" w:hAnsi="Arial" w:cs="Arial"/>
          <w:sz w:val="24"/>
          <w:szCs w:val="24"/>
        </w:rPr>
        <w:t xml:space="preserve">supported by </w:t>
      </w:r>
      <w:r w:rsidR="00021E56" w:rsidRPr="008C3009">
        <w:rPr>
          <w:rFonts w:ascii="Arial" w:hAnsi="Arial" w:cs="Arial"/>
          <w:sz w:val="24"/>
          <w:szCs w:val="24"/>
        </w:rPr>
        <w:t xml:space="preserve">large amounts of </w:t>
      </w:r>
      <w:r w:rsidRPr="008C3009">
        <w:rPr>
          <w:rFonts w:ascii="Arial" w:hAnsi="Arial" w:cs="Arial"/>
          <w:sz w:val="24"/>
          <w:szCs w:val="24"/>
        </w:rPr>
        <w:t xml:space="preserve">data </w:t>
      </w:r>
      <w:r w:rsidR="00FE13DC" w:rsidRPr="008C3009">
        <w:rPr>
          <w:rFonts w:ascii="Arial" w:hAnsi="Arial" w:cs="Arial"/>
          <w:sz w:val="24"/>
          <w:szCs w:val="24"/>
        </w:rPr>
        <w:t>and</w:t>
      </w:r>
      <w:r w:rsidRPr="008C3009">
        <w:rPr>
          <w:rFonts w:ascii="Arial" w:hAnsi="Arial" w:cs="Arial"/>
          <w:sz w:val="24"/>
          <w:szCs w:val="24"/>
        </w:rPr>
        <w:t xml:space="preserve"> regular updates.  The CIPD (2025</w:t>
      </w:r>
      <w:r w:rsidR="00E06676">
        <w:rPr>
          <w:rFonts w:ascii="Arial" w:hAnsi="Arial" w:cs="Arial"/>
          <w:sz w:val="24"/>
          <w:szCs w:val="24"/>
        </w:rPr>
        <w:t>e</w:t>
      </w:r>
      <w:r w:rsidRPr="008C3009">
        <w:rPr>
          <w:rFonts w:ascii="Arial" w:hAnsi="Arial" w:cs="Arial"/>
          <w:sz w:val="24"/>
          <w:szCs w:val="24"/>
        </w:rPr>
        <w:t>) highlights how people analytics use</w:t>
      </w:r>
      <w:r w:rsidR="00FF5675" w:rsidRPr="008C3009">
        <w:rPr>
          <w:rFonts w:ascii="Arial" w:hAnsi="Arial" w:cs="Arial"/>
          <w:sz w:val="24"/>
          <w:szCs w:val="24"/>
        </w:rPr>
        <w:t>s</w:t>
      </w:r>
      <w:r w:rsidRPr="008C3009">
        <w:rPr>
          <w:rFonts w:ascii="Arial" w:hAnsi="Arial" w:cs="Arial"/>
          <w:sz w:val="24"/>
          <w:szCs w:val="24"/>
        </w:rPr>
        <w:t xml:space="preserve"> internal and external workforce data to </w:t>
      </w:r>
      <w:r w:rsidR="00DB574E" w:rsidRPr="008C3009">
        <w:rPr>
          <w:rFonts w:ascii="Arial" w:hAnsi="Arial" w:cs="Arial"/>
          <w:sz w:val="24"/>
          <w:szCs w:val="24"/>
        </w:rPr>
        <w:t>drive</w:t>
      </w:r>
      <w:r w:rsidRPr="008C3009">
        <w:rPr>
          <w:rFonts w:ascii="Arial" w:hAnsi="Arial" w:cs="Arial"/>
          <w:sz w:val="24"/>
          <w:szCs w:val="24"/>
        </w:rPr>
        <w:t xml:space="preserve"> organisation change.  </w:t>
      </w:r>
      <w:r w:rsidR="002F314E" w:rsidRPr="008C3009">
        <w:rPr>
          <w:rFonts w:ascii="Arial" w:hAnsi="Arial" w:cs="Arial"/>
          <w:sz w:val="24"/>
          <w:szCs w:val="24"/>
        </w:rPr>
        <w:t xml:space="preserve">For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w:t>
      </w:r>
      <w:r w:rsidR="002F314E" w:rsidRPr="008C3009">
        <w:rPr>
          <w:rFonts w:ascii="Arial" w:hAnsi="Arial" w:cs="Arial"/>
          <w:sz w:val="24"/>
          <w:szCs w:val="24"/>
        </w:rPr>
        <w:t xml:space="preserve">it can identify </w:t>
      </w:r>
      <w:r w:rsidR="00FE13DC" w:rsidRPr="008C3009">
        <w:rPr>
          <w:rFonts w:ascii="Arial" w:hAnsi="Arial" w:cs="Arial"/>
          <w:sz w:val="24"/>
          <w:szCs w:val="24"/>
        </w:rPr>
        <w:t xml:space="preserve">ways </w:t>
      </w:r>
      <w:r w:rsidR="002F314E" w:rsidRPr="008C3009">
        <w:rPr>
          <w:rFonts w:ascii="Arial" w:hAnsi="Arial" w:cs="Arial"/>
          <w:sz w:val="24"/>
          <w:szCs w:val="24"/>
        </w:rPr>
        <w:t>to improve motivation, engagement and retention</w:t>
      </w:r>
      <w:r w:rsidR="001961EB" w:rsidRPr="008C3009">
        <w:rPr>
          <w:rFonts w:ascii="Arial" w:hAnsi="Arial" w:cs="Arial"/>
          <w:sz w:val="24"/>
          <w:szCs w:val="24"/>
        </w:rPr>
        <w:t>.</w:t>
      </w:r>
      <w:r w:rsidRPr="008C3009">
        <w:rPr>
          <w:rFonts w:ascii="Arial" w:hAnsi="Arial" w:cs="Arial"/>
          <w:sz w:val="24"/>
          <w:szCs w:val="24"/>
        </w:rPr>
        <w:t xml:space="preserve"> </w:t>
      </w:r>
      <w:r w:rsidR="001961EB" w:rsidRPr="008C3009">
        <w:rPr>
          <w:rFonts w:ascii="Arial" w:hAnsi="Arial" w:cs="Arial"/>
          <w:sz w:val="24"/>
          <w:szCs w:val="24"/>
        </w:rPr>
        <w:t xml:space="preserve">  </w:t>
      </w:r>
      <w:r w:rsidRPr="008C3009">
        <w:rPr>
          <w:rFonts w:ascii="Arial" w:hAnsi="Arial" w:cs="Arial"/>
          <w:sz w:val="24"/>
          <w:szCs w:val="24"/>
        </w:rPr>
        <w:t>However, professional research should be used alongside other data, as the CIPD (2025</w:t>
      </w:r>
      <w:r w:rsidR="00E06676">
        <w:rPr>
          <w:rFonts w:ascii="Arial" w:hAnsi="Arial" w:cs="Arial"/>
          <w:sz w:val="24"/>
          <w:szCs w:val="24"/>
        </w:rPr>
        <w:t>e</w:t>
      </w:r>
      <w:r w:rsidRPr="008C3009">
        <w:rPr>
          <w:rFonts w:ascii="Arial" w:hAnsi="Arial" w:cs="Arial"/>
          <w:sz w:val="24"/>
          <w:szCs w:val="24"/>
        </w:rPr>
        <w:t xml:space="preserve">) highlights that whilst analytics can identify relationships and trends, organisations should consider wider factors before making conclusions.      </w:t>
      </w:r>
    </w:p>
    <w:p w14:paraId="155D809D" w14:textId="283CBBDD" w:rsidR="00B3371A" w:rsidRPr="008C3009" w:rsidRDefault="00C11647" w:rsidP="00B3371A">
      <w:pPr>
        <w:rPr>
          <w:rFonts w:ascii="Arial" w:hAnsi="Arial" w:cs="Arial"/>
          <w:sz w:val="24"/>
          <w:szCs w:val="24"/>
        </w:rPr>
      </w:pPr>
      <w:r w:rsidRPr="008C3009">
        <w:rPr>
          <w:rFonts w:ascii="Arial" w:hAnsi="Arial" w:cs="Arial"/>
          <w:sz w:val="24"/>
          <w:szCs w:val="24"/>
        </w:rPr>
        <w:t>I</w:t>
      </w:r>
      <w:r w:rsidR="00B3371A" w:rsidRPr="008C3009">
        <w:rPr>
          <w:rFonts w:ascii="Arial" w:hAnsi="Arial" w:cs="Arial"/>
          <w:sz w:val="24"/>
          <w:szCs w:val="24"/>
        </w:rPr>
        <w:t>nternal benchmarking involves analysing data such as turnover,</w:t>
      </w:r>
      <w:r w:rsidR="00B62F94" w:rsidRPr="008C3009">
        <w:rPr>
          <w:rFonts w:ascii="Arial" w:hAnsi="Arial" w:cs="Arial"/>
          <w:sz w:val="24"/>
          <w:szCs w:val="24"/>
        </w:rPr>
        <w:t xml:space="preserve"> </w:t>
      </w:r>
      <w:r w:rsidR="00B3371A" w:rsidRPr="008C3009">
        <w:rPr>
          <w:rFonts w:ascii="Arial" w:hAnsi="Arial" w:cs="Arial"/>
          <w:sz w:val="24"/>
          <w:szCs w:val="24"/>
        </w:rPr>
        <w:t xml:space="preserve">exit interview and employee feedback.  It </w:t>
      </w:r>
      <w:r w:rsidR="00B62F94" w:rsidRPr="008C3009">
        <w:rPr>
          <w:rFonts w:ascii="Arial" w:hAnsi="Arial" w:cs="Arial"/>
          <w:sz w:val="24"/>
          <w:szCs w:val="24"/>
        </w:rPr>
        <w:t xml:space="preserve">is valid </w:t>
      </w:r>
      <w:r w:rsidR="00232666" w:rsidRPr="008C3009">
        <w:rPr>
          <w:rFonts w:ascii="Arial" w:hAnsi="Arial" w:cs="Arial"/>
          <w:sz w:val="24"/>
          <w:szCs w:val="24"/>
        </w:rPr>
        <w:t xml:space="preserve">because it </w:t>
      </w:r>
      <w:r w:rsidR="00B3371A" w:rsidRPr="008C3009">
        <w:rPr>
          <w:rFonts w:ascii="Arial" w:hAnsi="Arial" w:cs="Arial"/>
          <w:sz w:val="24"/>
          <w:szCs w:val="24"/>
        </w:rPr>
        <w:t xml:space="preserve">reflects </w:t>
      </w:r>
      <w:r w:rsidR="00232666" w:rsidRPr="008C3009">
        <w:rPr>
          <w:rFonts w:ascii="Arial" w:hAnsi="Arial" w:cs="Arial"/>
          <w:sz w:val="24"/>
          <w:szCs w:val="24"/>
        </w:rPr>
        <w:t>employees</w:t>
      </w:r>
      <w:r w:rsidR="00B3371A" w:rsidRPr="008C3009">
        <w:rPr>
          <w:rFonts w:ascii="Arial" w:hAnsi="Arial" w:cs="Arial"/>
          <w:sz w:val="24"/>
          <w:szCs w:val="24"/>
        </w:rPr>
        <w:t xml:space="preserve"> lived experience.  </w:t>
      </w:r>
      <w:r w:rsidR="00232666" w:rsidRPr="008C3009">
        <w:rPr>
          <w:rFonts w:ascii="Arial" w:hAnsi="Arial" w:cs="Arial"/>
          <w:sz w:val="24"/>
          <w:szCs w:val="24"/>
        </w:rPr>
        <w:t>R</w:t>
      </w:r>
      <w:r w:rsidR="00B3371A" w:rsidRPr="008C3009">
        <w:rPr>
          <w:rFonts w:ascii="Arial" w:hAnsi="Arial" w:cs="Arial"/>
          <w:sz w:val="24"/>
          <w:szCs w:val="24"/>
        </w:rPr>
        <w:t xml:space="preserve">eliability depends </w:t>
      </w:r>
      <w:r w:rsidR="0099442C" w:rsidRPr="008C3009">
        <w:rPr>
          <w:rFonts w:ascii="Arial" w:hAnsi="Arial" w:cs="Arial"/>
          <w:sz w:val="24"/>
          <w:szCs w:val="24"/>
        </w:rPr>
        <w:t>on accurate</w:t>
      </w:r>
      <w:r w:rsidR="00820144" w:rsidRPr="008C3009">
        <w:rPr>
          <w:rFonts w:ascii="Arial" w:hAnsi="Arial" w:cs="Arial"/>
          <w:sz w:val="24"/>
          <w:szCs w:val="24"/>
        </w:rPr>
        <w:t xml:space="preserve"> and consistent data collection</w:t>
      </w:r>
      <w:r w:rsidR="0030325F" w:rsidRPr="008C3009">
        <w:rPr>
          <w:rFonts w:ascii="Arial" w:hAnsi="Arial" w:cs="Arial"/>
          <w:sz w:val="24"/>
          <w:szCs w:val="24"/>
        </w:rPr>
        <w:t>, p</w:t>
      </w:r>
      <w:r w:rsidR="00B3371A" w:rsidRPr="008C3009">
        <w:rPr>
          <w:rFonts w:ascii="Arial" w:hAnsi="Arial" w:cs="Arial"/>
          <w:sz w:val="24"/>
          <w:szCs w:val="24"/>
        </w:rPr>
        <w:t xml:space="preserve">oor record keeping </w:t>
      </w:r>
      <w:r w:rsidR="0030325F" w:rsidRPr="008C3009">
        <w:rPr>
          <w:rFonts w:ascii="Arial" w:hAnsi="Arial" w:cs="Arial"/>
          <w:sz w:val="24"/>
          <w:szCs w:val="24"/>
        </w:rPr>
        <w:t>could reduce its effectiveness.</w:t>
      </w:r>
      <w:r w:rsidR="00B3371A" w:rsidRPr="008C3009">
        <w:rPr>
          <w:rFonts w:ascii="Arial" w:hAnsi="Arial" w:cs="Arial"/>
          <w:sz w:val="24"/>
          <w:szCs w:val="24"/>
        </w:rPr>
        <w:t xml:space="preserve">   </w:t>
      </w:r>
      <w:r w:rsidR="00982D34" w:rsidRPr="008C3009">
        <w:rPr>
          <w:rFonts w:ascii="Arial" w:hAnsi="Arial" w:cs="Arial"/>
          <w:sz w:val="24"/>
          <w:szCs w:val="24"/>
        </w:rPr>
        <w:t>CIPD (2025</w:t>
      </w:r>
      <w:r w:rsidR="00E06676">
        <w:rPr>
          <w:rFonts w:ascii="Arial" w:hAnsi="Arial" w:cs="Arial"/>
          <w:sz w:val="24"/>
          <w:szCs w:val="24"/>
        </w:rPr>
        <w:t>e</w:t>
      </w:r>
      <w:r w:rsidR="00982D34" w:rsidRPr="008C3009">
        <w:rPr>
          <w:rFonts w:ascii="Arial" w:hAnsi="Arial" w:cs="Arial"/>
          <w:sz w:val="24"/>
          <w:szCs w:val="24"/>
        </w:rPr>
        <w:t xml:space="preserve">) highlights the importance </w:t>
      </w:r>
      <w:r w:rsidR="009C50D0" w:rsidRPr="008C3009">
        <w:rPr>
          <w:rFonts w:ascii="Arial" w:hAnsi="Arial" w:cs="Arial"/>
          <w:sz w:val="24"/>
          <w:szCs w:val="24"/>
        </w:rPr>
        <w:t>of using internal workforce dat</w:t>
      </w:r>
      <w:r w:rsidR="0099442C" w:rsidRPr="008C3009">
        <w:rPr>
          <w:rFonts w:ascii="Arial" w:hAnsi="Arial" w:cs="Arial"/>
          <w:sz w:val="24"/>
          <w:szCs w:val="24"/>
        </w:rPr>
        <w:t>a</w:t>
      </w:r>
      <w:r w:rsidR="009C50D0" w:rsidRPr="008C3009">
        <w:rPr>
          <w:rFonts w:ascii="Arial" w:hAnsi="Arial" w:cs="Arial"/>
          <w:sz w:val="24"/>
          <w:szCs w:val="24"/>
        </w:rPr>
        <w:t xml:space="preserve"> to identify areas for improvement.  This is one of the most applicable </w:t>
      </w:r>
      <w:r w:rsidR="000A4ABE" w:rsidRPr="008C3009">
        <w:rPr>
          <w:rFonts w:ascii="Arial" w:hAnsi="Arial" w:cs="Arial"/>
          <w:sz w:val="24"/>
          <w:szCs w:val="24"/>
        </w:rPr>
        <w:t xml:space="preserve">methods for </w:t>
      </w:r>
      <w:proofErr w:type="spellStart"/>
      <w:r w:rsidR="000A4ABE" w:rsidRPr="008C3009">
        <w:rPr>
          <w:rFonts w:ascii="Arial" w:hAnsi="Arial" w:cs="Arial"/>
          <w:sz w:val="24"/>
          <w:szCs w:val="24"/>
        </w:rPr>
        <w:t>GreenfRiendlyEco</w:t>
      </w:r>
      <w:proofErr w:type="spellEnd"/>
      <w:r w:rsidR="000A4ABE" w:rsidRPr="008C3009">
        <w:rPr>
          <w:rFonts w:ascii="Arial" w:hAnsi="Arial" w:cs="Arial"/>
          <w:sz w:val="24"/>
          <w:szCs w:val="24"/>
        </w:rPr>
        <w:t xml:space="preserve"> as it can </w:t>
      </w:r>
      <w:r w:rsidR="00B3371A" w:rsidRPr="008C3009">
        <w:rPr>
          <w:rFonts w:ascii="Arial" w:hAnsi="Arial" w:cs="Arial"/>
          <w:sz w:val="24"/>
          <w:szCs w:val="24"/>
        </w:rPr>
        <w:t>identif</w:t>
      </w:r>
      <w:r w:rsidR="000A4ABE" w:rsidRPr="008C3009">
        <w:rPr>
          <w:rFonts w:ascii="Arial" w:hAnsi="Arial" w:cs="Arial"/>
          <w:sz w:val="24"/>
          <w:szCs w:val="24"/>
        </w:rPr>
        <w:t>y</w:t>
      </w:r>
      <w:r w:rsidR="00B3371A" w:rsidRPr="008C3009">
        <w:rPr>
          <w:rFonts w:ascii="Arial" w:hAnsi="Arial" w:cs="Arial"/>
          <w:sz w:val="24"/>
          <w:szCs w:val="24"/>
        </w:rPr>
        <w:t xml:space="preserve"> causes of employee dissatisfaction </w:t>
      </w:r>
      <w:r w:rsidR="000A4ABE" w:rsidRPr="008C3009">
        <w:rPr>
          <w:rFonts w:ascii="Arial" w:hAnsi="Arial" w:cs="Arial"/>
          <w:sz w:val="24"/>
          <w:szCs w:val="24"/>
        </w:rPr>
        <w:t xml:space="preserve">and turnover.  </w:t>
      </w:r>
    </w:p>
    <w:p w14:paraId="3F1BC18E" w14:textId="0A2681B9" w:rsidR="00B3371A" w:rsidRPr="008C3009" w:rsidRDefault="00B3371A" w:rsidP="00B3371A">
      <w:pPr>
        <w:rPr>
          <w:rFonts w:ascii="Arial" w:hAnsi="Arial" w:cs="Arial"/>
          <w:sz w:val="24"/>
          <w:szCs w:val="24"/>
        </w:rPr>
      </w:pPr>
      <w:r w:rsidRPr="008C3009">
        <w:rPr>
          <w:rFonts w:ascii="Arial" w:hAnsi="Arial" w:cs="Arial"/>
          <w:sz w:val="24"/>
          <w:szCs w:val="24"/>
        </w:rPr>
        <w:t xml:space="preserve">All methods could provide useful data to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however internal benchmarking and salary and reward surveys are the most beneficial.  Internal data </w:t>
      </w:r>
      <w:r w:rsidRPr="008C3009">
        <w:rPr>
          <w:rFonts w:ascii="Arial" w:hAnsi="Arial" w:cs="Arial"/>
          <w:sz w:val="24"/>
          <w:szCs w:val="24"/>
        </w:rPr>
        <w:lastRenderedPageBreak/>
        <w:t>would identify the reasons why employees are leaving, whereas salary surveys could confirm whether either current reward package is competitive.</w:t>
      </w:r>
    </w:p>
    <w:p w14:paraId="497190AD" w14:textId="77777777" w:rsidR="003D4390" w:rsidRPr="008C3009" w:rsidRDefault="003D4390" w:rsidP="00946E09">
      <w:pPr>
        <w:spacing w:after="0" w:line="240" w:lineRule="auto"/>
        <w:rPr>
          <w:rFonts w:ascii="Arial" w:hAnsi="Arial" w:cs="Arial"/>
          <w:b/>
          <w:bCs/>
          <w:color w:val="000000" w:themeColor="text1"/>
          <w:sz w:val="24"/>
          <w:szCs w:val="24"/>
        </w:rPr>
      </w:pPr>
    </w:p>
    <w:p w14:paraId="1DD1628D" w14:textId="06907A73" w:rsidR="00946E09" w:rsidRPr="008C3009" w:rsidRDefault="00946E09" w:rsidP="00946E09">
      <w:pPr>
        <w:spacing w:after="0" w:line="240" w:lineRule="auto"/>
        <w:rPr>
          <w:rFonts w:ascii="Arial" w:hAnsi="Arial" w:cs="Arial"/>
          <w:color w:val="000000" w:themeColor="text1"/>
          <w:sz w:val="24"/>
          <w:szCs w:val="24"/>
        </w:rPr>
      </w:pPr>
      <w:r w:rsidRPr="008C3009">
        <w:rPr>
          <w:rFonts w:ascii="Arial" w:hAnsi="Arial" w:cs="Arial"/>
          <w:b/>
          <w:bCs/>
          <w:color w:val="000000" w:themeColor="text1"/>
          <w:sz w:val="24"/>
          <w:szCs w:val="24"/>
        </w:rPr>
        <w:t>AC-3.3:</w:t>
      </w:r>
      <w:r w:rsidRPr="008C3009">
        <w:rPr>
          <w:rFonts w:ascii="Arial" w:hAnsi="Arial" w:cs="Arial"/>
          <w:color w:val="000000" w:themeColor="text1"/>
          <w:sz w:val="24"/>
          <w:szCs w:val="24"/>
        </w:rPr>
        <w:t xml:space="preserve"> Job evaluation is the systematic process of assessing the worth of jobs within an organisation to support fair and consistent pay structures.  According to ACAS, it provides an objective framework for assessing jobs and reducing bias, particularly in larger organisations, where it can be difficult for people professionals to know every job in detail. </w:t>
      </w:r>
    </w:p>
    <w:p w14:paraId="04BE8914" w14:textId="77777777" w:rsidR="00946E09" w:rsidRPr="008C3009" w:rsidRDefault="00946E09" w:rsidP="00946E09">
      <w:pPr>
        <w:spacing w:after="0" w:line="240" w:lineRule="auto"/>
        <w:rPr>
          <w:rFonts w:ascii="Arial" w:hAnsi="Arial" w:cs="Arial"/>
          <w:color w:val="000000" w:themeColor="text1"/>
          <w:sz w:val="24"/>
          <w:szCs w:val="24"/>
        </w:rPr>
      </w:pPr>
    </w:p>
    <w:p w14:paraId="1C9D6D2E" w14:textId="718C0ADB" w:rsidR="00946E09" w:rsidRPr="008C3009" w:rsidRDefault="00946E09" w:rsidP="00946E09">
      <w:pPr>
        <w:spacing w:after="0" w:line="240" w:lineRule="auto"/>
        <w:rPr>
          <w:rFonts w:ascii="Arial" w:hAnsi="Arial" w:cs="Arial"/>
          <w:color w:val="000000" w:themeColor="text1"/>
          <w:sz w:val="24"/>
          <w:szCs w:val="24"/>
        </w:rPr>
      </w:pPr>
      <w:r w:rsidRPr="008C3009">
        <w:rPr>
          <w:rFonts w:ascii="Arial" w:hAnsi="Arial" w:cs="Arial"/>
          <w:color w:val="000000" w:themeColor="text1"/>
          <w:sz w:val="24"/>
          <w:szCs w:val="24"/>
        </w:rPr>
        <w:t xml:space="preserve">Formal job evaluation is a structured, standardised and systematic approach that assess the value of jobs using consistent criteria.  Armstrong and Brown (2019, p.140) argue that job evaluation should not be viewed as rigid but as a flexible approach that maintains consistency and transparency.  It promotes fairness, supports internal pay equity and provides a clear basis for career progression, although it can be time-consuming and requires specialist HR expertise. In contrast, informal job evaluations rely on managerial judgements and expertise rather than a structured methodology.  While it is quicker and more flexible, it can result in inconsistent decisions, bias and difficulties justifying differences in pay.  For </w:t>
      </w:r>
      <w:proofErr w:type="spellStart"/>
      <w:r w:rsidRPr="008C3009">
        <w:rPr>
          <w:rFonts w:ascii="Arial" w:hAnsi="Arial" w:cs="Arial"/>
          <w:color w:val="000000" w:themeColor="text1"/>
          <w:sz w:val="24"/>
          <w:szCs w:val="24"/>
        </w:rPr>
        <w:t>GreeFriendlyEco</w:t>
      </w:r>
      <w:proofErr w:type="spellEnd"/>
      <w:r w:rsidRPr="008C3009">
        <w:rPr>
          <w:rFonts w:ascii="Arial" w:hAnsi="Arial" w:cs="Arial"/>
          <w:color w:val="000000" w:themeColor="text1"/>
          <w:sz w:val="24"/>
          <w:szCs w:val="24"/>
        </w:rPr>
        <w:t xml:space="preserve">, where employee’s turnover and inconsistent reward practice are concerns, a formal approach would provide consistency and transparency. </w:t>
      </w:r>
    </w:p>
    <w:p w14:paraId="5E7237EE" w14:textId="77777777" w:rsidR="00946E09" w:rsidRPr="008C3009" w:rsidRDefault="00946E09" w:rsidP="00946E09">
      <w:pPr>
        <w:spacing w:after="0" w:line="240" w:lineRule="auto"/>
        <w:rPr>
          <w:rFonts w:ascii="Arial" w:hAnsi="Arial" w:cs="Arial"/>
          <w:color w:val="000000" w:themeColor="text1"/>
          <w:sz w:val="24"/>
          <w:szCs w:val="24"/>
        </w:rPr>
      </w:pPr>
    </w:p>
    <w:p w14:paraId="5ED88478" w14:textId="77777777" w:rsidR="00946E09" w:rsidRPr="008C3009" w:rsidRDefault="00946E09" w:rsidP="00946E09">
      <w:pPr>
        <w:spacing w:after="0" w:line="240" w:lineRule="auto"/>
        <w:rPr>
          <w:rFonts w:ascii="Arial" w:hAnsi="Arial" w:cs="Arial"/>
          <w:sz w:val="24"/>
          <w:szCs w:val="24"/>
        </w:rPr>
      </w:pPr>
      <w:r w:rsidRPr="008C3009">
        <w:rPr>
          <w:rFonts w:ascii="Arial" w:hAnsi="Arial" w:cs="Arial"/>
          <w:color w:val="000000" w:themeColor="text1"/>
          <w:sz w:val="24"/>
          <w:szCs w:val="24"/>
        </w:rPr>
        <w:t xml:space="preserve">Formal job evaluation can be undertaken using analytical or non-analytical methods.  Analytical methods involve breaking jobs down into separate elements, such knowledge, skills, responsibilities and effort.  Armstrong and Brown (2019, p.141) suggest that analytical methods increase the objectivity and consistency of job evaluation and can support equal pay.  One example is the point-factor method, where points are allocated to each factor to produce a score that determines job grades.  Jones and Perkins (2020, p.133) note that the factors selected depend on the organisation and the range of occupations.  For </w:t>
      </w:r>
      <w:proofErr w:type="spellStart"/>
      <w:r w:rsidRPr="008C3009">
        <w:rPr>
          <w:rFonts w:ascii="Arial" w:hAnsi="Arial" w:cs="Arial"/>
          <w:color w:val="000000" w:themeColor="text1"/>
          <w:sz w:val="24"/>
          <w:szCs w:val="24"/>
        </w:rPr>
        <w:t>GreeFriendlyEco</w:t>
      </w:r>
      <w:proofErr w:type="spellEnd"/>
      <w:r w:rsidRPr="008C3009">
        <w:rPr>
          <w:rFonts w:ascii="Arial" w:hAnsi="Arial" w:cs="Arial"/>
          <w:color w:val="000000" w:themeColor="text1"/>
          <w:sz w:val="24"/>
          <w:szCs w:val="24"/>
        </w:rPr>
        <w:t xml:space="preserve">, a point-factor approach would provide consistent objective method of evaluating both skilled and non-skilled roles.  Non-analytical methods assess jobs </w:t>
      </w:r>
      <w:proofErr w:type="gramStart"/>
      <w:r w:rsidRPr="008C3009">
        <w:rPr>
          <w:rFonts w:ascii="Arial" w:hAnsi="Arial" w:cs="Arial"/>
          <w:color w:val="000000" w:themeColor="text1"/>
          <w:sz w:val="24"/>
          <w:szCs w:val="24"/>
        </w:rPr>
        <w:t>as a whole rather</w:t>
      </w:r>
      <w:proofErr w:type="gramEnd"/>
      <w:r w:rsidRPr="008C3009">
        <w:rPr>
          <w:rFonts w:ascii="Arial" w:hAnsi="Arial" w:cs="Arial"/>
          <w:color w:val="000000" w:themeColor="text1"/>
          <w:sz w:val="24"/>
          <w:szCs w:val="24"/>
        </w:rPr>
        <w:t xml:space="preserve"> than by individual factors.  For example, job ranking orders jobs according to their overall value to the organisation.  According to the CIPD (2026), these methods are simpler, quicker and less costly but are generally more subjective.</w:t>
      </w:r>
    </w:p>
    <w:p w14:paraId="335ED5B9" w14:textId="77777777" w:rsidR="00946E09" w:rsidRPr="008C3009" w:rsidRDefault="00946E09" w:rsidP="00946E09">
      <w:pPr>
        <w:spacing w:after="0" w:line="240" w:lineRule="auto"/>
        <w:rPr>
          <w:rFonts w:ascii="Arial" w:hAnsi="Arial" w:cs="Arial"/>
          <w:sz w:val="24"/>
          <w:szCs w:val="24"/>
        </w:rPr>
      </w:pPr>
    </w:p>
    <w:p w14:paraId="5839E3C9" w14:textId="00556FEA" w:rsidR="00946E09" w:rsidRPr="008C3009" w:rsidRDefault="00946E09" w:rsidP="00946E09">
      <w:pPr>
        <w:spacing w:after="0" w:line="240" w:lineRule="auto"/>
        <w:rPr>
          <w:rFonts w:ascii="Arial" w:hAnsi="Arial" w:cs="Arial"/>
          <w:sz w:val="24"/>
          <w:szCs w:val="24"/>
        </w:rPr>
      </w:pPr>
      <w:r w:rsidRPr="008C3009">
        <w:rPr>
          <w:rFonts w:ascii="Arial" w:hAnsi="Arial" w:cs="Arial"/>
          <w:sz w:val="24"/>
          <w:szCs w:val="24"/>
        </w:rPr>
        <w:t>Under the Equality Act 2010, employees are entitled to equal pay for like work, work rated as equivalent by an analytical job evaluation scheme, or work of equal value. The CIPD (20</w:t>
      </w:r>
      <w:r w:rsidR="00427DB7">
        <w:rPr>
          <w:rFonts w:ascii="Arial" w:hAnsi="Arial" w:cs="Arial"/>
          <w:sz w:val="24"/>
          <w:szCs w:val="24"/>
        </w:rPr>
        <w:t>25c</w:t>
      </w:r>
      <w:r w:rsidRPr="008C3009">
        <w:rPr>
          <w:rFonts w:ascii="Arial" w:hAnsi="Arial" w:cs="Arial"/>
          <w:sz w:val="24"/>
          <w:szCs w:val="24"/>
        </w:rPr>
        <w:t xml:space="preserve">), explains that analytical job evaluation provides objective evidence that differences in pay are based on the requirements of the job rather than protected characteristics. For </w:t>
      </w:r>
      <w:proofErr w:type="spellStart"/>
      <w:r w:rsidRPr="008C3009">
        <w:rPr>
          <w:rFonts w:ascii="Arial" w:hAnsi="Arial" w:cs="Arial"/>
          <w:sz w:val="24"/>
          <w:szCs w:val="24"/>
        </w:rPr>
        <w:t>GreenFriendlyEco</w:t>
      </w:r>
      <w:proofErr w:type="spellEnd"/>
      <w:r w:rsidRPr="008C3009">
        <w:rPr>
          <w:rFonts w:ascii="Arial" w:hAnsi="Arial" w:cs="Arial"/>
          <w:sz w:val="24"/>
          <w:szCs w:val="24"/>
        </w:rPr>
        <w:t>, this would support fair reward practices and help support the organisation's defence against equal pay claims.</w:t>
      </w:r>
    </w:p>
    <w:p w14:paraId="3FE47E18" w14:textId="77777777" w:rsidR="00946E09" w:rsidRPr="008C3009" w:rsidRDefault="00946E09" w:rsidP="00946E09">
      <w:pPr>
        <w:spacing w:after="0" w:line="240" w:lineRule="auto"/>
        <w:rPr>
          <w:rFonts w:ascii="Arial" w:hAnsi="Arial" w:cs="Arial"/>
          <w:sz w:val="24"/>
          <w:szCs w:val="24"/>
        </w:rPr>
      </w:pPr>
    </w:p>
    <w:p w14:paraId="3BC64406" w14:textId="77777777" w:rsidR="00946E09" w:rsidRPr="008C3009" w:rsidRDefault="00946E09" w:rsidP="00946E09">
      <w:pPr>
        <w:spacing w:after="0" w:line="240" w:lineRule="auto"/>
        <w:rPr>
          <w:rFonts w:ascii="Arial" w:hAnsi="Arial" w:cs="Arial"/>
          <w:sz w:val="24"/>
          <w:szCs w:val="24"/>
        </w:rPr>
      </w:pPr>
      <w:r w:rsidRPr="008C3009">
        <w:rPr>
          <w:rFonts w:ascii="Arial" w:hAnsi="Arial" w:cs="Arial"/>
          <w:sz w:val="24"/>
          <w:szCs w:val="24"/>
        </w:rPr>
        <w:t xml:space="preserve">Overall, job evaluation provides a structured framework for assessing the relative value of jobs. Selecting an appropriate approach will help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develop fair, transparent and legally defensible pay structures that supports engagement and retention.  </w:t>
      </w:r>
    </w:p>
    <w:p w14:paraId="402C63D6" w14:textId="77777777" w:rsidR="00946E09" w:rsidRPr="008C3009" w:rsidRDefault="00946E09" w:rsidP="00946E09">
      <w:pPr>
        <w:spacing w:after="0" w:line="240" w:lineRule="auto"/>
        <w:rPr>
          <w:rFonts w:ascii="Arial" w:hAnsi="Arial" w:cs="Arial"/>
          <w:sz w:val="24"/>
          <w:szCs w:val="24"/>
        </w:rPr>
      </w:pPr>
    </w:p>
    <w:p w14:paraId="01FED16D" w14:textId="77777777" w:rsidR="00946E09" w:rsidRPr="008C3009" w:rsidRDefault="00946E09" w:rsidP="00946E09">
      <w:pPr>
        <w:spacing w:after="0" w:line="240" w:lineRule="auto"/>
        <w:rPr>
          <w:rFonts w:ascii="Arial" w:hAnsi="Arial" w:cs="Arial"/>
          <w:sz w:val="24"/>
          <w:szCs w:val="24"/>
        </w:rPr>
      </w:pPr>
    </w:p>
    <w:p w14:paraId="1D9769F0" w14:textId="77777777" w:rsidR="00946E09" w:rsidRPr="008C3009" w:rsidRDefault="00946E09" w:rsidP="00946E09">
      <w:pPr>
        <w:spacing w:after="0" w:line="240" w:lineRule="auto"/>
        <w:rPr>
          <w:rFonts w:ascii="Arial" w:hAnsi="Arial" w:cs="Arial"/>
          <w:color w:val="000000" w:themeColor="text1"/>
          <w:sz w:val="24"/>
          <w:szCs w:val="24"/>
        </w:rPr>
      </w:pPr>
    </w:p>
    <w:p w14:paraId="7E46FDD3" w14:textId="383317E3" w:rsidR="00946E09" w:rsidRPr="008C3009" w:rsidRDefault="00946E09" w:rsidP="00946E09">
      <w:pPr>
        <w:rPr>
          <w:rFonts w:ascii="Arial" w:hAnsi="Arial" w:cs="Arial"/>
          <w:sz w:val="24"/>
          <w:szCs w:val="24"/>
        </w:rPr>
      </w:pPr>
      <w:r w:rsidRPr="008C3009">
        <w:rPr>
          <w:rFonts w:ascii="Arial" w:hAnsi="Arial" w:cs="Arial"/>
          <w:b/>
          <w:bCs/>
          <w:sz w:val="24"/>
          <w:szCs w:val="24"/>
        </w:rPr>
        <w:lastRenderedPageBreak/>
        <w:t>AC-3.4:</w:t>
      </w:r>
      <w:r w:rsidRPr="008C3009">
        <w:rPr>
          <w:rFonts w:ascii="Arial" w:hAnsi="Arial" w:cs="Arial"/>
          <w:sz w:val="24"/>
          <w:szCs w:val="24"/>
        </w:rPr>
        <w:t xml:space="preserve"> To create fair, transparent and legally compliant reward systems, organisations need to understand the legislations</w:t>
      </w:r>
      <w:r w:rsidR="00387945" w:rsidRPr="008C3009">
        <w:rPr>
          <w:rFonts w:ascii="Arial" w:hAnsi="Arial" w:cs="Arial"/>
          <w:sz w:val="24"/>
          <w:szCs w:val="24"/>
        </w:rPr>
        <w:t xml:space="preserve"> </w:t>
      </w:r>
      <w:r w:rsidRPr="008C3009">
        <w:rPr>
          <w:rFonts w:ascii="Arial" w:hAnsi="Arial" w:cs="Arial"/>
          <w:sz w:val="24"/>
          <w:szCs w:val="24"/>
        </w:rPr>
        <w:t>impact</w:t>
      </w:r>
      <w:r w:rsidR="00387945" w:rsidRPr="008C3009">
        <w:rPr>
          <w:rFonts w:ascii="Arial" w:hAnsi="Arial" w:cs="Arial"/>
          <w:sz w:val="24"/>
          <w:szCs w:val="24"/>
        </w:rPr>
        <w:t>ing</w:t>
      </w:r>
      <w:r w:rsidRPr="008C3009">
        <w:rPr>
          <w:rFonts w:ascii="Arial" w:hAnsi="Arial" w:cs="Arial"/>
          <w:sz w:val="24"/>
          <w:szCs w:val="24"/>
        </w:rPr>
        <w:t xml:space="preserve"> reward practices.  This can reduce the risk of legal claims and reputation</w:t>
      </w:r>
      <w:r w:rsidR="00387945" w:rsidRPr="008C3009">
        <w:rPr>
          <w:rFonts w:ascii="Arial" w:hAnsi="Arial" w:cs="Arial"/>
          <w:sz w:val="24"/>
          <w:szCs w:val="24"/>
        </w:rPr>
        <w:t>al</w:t>
      </w:r>
      <w:r w:rsidRPr="008C3009">
        <w:rPr>
          <w:rFonts w:ascii="Arial" w:hAnsi="Arial" w:cs="Arial"/>
          <w:sz w:val="24"/>
          <w:szCs w:val="24"/>
        </w:rPr>
        <w:t xml:space="preserve"> damage and support the organisation by improving employee trust, engagement and retention.  At </w:t>
      </w:r>
      <w:proofErr w:type="spellStart"/>
      <w:r w:rsidRPr="008C3009">
        <w:rPr>
          <w:rFonts w:ascii="Arial" w:hAnsi="Arial" w:cs="Arial"/>
          <w:sz w:val="24"/>
          <w:szCs w:val="24"/>
        </w:rPr>
        <w:t>GreenFriendlyEco</w:t>
      </w:r>
      <w:proofErr w:type="spellEnd"/>
      <w:r w:rsidRPr="008C3009">
        <w:rPr>
          <w:rFonts w:ascii="Arial" w:hAnsi="Arial" w:cs="Arial"/>
          <w:sz w:val="24"/>
          <w:szCs w:val="24"/>
        </w:rPr>
        <w:t xml:space="preserve">, where turnover is high and reward practices are being reviewed the organisation must be aware of legislative requirement when introducing any new reward schemes.  This is supported by Jones and Perkins (2020, p.69), who state that while organisations want to create reward strategies to suit their own circumstances, the starting point must always be what the law allows or requires.   </w:t>
      </w:r>
    </w:p>
    <w:p w14:paraId="04849259" w14:textId="794A14AA" w:rsidR="00946E09" w:rsidRPr="008C3009" w:rsidRDefault="00946E09" w:rsidP="00946E09">
      <w:pPr>
        <w:rPr>
          <w:rFonts w:ascii="Arial" w:hAnsi="Arial" w:cs="Arial"/>
          <w:sz w:val="24"/>
          <w:szCs w:val="24"/>
        </w:rPr>
      </w:pPr>
      <w:r w:rsidRPr="008C3009">
        <w:rPr>
          <w:rFonts w:ascii="Arial" w:hAnsi="Arial" w:cs="Arial"/>
          <w:sz w:val="24"/>
          <w:szCs w:val="24"/>
        </w:rPr>
        <w:t>The Equality Act 2010 governs equal pay.  It requires that men and women performing equal work receive equal pay and contractual</w:t>
      </w:r>
      <w:r w:rsidR="00387945" w:rsidRPr="008C3009">
        <w:rPr>
          <w:rFonts w:ascii="Arial" w:hAnsi="Arial" w:cs="Arial"/>
          <w:sz w:val="24"/>
          <w:szCs w:val="24"/>
        </w:rPr>
        <w:t xml:space="preserve"> </w:t>
      </w:r>
      <w:r w:rsidRPr="008C3009">
        <w:rPr>
          <w:rFonts w:ascii="Arial" w:hAnsi="Arial" w:cs="Arial"/>
          <w:sz w:val="24"/>
          <w:szCs w:val="24"/>
        </w:rPr>
        <w:t xml:space="preserve">benefits.  The CIPD (2026) explains that unequal pay is a form of sex discrimination and that men and women have the right to receive the same pay for the same or equivalent work.   According to ACAS (2024) contractual benefits include basic pay, bonuses and pension arrangements, which must be applied consistently and without discrimination.  At </w:t>
      </w:r>
      <w:proofErr w:type="spellStart"/>
      <w:r w:rsidRPr="008C3009">
        <w:rPr>
          <w:rFonts w:ascii="Arial" w:hAnsi="Arial" w:cs="Arial"/>
          <w:sz w:val="24"/>
          <w:szCs w:val="24"/>
        </w:rPr>
        <w:t>GreenFriendlyEco</w:t>
      </w:r>
      <w:proofErr w:type="spellEnd"/>
      <w:r w:rsidRPr="008C3009">
        <w:rPr>
          <w:rFonts w:ascii="Arial" w:hAnsi="Arial" w:cs="Arial"/>
          <w:sz w:val="24"/>
          <w:szCs w:val="24"/>
        </w:rPr>
        <w:t>, the current “special pension” arrangement for senior staff should be reviewed to ensure it is based on objective criteri</w:t>
      </w:r>
      <w:r w:rsidR="00387945" w:rsidRPr="008C3009">
        <w:rPr>
          <w:rFonts w:ascii="Arial" w:hAnsi="Arial" w:cs="Arial"/>
          <w:sz w:val="24"/>
          <w:szCs w:val="24"/>
        </w:rPr>
        <w:t>a a</w:t>
      </w:r>
      <w:r w:rsidRPr="008C3009">
        <w:rPr>
          <w:rFonts w:ascii="Arial" w:hAnsi="Arial" w:cs="Arial"/>
          <w:sz w:val="24"/>
          <w:szCs w:val="24"/>
        </w:rPr>
        <w:t xml:space="preserve">nd does not discriminate.  </w:t>
      </w:r>
    </w:p>
    <w:p w14:paraId="7D1490B0" w14:textId="58E399DF" w:rsidR="002024E7" w:rsidRPr="008C3009" w:rsidRDefault="00946E09" w:rsidP="00946E09">
      <w:pPr>
        <w:spacing w:before="100" w:beforeAutospacing="1" w:after="100" w:afterAutospacing="1" w:line="300" w:lineRule="atLeast"/>
        <w:rPr>
          <w:rFonts w:ascii="Arial" w:eastAsia="Times New Roman" w:hAnsi="Arial" w:cs="Arial"/>
          <w:sz w:val="24"/>
          <w:szCs w:val="24"/>
          <w:lang w:eastAsia="en-GB"/>
        </w:rPr>
      </w:pPr>
      <w:r w:rsidRPr="008C3009">
        <w:rPr>
          <w:rFonts w:ascii="Arial" w:eastAsia="Times New Roman" w:hAnsi="Arial" w:cs="Arial"/>
          <w:sz w:val="24"/>
          <w:szCs w:val="24"/>
          <w:lang w:eastAsia="en-GB"/>
        </w:rPr>
        <w:t>The National Minimum Wage Act 1998 and National Living Wage regulations set minimum hourly rates</w:t>
      </w:r>
      <w:r w:rsidR="00AB5354" w:rsidRPr="008C3009">
        <w:rPr>
          <w:rFonts w:ascii="Arial" w:eastAsia="Times New Roman" w:hAnsi="Arial" w:cs="Arial"/>
          <w:sz w:val="24"/>
          <w:szCs w:val="24"/>
          <w:lang w:eastAsia="en-GB"/>
        </w:rPr>
        <w:t xml:space="preserve"> of pay.</w:t>
      </w:r>
      <w:r w:rsidRPr="008C3009">
        <w:rPr>
          <w:rFonts w:ascii="Arial" w:eastAsia="Times New Roman" w:hAnsi="Arial" w:cs="Arial"/>
          <w:sz w:val="24"/>
          <w:szCs w:val="24"/>
          <w:lang w:eastAsia="en-GB"/>
        </w:rPr>
        <w:t xml:space="preserve"> As highlighted by GOV. UK </w:t>
      </w:r>
      <w:r w:rsidR="00AB5354" w:rsidRPr="008C3009">
        <w:rPr>
          <w:rFonts w:ascii="Arial" w:eastAsia="Times New Roman" w:hAnsi="Arial" w:cs="Arial"/>
          <w:sz w:val="24"/>
          <w:szCs w:val="24"/>
          <w:lang w:eastAsia="en-GB"/>
        </w:rPr>
        <w:t xml:space="preserve">organisations must ensure that deductions or additional costs do not reduce pay below </w:t>
      </w:r>
      <w:r w:rsidR="004A6CBD" w:rsidRPr="008C3009">
        <w:rPr>
          <w:rFonts w:ascii="Arial" w:eastAsia="Times New Roman" w:hAnsi="Arial" w:cs="Arial"/>
          <w:sz w:val="24"/>
          <w:szCs w:val="24"/>
          <w:lang w:eastAsia="en-GB"/>
        </w:rPr>
        <w:t>legal minimum.  E</w:t>
      </w:r>
      <w:r w:rsidRPr="008C3009">
        <w:rPr>
          <w:rFonts w:ascii="Arial" w:eastAsia="Times New Roman" w:hAnsi="Arial" w:cs="Arial"/>
          <w:sz w:val="24"/>
          <w:szCs w:val="24"/>
          <w:lang w:eastAsia="en-GB"/>
        </w:rPr>
        <w:t>mployers must</w:t>
      </w:r>
      <w:r w:rsidR="004A6CBD" w:rsidRPr="008C3009">
        <w:rPr>
          <w:rFonts w:ascii="Arial" w:eastAsia="Times New Roman" w:hAnsi="Arial" w:cs="Arial"/>
          <w:sz w:val="24"/>
          <w:szCs w:val="24"/>
          <w:lang w:eastAsia="en-GB"/>
        </w:rPr>
        <w:t xml:space="preserve"> maintain </w:t>
      </w:r>
      <w:r w:rsidRPr="008C3009">
        <w:rPr>
          <w:rFonts w:ascii="Arial" w:eastAsia="Times New Roman" w:hAnsi="Arial" w:cs="Arial"/>
          <w:sz w:val="24"/>
          <w:szCs w:val="24"/>
          <w:lang w:eastAsia="en-GB"/>
        </w:rPr>
        <w:t>accurate pay and working time</w:t>
      </w:r>
      <w:r w:rsidR="00AD3CFC" w:rsidRPr="008C3009">
        <w:rPr>
          <w:rFonts w:ascii="Arial" w:eastAsia="Times New Roman" w:hAnsi="Arial" w:cs="Arial"/>
          <w:sz w:val="24"/>
          <w:szCs w:val="24"/>
          <w:lang w:eastAsia="en-GB"/>
        </w:rPr>
        <w:t xml:space="preserve"> records </w:t>
      </w:r>
      <w:r w:rsidRPr="008C3009">
        <w:rPr>
          <w:rFonts w:ascii="Arial" w:eastAsia="Times New Roman" w:hAnsi="Arial" w:cs="Arial"/>
          <w:sz w:val="24"/>
          <w:szCs w:val="24"/>
          <w:lang w:eastAsia="en-GB"/>
        </w:rPr>
        <w:t xml:space="preserve">to demonstrate compliance. </w:t>
      </w:r>
      <w:r w:rsidR="00AD3CFC" w:rsidRPr="008C3009">
        <w:rPr>
          <w:rFonts w:ascii="Arial" w:eastAsia="Times New Roman" w:hAnsi="Arial" w:cs="Arial"/>
          <w:sz w:val="24"/>
          <w:szCs w:val="24"/>
          <w:lang w:eastAsia="en-GB"/>
        </w:rPr>
        <w:t>A</w:t>
      </w:r>
      <w:r w:rsidRPr="008C3009">
        <w:rPr>
          <w:rFonts w:ascii="Arial" w:eastAsia="Times New Roman" w:hAnsi="Arial" w:cs="Arial"/>
          <w:sz w:val="24"/>
          <w:szCs w:val="24"/>
          <w:lang w:eastAsia="en-GB"/>
        </w:rPr>
        <w:t xml:space="preserve">t </w:t>
      </w:r>
      <w:proofErr w:type="spellStart"/>
      <w:r w:rsidRPr="008C3009">
        <w:rPr>
          <w:rFonts w:ascii="Arial" w:eastAsia="Times New Roman" w:hAnsi="Arial" w:cs="Arial"/>
          <w:sz w:val="24"/>
          <w:szCs w:val="24"/>
          <w:lang w:eastAsia="en-GB"/>
        </w:rPr>
        <w:t>GreenFriendlyEco</w:t>
      </w:r>
      <w:proofErr w:type="spellEnd"/>
      <w:r w:rsidRPr="008C3009">
        <w:rPr>
          <w:rFonts w:ascii="Arial" w:eastAsia="Times New Roman" w:hAnsi="Arial" w:cs="Arial"/>
          <w:sz w:val="24"/>
          <w:szCs w:val="24"/>
          <w:lang w:eastAsia="en-GB"/>
        </w:rPr>
        <w:t xml:space="preserve">, any performance-related rewards must be provided in additional to statutory minimum pay.  </w:t>
      </w:r>
    </w:p>
    <w:p w14:paraId="2C19AF63" w14:textId="3E727771" w:rsidR="00946E09" w:rsidRPr="008C3009" w:rsidRDefault="00946E09" w:rsidP="00946E09">
      <w:pPr>
        <w:spacing w:before="100" w:beforeAutospacing="1" w:after="100" w:afterAutospacing="1" w:line="300" w:lineRule="atLeast"/>
        <w:rPr>
          <w:rFonts w:ascii="Arial" w:eastAsia="Times New Roman" w:hAnsi="Arial" w:cs="Arial"/>
          <w:sz w:val="24"/>
          <w:szCs w:val="24"/>
          <w:lang w:eastAsia="en-GB"/>
        </w:rPr>
      </w:pPr>
      <w:r w:rsidRPr="008C3009">
        <w:rPr>
          <w:rFonts w:ascii="Arial" w:eastAsia="Times New Roman" w:hAnsi="Arial" w:cs="Arial"/>
          <w:sz w:val="24"/>
          <w:szCs w:val="24"/>
          <w:lang w:eastAsia="en-GB"/>
        </w:rPr>
        <w:t xml:space="preserve">The Gender Pay Gap Reporting Regulations 2017 require organisations with 250 or more workers </w:t>
      </w:r>
      <w:r w:rsidR="00387945" w:rsidRPr="008C3009">
        <w:rPr>
          <w:rFonts w:ascii="Arial" w:eastAsia="Times New Roman" w:hAnsi="Arial" w:cs="Arial"/>
          <w:sz w:val="24"/>
          <w:szCs w:val="24"/>
          <w:lang w:eastAsia="en-GB"/>
        </w:rPr>
        <w:t xml:space="preserve">to </w:t>
      </w:r>
      <w:r w:rsidRPr="008C3009">
        <w:rPr>
          <w:rFonts w:ascii="Arial" w:eastAsia="Times New Roman" w:hAnsi="Arial" w:cs="Arial"/>
          <w:sz w:val="24"/>
          <w:szCs w:val="24"/>
          <w:lang w:eastAsia="en-GB"/>
        </w:rPr>
        <w:t xml:space="preserve">report differences in average pay </w:t>
      </w:r>
      <w:r w:rsidR="00CB2F38" w:rsidRPr="008C3009">
        <w:rPr>
          <w:rFonts w:ascii="Arial" w:eastAsia="Times New Roman" w:hAnsi="Arial" w:cs="Arial"/>
          <w:sz w:val="24"/>
          <w:szCs w:val="24"/>
          <w:lang w:eastAsia="en-GB"/>
        </w:rPr>
        <w:t xml:space="preserve">between </w:t>
      </w:r>
      <w:r w:rsidRPr="008C3009">
        <w:rPr>
          <w:rFonts w:ascii="Arial" w:eastAsia="Times New Roman" w:hAnsi="Arial" w:cs="Arial"/>
          <w:sz w:val="24"/>
          <w:szCs w:val="24"/>
          <w:lang w:eastAsia="en-GB"/>
        </w:rPr>
        <w:t>male</w:t>
      </w:r>
      <w:r w:rsidR="00CB2F38" w:rsidRPr="008C3009">
        <w:rPr>
          <w:rFonts w:ascii="Arial" w:eastAsia="Times New Roman" w:hAnsi="Arial" w:cs="Arial"/>
          <w:sz w:val="24"/>
          <w:szCs w:val="24"/>
          <w:lang w:eastAsia="en-GB"/>
        </w:rPr>
        <w:t xml:space="preserve"> and </w:t>
      </w:r>
      <w:r w:rsidRPr="008C3009">
        <w:rPr>
          <w:rFonts w:ascii="Arial" w:eastAsia="Times New Roman" w:hAnsi="Arial" w:cs="Arial"/>
          <w:sz w:val="24"/>
          <w:szCs w:val="24"/>
          <w:lang w:eastAsia="en-GB"/>
        </w:rPr>
        <w:t xml:space="preserve">female employees.  As </w:t>
      </w:r>
      <w:proofErr w:type="spellStart"/>
      <w:r w:rsidRPr="008C3009">
        <w:rPr>
          <w:rFonts w:ascii="Arial" w:eastAsia="Times New Roman" w:hAnsi="Arial" w:cs="Arial"/>
          <w:sz w:val="24"/>
          <w:szCs w:val="24"/>
          <w:lang w:eastAsia="en-GB"/>
        </w:rPr>
        <w:t>GreenFriendlyEco</w:t>
      </w:r>
      <w:proofErr w:type="spellEnd"/>
      <w:r w:rsidRPr="008C3009">
        <w:rPr>
          <w:rFonts w:ascii="Arial" w:eastAsia="Times New Roman" w:hAnsi="Arial" w:cs="Arial"/>
          <w:sz w:val="24"/>
          <w:szCs w:val="24"/>
          <w:lang w:eastAsia="en-GB"/>
        </w:rPr>
        <w:t xml:space="preserve"> is a medium sized organisation, </w:t>
      </w:r>
      <w:r w:rsidR="00663A7C" w:rsidRPr="008C3009">
        <w:rPr>
          <w:rFonts w:ascii="Arial" w:eastAsia="Times New Roman" w:hAnsi="Arial" w:cs="Arial"/>
          <w:sz w:val="24"/>
          <w:szCs w:val="24"/>
          <w:lang w:eastAsia="en-GB"/>
        </w:rPr>
        <w:t>it</w:t>
      </w:r>
      <w:r w:rsidRPr="008C3009">
        <w:rPr>
          <w:rFonts w:ascii="Arial" w:eastAsia="Times New Roman" w:hAnsi="Arial" w:cs="Arial"/>
          <w:sz w:val="24"/>
          <w:szCs w:val="24"/>
          <w:lang w:eastAsia="en-GB"/>
        </w:rPr>
        <w:t xml:space="preserve"> may not employ more than 250 staff</w:t>
      </w:r>
      <w:r w:rsidR="00387945" w:rsidRPr="008C3009">
        <w:rPr>
          <w:rFonts w:ascii="Arial" w:eastAsia="Times New Roman" w:hAnsi="Arial" w:cs="Arial"/>
          <w:sz w:val="24"/>
          <w:szCs w:val="24"/>
          <w:lang w:eastAsia="en-GB"/>
        </w:rPr>
        <w:t xml:space="preserve">, </w:t>
      </w:r>
      <w:r w:rsidRPr="008C3009">
        <w:rPr>
          <w:rFonts w:ascii="Arial" w:eastAsia="Times New Roman" w:hAnsi="Arial" w:cs="Arial"/>
          <w:sz w:val="24"/>
          <w:szCs w:val="24"/>
          <w:lang w:eastAsia="en-GB"/>
        </w:rPr>
        <w:t>therefore not</w:t>
      </w:r>
      <w:r w:rsidR="00387945" w:rsidRPr="008C3009">
        <w:rPr>
          <w:rFonts w:ascii="Arial" w:eastAsia="Times New Roman" w:hAnsi="Arial" w:cs="Arial"/>
          <w:sz w:val="24"/>
          <w:szCs w:val="24"/>
          <w:lang w:eastAsia="en-GB"/>
        </w:rPr>
        <w:t xml:space="preserve"> </w:t>
      </w:r>
      <w:r w:rsidR="00663A7C" w:rsidRPr="008C3009">
        <w:rPr>
          <w:rFonts w:ascii="Arial" w:eastAsia="Times New Roman" w:hAnsi="Arial" w:cs="Arial"/>
          <w:sz w:val="24"/>
          <w:szCs w:val="24"/>
          <w:lang w:eastAsia="en-GB"/>
        </w:rPr>
        <w:t xml:space="preserve">be </w:t>
      </w:r>
      <w:r w:rsidRPr="008C3009">
        <w:rPr>
          <w:rFonts w:ascii="Arial" w:eastAsia="Times New Roman" w:hAnsi="Arial" w:cs="Arial"/>
          <w:sz w:val="24"/>
          <w:szCs w:val="24"/>
          <w:lang w:eastAsia="en-GB"/>
        </w:rPr>
        <w:t>legally required to report.  However, the CIPD (2025</w:t>
      </w:r>
      <w:r w:rsidR="003100D0">
        <w:rPr>
          <w:rFonts w:ascii="Arial" w:eastAsia="Times New Roman" w:hAnsi="Arial" w:cs="Arial"/>
          <w:sz w:val="24"/>
          <w:szCs w:val="24"/>
          <w:lang w:eastAsia="en-GB"/>
        </w:rPr>
        <w:t>g</w:t>
      </w:r>
      <w:r w:rsidRPr="008C3009">
        <w:rPr>
          <w:rFonts w:ascii="Arial" w:eastAsia="Times New Roman" w:hAnsi="Arial" w:cs="Arial"/>
          <w:sz w:val="24"/>
          <w:szCs w:val="24"/>
          <w:lang w:eastAsia="en-GB"/>
        </w:rPr>
        <w:t xml:space="preserve">) highlights that gender pay gap reporting </w:t>
      </w:r>
      <w:r w:rsidR="00663A7C" w:rsidRPr="008C3009">
        <w:rPr>
          <w:rFonts w:ascii="Arial" w:eastAsia="Times New Roman" w:hAnsi="Arial" w:cs="Arial"/>
          <w:sz w:val="24"/>
          <w:szCs w:val="24"/>
          <w:lang w:eastAsia="en-GB"/>
        </w:rPr>
        <w:t xml:space="preserve">supports </w:t>
      </w:r>
      <w:r w:rsidRPr="008C3009">
        <w:rPr>
          <w:rFonts w:ascii="Arial" w:eastAsia="Times New Roman" w:hAnsi="Arial" w:cs="Arial"/>
          <w:sz w:val="24"/>
          <w:szCs w:val="24"/>
          <w:lang w:eastAsia="en-GB"/>
        </w:rPr>
        <w:t>fairness and transparency in pay.  Regularly reviewing this data,</w:t>
      </w:r>
      <w:r w:rsidR="00387945" w:rsidRPr="008C3009">
        <w:rPr>
          <w:rFonts w:ascii="Arial" w:eastAsia="Times New Roman" w:hAnsi="Arial" w:cs="Arial"/>
          <w:sz w:val="24"/>
          <w:szCs w:val="24"/>
          <w:lang w:eastAsia="en-GB"/>
        </w:rPr>
        <w:t xml:space="preserve"> </w:t>
      </w:r>
      <w:r w:rsidRPr="008C3009">
        <w:rPr>
          <w:rFonts w:ascii="Arial" w:eastAsia="Times New Roman" w:hAnsi="Arial" w:cs="Arial"/>
          <w:sz w:val="24"/>
          <w:szCs w:val="24"/>
          <w:lang w:eastAsia="en-GB"/>
        </w:rPr>
        <w:t>can help identify pay gaps, demonstrate commitment to equality and support a fair reward system.</w:t>
      </w:r>
    </w:p>
    <w:p w14:paraId="706A414D" w14:textId="70136891" w:rsidR="00946E09" w:rsidRPr="008C3009" w:rsidRDefault="00946E09" w:rsidP="00946E09">
      <w:pPr>
        <w:spacing w:before="100" w:beforeAutospacing="1" w:after="100" w:afterAutospacing="1" w:line="300" w:lineRule="atLeast"/>
        <w:rPr>
          <w:rFonts w:ascii="Arial" w:eastAsia="Times New Roman" w:hAnsi="Arial" w:cs="Arial"/>
          <w:sz w:val="24"/>
          <w:szCs w:val="24"/>
          <w:lang w:eastAsia="en-GB"/>
        </w:rPr>
      </w:pPr>
      <w:r w:rsidRPr="008C3009">
        <w:rPr>
          <w:rFonts w:ascii="Arial" w:eastAsia="Times New Roman" w:hAnsi="Arial" w:cs="Arial"/>
          <w:sz w:val="24"/>
          <w:szCs w:val="24"/>
          <w:lang w:eastAsia="en-GB"/>
        </w:rPr>
        <w:t xml:space="preserve">Reward practice </w:t>
      </w:r>
      <w:r w:rsidR="00387945" w:rsidRPr="008C3009">
        <w:rPr>
          <w:rFonts w:ascii="Arial" w:eastAsia="Times New Roman" w:hAnsi="Arial" w:cs="Arial"/>
          <w:sz w:val="24"/>
          <w:szCs w:val="24"/>
          <w:lang w:eastAsia="en-GB"/>
        </w:rPr>
        <w:t xml:space="preserve">is </w:t>
      </w:r>
      <w:r w:rsidRPr="008C3009">
        <w:rPr>
          <w:rFonts w:ascii="Arial" w:eastAsia="Times New Roman" w:hAnsi="Arial" w:cs="Arial"/>
          <w:sz w:val="24"/>
          <w:szCs w:val="24"/>
          <w:lang w:eastAsia="en-GB"/>
        </w:rPr>
        <w:t>also influence</w:t>
      </w:r>
      <w:r w:rsidR="00387945" w:rsidRPr="008C3009">
        <w:rPr>
          <w:rFonts w:ascii="Arial" w:eastAsia="Times New Roman" w:hAnsi="Arial" w:cs="Arial"/>
          <w:sz w:val="24"/>
          <w:szCs w:val="24"/>
          <w:lang w:eastAsia="en-GB"/>
        </w:rPr>
        <w:t>d</w:t>
      </w:r>
      <w:r w:rsidRPr="008C3009">
        <w:rPr>
          <w:rFonts w:ascii="Arial" w:eastAsia="Times New Roman" w:hAnsi="Arial" w:cs="Arial"/>
          <w:sz w:val="24"/>
          <w:szCs w:val="24"/>
          <w:lang w:eastAsia="en-GB"/>
        </w:rPr>
        <w:t xml:space="preserve"> by income tax legislation.  </w:t>
      </w:r>
      <w:r w:rsidR="00F76EED" w:rsidRPr="008C3009">
        <w:rPr>
          <w:rFonts w:ascii="Arial" w:eastAsia="Times New Roman" w:hAnsi="Arial" w:cs="Arial"/>
          <w:sz w:val="24"/>
          <w:szCs w:val="24"/>
          <w:lang w:eastAsia="en-GB"/>
        </w:rPr>
        <w:t>S</w:t>
      </w:r>
      <w:r w:rsidRPr="008C3009">
        <w:rPr>
          <w:rFonts w:ascii="Arial" w:eastAsia="Times New Roman" w:hAnsi="Arial" w:cs="Arial"/>
          <w:sz w:val="24"/>
          <w:szCs w:val="24"/>
          <w:lang w:eastAsia="en-GB"/>
        </w:rPr>
        <w:t xml:space="preserve">alaries, bonuses, pensions contributions and some benefits </w:t>
      </w:r>
      <w:r w:rsidR="00F76EED" w:rsidRPr="008C3009">
        <w:rPr>
          <w:rFonts w:ascii="Arial" w:eastAsia="Times New Roman" w:hAnsi="Arial" w:cs="Arial"/>
          <w:sz w:val="24"/>
          <w:szCs w:val="24"/>
          <w:lang w:eastAsia="en-GB"/>
        </w:rPr>
        <w:t>are</w:t>
      </w:r>
      <w:r w:rsidRPr="008C3009">
        <w:rPr>
          <w:rFonts w:ascii="Arial" w:eastAsia="Times New Roman" w:hAnsi="Arial" w:cs="Arial"/>
          <w:sz w:val="24"/>
          <w:szCs w:val="24"/>
          <w:lang w:eastAsia="en-GB"/>
        </w:rPr>
        <w:t xml:space="preserve"> subject to tax and National Insurance requirements.  Organisations </w:t>
      </w:r>
      <w:r w:rsidR="00F76EED" w:rsidRPr="008C3009">
        <w:rPr>
          <w:rFonts w:ascii="Arial" w:eastAsia="Times New Roman" w:hAnsi="Arial" w:cs="Arial"/>
          <w:sz w:val="24"/>
          <w:szCs w:val="24"/>
          <w:lang w:eastAsia="en-GB"/>
        </w:rPr>
        <w:t>must</w:t>
      </w:r>
      <w:r w:rsidRPr="008C3009">
        <w:rPr>
          <w:rFonts w:ascii="Arial" w:eastAsia="Times New Roman" w:hAnsi="Arial" w:cs="Arial"/>
          <w:sz w:val="24"/>
          <w:szCs w:val="24"/>
          <w:lang w:eastAsia="en-GB"/>
        </w:rPr>
        <w:t xml:space="preserve"> ensure payments are processed through PAYE and that </w:t>
      </w:r>
      <w:r w:rsidR="002B4ED6" w:rsidRPr="008C3009">
        <w:rPr>
          <w:rFonts w:ascii="Arial" w:eastAsia="Times New Roman" w:hAnsi="Arial" w:cs="Arial"/>
          <w:sz w:val="24"/>
          <w:szCs w:val="24"/>
          <w:lang w:eastAsia="en-GB"/>
        </w:rPr>
        <w:t>employees</w:t>
      </w:r>
      <w:r w:rsidRPr="008C3009">
        <w:rPr>
          <w:rFonts w:ascii="Arial" w:eastAsia="Times New Roman" w:hAnsi="Arial" w:cs="Arial"/>
          <w:sz w:val="24"/>
          <w:szCs w:val="24"/>
          <w:lang w:eastAsia="en-GB"/>
        </w:rPr>
        <w:t xml:space="preserve"> understand the tax implications of the</w:t>
      </w:r>
      <w:r w:rsidR="002B4ED6" w:rsidRPr="008C3009">
        <w:rPr>
          <w:rFonts w:ascii="Arial" w:eastAsia="Times New Roman" w:hAnsi="Arial" w:cs="Arial"/>
          <w:sz w:val="24"/>
          <w:szCs w:val="24"/>
          <w:lang w:eastAsia="en-GB"/>
        </w:rPr>
        <w:t>ir</w:t>
      </w:r>
      <w:r w:rsidRPr="008C3009">
        <w:rPr>
          <w:rFonts w:ascii="Arial" w:eastAsia="Times New Roman" w:hAnsi="Arial" w:cs="Arial"/>
          <w:sz w:val="24"/>
          <w:szCs w:val="24"/>
          <w:lang w:eastAsia="en-GB"/>
        </w:rPr>
        <w:t xml:space="preserve"> reward package. </w:t>
      </w:r>
    </w:p>
    <w:p w14:paraId="37582D18" w14:textId="77777777" w:rsidR="00946E09" w:rsidRPr="008C3009" w:rsidRDefault="00946E09" w:rsidP="00946E09">
      <w:pPr>
        <w:spacing w:before="100" w:beforeAutospacing="1" w:after="100" w:afterAutospacing="1" w:line="300" w:lineRule="atLeast"/>
        <w:rPr>
          <w:rFonts w:ascii="Arial" w:eastAsia="Times New Roman" w:hAnsi="Arial" w:cs="Arial"/>
          <w:sz w:val="24"/>
          <w:szCs w:val="24"/>
          <w:lang w:eastAsia="en-GB"/>
        </w:rPr>
      </w:pPr>
      <w:r w:rsidRPr="008C3009">
        <w:rPr>
          <w:rFonts w:ascii="Arial" w:eastAsia="Times New Roman" w:hAnsi="Arial" w:cs="Arial"/>
          <w:sz w:val="24"/>
          <w:szCs w:val="24"/>
          <w:lang w:eastAsia="en-GB"/>
        </w:rPr>
        <w:t xml:space="preserve">In summary, legislative requirements ensure reward practices are fair, transparent and </w:t>
      </w:r>
      <w:proofErr w:type="gramStart"/>
      <w:r w:rsidRPr="008C3009">
        <w:rPr>
          <w:rFonts w:ascii="Arial" w:eastAsia="Times New Roman" w:hAnsi="Arial" w:cs="Arial"/>
          <w:sz w:val="24"/>
          <w:szCs w:val="24"/>
          <w:lang w:eastAsia="en-GB"/>
        </w:rPr>
        <w:t>compliant,</w:t>
      </w:r>
      <w:proofErr w:type="gramEnd"/>
      <w:r w:rsidRPr="008C3009">
        <w:rPr>
          <w:rFonts w:ascii="Arial" w:eastAsia="Times New Roman" w:hAnsi="Arial" w:cs="Arial"/>
          <w:sz w:val="24"/>
          <w:szCs w:val="24"/>
          <w:lang w:eastAsia="en-GB"/>
        </w:rPr>
        <w:t xml:space="preserve"> however it can increase administration, compliance costs, however, the benefits outweigh these challenges.    </w:t>
      </w:r>
    </w:p>
    <w:p w14:paraId="4DB390BB" w14:textId="77777777" w:rsidR="00CD22AF" w:rsidRDefault="00CD22AF" w:rsidP="00901D36">
      <w:pPr>
        <w:pStyle w:val="Nornal"/>
        <w:spacing w:after="0" w:line="240" w:lineRule="auto"/>
        <w:rPr>
          <w:b/>
          <w:bCs/>
          <w:color w:val="000000" w:themeColor="text1"/>
          <w:sz w:val="24"/>
          <w:szCs w:val="24"/>
        </w:rPr>
      </w:pPr>
    </w:p>
    <w:p w14:paraId="10A56B5C" w14:textId="77777777" w:rsidR="00CD22AF" w:rsidRDefault="00CD22AF" w:rsidP="00901D36">
      <w:pPr>
        <w:pStyle w:val="Nornal"/>
        <w:spacing w:after="0" w:line="240" w:lineRule="auto"/>
        <w:rPr>
          <w:b/>
          <w:bCs/>
          <w:color w:val="000000" w:themeColor="text1"/>
          <w:sz w:val="24"/>
          <w:szCs w:val="24"/>
        </w:rPr>
      </w:pPr>
    </w:p>
    <w:p w14:paraId="6966D49A" w14:textId="77777777" w:rsidR="00CD22AF" w:rsidRDefault="00CD22AF" w:rsidP="00901D36">
      <w:pPr>
        <w:pStyle w:val="Nornal"/>
        <w:spacing w:after="0" w:line="240" w:lineRule="auto"/>
        <w:rPr>
          <w:b/>
          <w:bCs/>
          <w:color w:val="000000" w:themeColor="text1"/>
          <w:sz w:val="24"/>
          <w:szCs w:val="24"/>
        </w:rPr>
      </w:pPr>
    </w:p>
    <w:p w14:paraId="2A497CC5" w14:textId="77777777" w:rsidR="00CD22AF" w:rsidRDefault="00CD22AF" w:rsidP="00901D36">
      <w:pPr>
        <w:pStyle w:val="Nornal"/>
        <w:spacing w:after="0" w:line="240" w:lineRule="auto"/>
        <w:rPr>
          <w:b/>
          <w:bCs/>
          <w:color w:val="000000" w:themeColor="text1"/>
          <w:sz w:val="24"/>
          <w:szCs w:val="24"/>
        </w:rPr>
      </w:pPr>
    </w:p>
    <w:p w14:paraId="75AA5B4B" w14:textId="28F71766" w:rsidR="00901D36" w:rsidRDefault="00901D36" w:rsidP="00901D36">
      <w:pPr>
        <w:pStyle w:val="Nornal"/>
        <w:spacing w:after="0" w:line="240" w:lineRule="auto"/>
        <w:rPr>
          <w:color w:val="000000" w:themeColor="text1"/>
          <w:sz w:val="24"/>
          <w:szCs w:val="24"/>
        </w:rPr>
      </w:pPr>
      <w:r w:rsidRPr="00901D36">
        <w:rPr>
          <w:b/>
          <w:bCs/>
          <w:color w:val="000000" w:themeColor="text1"/>
          <w:sz w:val="24"/>
          <w:szCs w:val="24"/>
        </w:rPr>
        <w:lastRenderedPageBreak/>
        <w:t>References</w:t>
      </w:r>
      <w:r>
        <w:rPr>
          <w:color w:val="000000" w:themeColor="text1"/>
          <w:sz w:val="24"/>
          <w:szCs w:val="24"/>
        </w:rPr>
        <w:t xml:space="preserve">: </w:t>
      </w:r>
    </w:p>
    <w:p w14:paraId="237D537E" w14:textId="77777777" w:rsidR="00901D36" w:rsidRDefault="00901D36" w:rsidP="00901D36">
      <w:pPr>
        <w:pStyle w:val="Nornal"/>
        <w:spacing w:after="0" w:line="240" w:lineRule="auto"/>
        <w:rPr>
          <w:color w:val="000000" w:themeColor="text1"/>
          <w:sz w:val="24"/>
          <w:szCs w:val="24"/>
        </w:rPr>
      </w:pPr>
    </w:p>
    <w:p w14:paraId="19F8DD5F" w14:textId="77777777" w:rsidR="00901D36" w:rsidRPr="00311ED8" w:rsidRDefault="00901D36" w:rsidP="00901D36">
      <w:pPr>
        <w:pStyle w:val="Nornal"/>
        <w:spacing w:after="0" w:line="240" w:lineRule="auto"/>
        <w:rPr>
          <w:color w:val="000000" w:themeColor="text1"/>
          <w:sz w:val="24"/>
          <w:szCs w:val="24"/>
        </w:rPr>
      </w:pPr>
      <w:r w:rsidRPr="00311ED8">
        <w:rPr>
          <w:color w:val="000000" w:themeColor="text1"/>
          <w:sz w:val="24"/>
          <w:szCs w:val="24"/>
        </w:rPr>
        <w:t xml:space="preserve">ACAS (2024) </w:t>
      </w:r>
      <w:r w:rsidRPr="00311ED8">
        <w:rPr>
          <w:i/>
          <w:iCs/>
          <w:color w:val="000000" w:themeColor="text1"/>
          <w:sz w:val="24"/>
          <w:szCs w:val="24"/>
        </w:rPr>
        <w:t xml:space="preserve">Equal pay and the Law. </w:t>
      </w:r>
      <w:r w:rsidRPr="00311ED8">
        <w:rPr>
          <w:color w:val="000000" w:themeColor="text1"/>
          <w:sz w:val="24"/>
          <w:szCs w:val="24"/>
        </w:rPr>
        <w:t xml:space="preserve">Available at: </w:t>
      </w:r>
      <w:hyperlink r:id="rId6" w:history="1">
        <w:r w:rsidRPr="00311ED8">
          <w:rPr>
            <w:rStyle w:val="Hyperlink"/>
            <w:sz w:val="24"/>
            <w:szCs w:val="24"/>
          </w:rPr>
          <w:t>https://www.acas.org.uk/equal-pay/equal-pay-law</w:t>
        </w:r>
      </w:hyperlink>
      <w:r w:rsidRPr="00311ED8">
        <w:rPr>
          <w:color w:val="000000" w:themeColor="text1"/>
          <w:sz w:val="24"/>
          <w:szCs w:val="24"/>
        </w:rPr>
        <w:t xml:space="preserve"> (Accessed 7 July 2026)</w:t>
      </w:r>
    </w:p>
    <w:p w14:paraId="7B513BC2" w14:textId="77777777" w:rsidR="00901D36" w:rsidRPr="00311ED8" w:rsidRDefault="00901D36" w:rsidP="00901D36">
      <w:pPr>
        <w:pStyle w:val="Nornal"/>
        <w:spacing w:after="0" w:line="240" w:lineRule="auto"/>
        <w:rPr>
          <w:color w:val="000000" w:themeColor="text1"/>
          <w:sz w:val="24"/>
          <w:szCs w:val="24"/>
        </w:rPr>
      </w:pPr>
    </w:p>
    <w:p w14:paraId="766E6ECB" w14:textId="77777777" w:rsidR="00901D36" w:rsidRPr="00311ED8" w:rsidRDefault="00901D36" w:rsidP="00901D36">
      <w:pPr>
        <w:rPr>
          <w:rFonts w:ascii="Arial" w:hAnsi="Arial" w:cs="Arial"/>
          <w:sz w:val="24"/>
          <w:szCs w:val="24"/>
        </w:rPr>
      </w:pPr>
      <w:r w:rsidRPr="00311ED8">
        <w:rPr>
          <w:rFonts w:ascii="Arial" w:hAnsi="Arial" w:cs="Arial"/>
          <w:sz w:val="24"/>
          <w:szCs w:val="24"/>
        </w:rPr>
        <w:t xml:space="preserve">ACAS (2026) </w:t>
      </w:r>
      <w:r w:rsidRPr="00311ED8">
        <w:rPr>
          <w:rFonts w:ascii="Arial" w:hAnsi="Arial" w:cs="Arial"/>
          <w:i/>
          <w:iCs/>
          <w:sz w:val="24"/>
          <w:szCs w:val="24"/>
        </w:rPr>
        <w:t xml:space="preserve">Performance Management, Performance related Pay. </w:t>
      </w:r>
      <w:r w:rsidRPr="00311ED8">
        <w:rPr>
          <w:rFonts w:ascii="Arial" w:hAnsi="Arial" w:cs="Arial"/>
          <w:sz w:val="24"/>
          <w:szCs w:val="24"/>
        </w:rPr>
        <w:t xml:space="preserve">Available at: </w:t>
      </w:r>
      <w:hyperlink r:id="rId7" w:history="1">
        <w:r w:rsidRPr="00311ED8">
          <w:rPr>
            <w:rStyle w:val="Hyperlink"/>
            <w:rFonts w:ascii="Arial" w:hAnsi="Arial" w:cs="Arial"/>
            <w:sz w:val="24"/>
            <w:szCs w:val="24"/>
          </w:rPr>
          <w:t>https://www.acas.org.uk/performance-management/performance-related-pay</w:t>
        </w:r>
      </w:hyperlink>
      <w:r w:rsidRPr="00311ED8">
        <w:rPr>
          <w:rFonts w:ascii="Arial" w:hAnsi="Arial" w:cs="Arial"/>
          <w:sz w:val="24"/>
          <w:szCs w:val="24"/>
        </w:rPr>
        <w:t xml:space="preserve"> (Accessed 14 June 2026)</w:t>
      </w:r>
    </w:p>
    <w:p w14:paraId="059D628D" w14:textId="77777777" w:rsidR="00901D36" w:rsidRDefault="00901D36" w:rsidP="00901D36">
      <w:pPr>
        <w:pStyle w:val="Nornal"/>
        <w:spacing w:after="0" w:line="240" w:lineRule="auto"/>
        <w:rPr>
          <w:color w:val="000000" w:themeColor="text1"/>
          <w:sz w:val="24"/>
          <w:szCs w:val="24"/>
        </w:rPr>
      </w:pPr>
      <w:r w:rsidRPr="00311ED8">
        <w:rPr>
          <w:color w:val="000000" w:themeColor="text1"/>
          <w:sz w:val="24"/>
          <w:szCs w:val="24"/>
        </w:rPr>
        <w:t xml:space="preserve">ACAS (no date) </w:t>
      </w:r>
      <w:r w:rsidRPr="00311ED8">
        <w:rPr>
          <w:i/>
          <w:iCs/>
          <w:color w:val="000000" w:themeColor="text1"/>
          <w:sz w:val="24"/>
          <w:szCs w:val="24"/>
        </w:rPr>
        <w:t xml:space="preserve">Job evaluation: considerations and risks booklet. </w:t>
      </w:r>
      <w:r w:rsidRPr="00311ED8">
        <w:rPr>
          <w:color w:val="000000" w:themeColor="text1"/>
          <w:sz w:val="24"/>
          <w:szCs w:val="24"/>
        </w:rPr>
        <w:t xml:space="preserve">Available at: </w:t>
      </w:r>
      <w:hyperlink r:id="rId8" w:history="1">
        <w:r w:rsidRPr="00311ED8">
          <w:rPr>
            <w:rStyle w:val="Hyperlink"/>
            <w:sz w:val="24"/>
            <w:szCs w:val="24"/>
          </w:rPr>
          <w:t>https://webarchive.nationalarchives.gov.uk/ukgwa/20260106053551/https://www.acas.org.uk/job-evaluation-considerations-and-risks-advice-booklet</w:t>
        </w:r>
      </w:hyperlink>
      <w:r w:rsidRPr="00311ED8">
        <w:rPr>
          <w:color w:val="000000" w:themeColor="text1"/>
          <w:sz w:val="24"/>
          <w:szCs w:val="24"/>
        </w:rPr>
        <w:t xml:space="preserve"> (Accessed 6 July 2026)</w:t>
      </w:r>
    </w:p>
    <w:p w14:paraId="01DA77FE" w14:textId="77777777" w:rsidR="00901D36" w:rsidRPr="00311ED8" w:rsidRDefault="00901D36" w:rsidP="00901D36">
      <w:pPr>
        <w:pStyle w:val="Nornal"/>
        <w:spacing w:after="0" w:line="240" w:lineRule="auto"/>
        <w:rPr>
          <w:color w:val="000000" w:themeColor="text1"/>
          <w:sz w:val="24"/>
          <w:szCs w:val="24"/>
        </w:rPr>
      </w:pPr>
    </w:p>
    <w:p w14:paraId="353A0AAA" w14:textId="77777777" w:rsidR="00901D36" w:rsidRPr="00311ED8" w:rsidRDefault="00901D36" w:rsidP="00901D36">
      <w:pPr>
        <w:rPr>
          <w:rFonts w:ascii="Arial" w:hAnsi="Arial" w:cs="Arial"/>
          <w:i/>
          <w:iCs/>
          <w:sz w:val="24"/>
          <w:szCs w:val="24"/>
        </w:rPr>
      </w:pPr>
      <w:r w:rsidRPr="00311ED8">
        <w:rPr>
          <w:rFonts w:ascii="Arial" w:hAnsi="Arial" w:cs="Arial"/>
          <w:sz w:val="24"/>
          <w:szCs w:val="24"/>
        </w:rPr>
        <w:t xml:space="preserve">Armstrong, M and Brown, D. (2019) </w:t>
      </w:r>
      <w:r w:rsidRPr="00311ED8">
        <w:rPr>
          <w:rFonts w:ascii="Arial" w:hAnsi="Arial" w:cs="Arial"/>
          <w:i/>
          <w:iCs/>
          <w:sz w:val="24"/>
          <w:szCs w:val="24"/>
        </w:rPr>
        <w:t>Armstrong’s Handbook of Reward Management Practice, Improving performance through reward. (6</w:t>
      </w:r>
      <w:r w:rsidRPr="00311ED8">
        <w:rPr>
          <w:rFonts w:ascii="Arial" w:hAnsi="Arial" w:cs="Arial"/>
          <w:i/>
          <w:iCs/>
          <w:sz w:val="24"/>
          <w:szCs w:val="24"/>
          <w:vertAlign w:val="superscript"/>
        </w:rPr>
        <w:t>th</w:t>
      </w:r>
      <w:r w:rsidRPr="00311ED8">
        <w:rPr>
          <w:rFonts w:ascii="Arial" w:hAnsi="Arial" w:cs="Arial"/>
          <w:i/>
          <w:iCs/>
          <w:sz w:val="24"/>
          <w:szCs w:val="24"/>
        </w:rPr>
        <w:t xml:space="preserve"> ed) Kogan Page: London</w:t>
      </w:r>
    </w:p>
    <w:p w14:paraId="0EB7E8DD" w14:textId="77777777" w:rsidR="00901D36" w:rsidRPr="00311ED8" w:rsidRDefault="00901D36" w:rsidP="00901D36">
      <w:pPr>
        <w:rPr>
          <w:rFonts w:ascii="Arial" w:hAnsi="Arial" w:cs="Arial"/>
          <w:sz w:val="24"/>
          <w:szCs w:val="24"/>
        </w:rPr>
      </w:pPr>
      <w:r w:rsidRPr="00311ED8">
        <w:rPr>
          <w:rFonts w:ascii="Arial" w:hAnsi="Arial" w:cs="Arial"/>
          <w:sz w:val="24"/>
          <w:szCs w:val="24"/>
        </w:rPr>
        <w:t xml:space="preserve">Bank of England Inflation Rates: </w:t>
      </w:r>
      <w:hyperlink r:id="rId9" w:history="1">
        <w:r w:rsidRPr="00311ED8">
          <w:rPr>
            <w:rStyle w:val="Hyperlink"/>
            <w:rFonts w:ascii="Arial" w:hAnsi="Arial" w:cs="Arial"/>
            <w:sz w:val="24"/>
            <w:szCs w:val="24"/>
          </w:rPr>
          <w:t>https://moodle.uwtsd.ac.uk/course/section.php?id=186555</w:t>
        </w:r>
      </w:hyperlink>
    </w:p>
    <w:p w14:paraId="406D2D3E" w14:textId="77777777" w:rsidR="00901D36" w:rsidRPr="00311ED8" w:rsidRDefault="00901D36" w:rsidP="00901D36">
      <w:pPr>
        <w:rPr>
          <w:rFonts w:ascii="Arial" w:hAnsi="Arial" w:cs="Arial"/>
          <w:sz w:val="24"/>
          <w:szCs w:val="24"/>
        </w:rPr>
      </w:pPr>
      <w:r w:rsidRPr="00311ED8">
        <w:rPr>
          <w:rFonts w:ascii="Arial" w:hAnsi="Arial" w:cs="Arial"/>
          <w:sz w:val="24"/>
          <w:szCs w:val="24"/>
        </w:rPr>
        <w:t>CIPD (2015</w:t>
      </w:r>
      <w:r>
        <w:rPr>
          <w:rFonts w:ascii="Arial" w:hAnsi="Arial" w:cs="Arial"/>
          <w:sz w:val="24"/>
          <w:szCs w:val="24"/>
        </w:rPr>
        <w:t>)</w:t>
      </w:r>
      <w:r w:rsidRPr="00311ED8">
        <w:rPr>
          <w:rFonts w:ascii="Arial" w:hAnsi="Arial" w:cs="Arial"/>
          <w:sz w:val="24"/>
          <w:szCs w:val="24"/>
        </w:rPr>
        <w:t xml:space="preserve"> </w:t>
      </w:r>
      <w:r w:rsidRPr="00311ED8">
        <w:rPr>
          <w:rFonts w:ascii="Arial" w:hAnsi="Arial" w:cs="Arial"/>
          <w:i/>
          <w:iCs/>
          <w:sz w:val="24"/>
          <w:szCs w:val="24"/>
        </w:rPr>
        <w:t xml:space="preserve">Research Report: Show me the money: Behavioural Science of reward. </w:t>
      </w:r>
      <w:r w:rsidRPr="00311ED8">
        <w:rPr>
          <w:rFonts w:ascii="Arial" w:hAnsi="Arial" w:cs="Arial"/>
          <w:sz w:val="24"/>
          <w:szCs w:val="24"/>
        </w:rPr>
        <w:t xml:space="preserve">Available at: </w:t>
      </w:r>
      <w:hyperlink r:id="rId10" w:history="1">
        <w:r w:rsidRPr="00311ED8">
          <w:rPr>
            <w:rStyle w:val="Hyperlink"/>
            <w:rFonts w:ascii="Arial" w:hAnsi="Arial" w:cs="Arial"/>
            <w:sz w:val="24"/>
            <w:szCs w:val="24"/>
          </w:rPr>
          <w:t>https://www.cipd.org/uk/knowledge/evidence-reviews/reward-decisions/</w:t>
        </w:r>
      </w:hyperlink>
      <w:r w:rsidRPr="00311ED8">
        <w:rPr>
          <w:rFonts w:ascii="Arial" w:hAnsi="Arial" w:cs="Arial"/>
          <w:sz w:val="24"/>
          <w:szCs w:val="24"/>
        </w:rPr>
        <w:t xml:space="preserve">  (Accessed 09 June 2026) </w:t>
      </w:r>
    </w:p>
    <w:p w14:paraId="2328475D" w14:textId="5E32E33A" w:rsidR="00683338" w:rsidRDefault="00683338" w:rsidP="00901D36">
      <w:pPr>
        <w:rPr>
          <w:rFonts w:ascii="Arial" w:hAnsi="Arial" w:cs="Arial"/>
          <w:sz w:val="24"/>
          <w:szCs w:val="24"/>
        </w:rPr>
      </w:pPr>
      <w:r>
        <w:rPr>
          <w:rFonts w:ascii="Arial" w:hAnsi="Arial" w:cs="Arial"/>
          <w:sz w:val="24"/>
          <w:szCs w:val="24"/>
        </w:rPr>
        <w:t xml:space="preserve">CIPD (2019) </w:t>
      </w:r>
      <w:r w:rsidR="003015BD">
        <w:rPr>
          <w:rFonts w:ascii="Arial" w:hAnsi="Arial" w:cs="Arial"/>
          <w:i/>
          <w:iCs/>
          <w:sz w:val="24"/>
          <w:szCs w:val="24"/>
        </w:rPr>
        <w:t xml:space="preserve">Finding the balance </w:t>
      </w:r>
      <w:r w:rsidR="002752D2">
        <w:rPr>
          <w:rFonts w:ascii="Arial" w:hAnsi="Arial" w:cs="Arial"/>
          <w:i/>
          <w:iCs/>
          <w:sz w:val="24"/>
          <w:szCs w:val="24"/>
        </w:rPr>
        <w:t xml:space="preserve">your reward package. </w:t>
      </w:r>
      <w:r w:rsidR="002752D2">
        <w:rPr>
          <w:rFonts w:ascii="Arial" w:hAnsi="Arial" w:cs="Arial"/>
          <w:sz w:val="24"/>
          <w:szCs w:val="24"/>
        </w:rPr>
        <w:t xml:space="preserve">Available at: </w:t>
      </w:r>
      <w:hyperlink r:id="rId11" w:history="1">
        <w:r w:rsidR="002752D2" w:rsidRPr="00E24DCE">
          <w:rPr>
            <w:rStyle w:val="Hyperlink"/>
            <w:rFonts w:ascii="Arial" w:hAnsi="Arial" w:cs="Arial"/>
            <w:sz w:val="24"/>
            <w:szCs w:val="24"/>
          </w:rPr>
          <w:t>https://www.cipd.org/uk/knowledge/bitesize-research/balance-reward-package/</w:t>
        </w:r>
      </w:hyperlink>
      <w:r w:rsidR="00ED28A3">
        <w:rPr>
          <w:rFonts w:ascii="Arial" w:hAnsi="Arial" w:cs="Arial"/>
          <w:sz w:val="24"/>
          <w:szCs w:val="24"/>
        </w:rPr>
        <w:t xml:space="preserve"> (Accessed 13 July 2026)</w:t>
      </w:r>
    </w:p>
    <w:p w14:paraId="376D7DE3" w14:textId="6295AD5A" w:rsidR="00901D36" w:rsidRPr="00311ED8" w:rsidRDefault="00901D36" w:rsidP="00901D36">
      <w:pPr>
        <w:rPr>
          <w:rFonts w:ascii="Arial" w:hAnsi="Arial" w:cs="Arial"/>
          <w:sz w:val="24"/>
          <w:szCs w:val="24"/>
        </w:rPr>
      </w:pPr>
      <w:r w:rsidRPr="00311ED8">
        <w:rPr>
          <w:rFonts w:ascii="Arial" w:hAnsi="Arial" w:cs="Arial"/>
          <w:sz w:val="24"/>
          <w:szCs w:val="24"/>
        </w:rPr>
        <w:t xml:space="preserve">CIPD (2020) </w:t>
      </w:r>
      <w:r w:rsidRPr="00311ED8">
        <w:rPr>
          <w:rFonts w:ascii="Arial" w:hAnsi="Arial" w:cs="Arial"/>
          <w:i/>
          <w:iCs/>
          <w:sz w:val="24"/>
          <w:szCs w:val="24"/>
        </w:rPr>
        <w:t xml:space="preserve">Five ideas for employee recognition. </w:t>
      </w:r>
      <w:r w:rsidRPr="00311ED8">
        <w:rPr>
          <w:rFonts w:ascii="Arial" w:hAnsi="Arial" w:cs="Arial"/>
          <w:sz w:val="24"/>
          <w:szCs w:val="24"/>
        </w:rPr>
        <w:t xml:space="preserve">Available at: </w:t>
      </w:r>
      <w:hyperlink r:id="rId12" w:history="1">
        <w:r w:rsidRPr="00311ED8">
          <w:rPr>
            <w:rStyle w:val="Hyperlink"/>
            <w:rFonts w:ascii="Arial" w:hAnsi="Arial" w:cs="Arial"/>
            <w:sz w:val="24"/>
            <w:szCs w:val="24"/>
          </w:rPr>
          <w:t>https://www.cipd.org/uk/about/news/five-ideas-employee-recognition/</w:t>
        </w:r>
      </w:hyperlink>
      <w:r w:rsidRPr="00311ED8">
        <w:rPr>
          <w:rFonts w:ascii="Arial" w:hAnsi="Arial" w:cs="Arial"/>
          <w:sz w:val="24"/>
          <w:szCs w:val="24"/>
        </w:rPr>
        <w:t xml:space="preserve"> (Accessed 1 July 2026)</w:t>
      </w:r>
    </w:p>
    <w:p w14:paraId="7E83498C" w14:textId="77777777" w:rsidR="00901D36" w:rsidRPr="00311ED8" w:rsidRDefault="00901D36" w:rsidP="00901D36">
      <w:pPr>
        <w:pStyle w:val="Nornal"/>
        <w:spacing w:after="0" w:line="240" w:lineRule="auto"/>
        <w:rPr>
          <w:color w:val="000000" w:themeColor="text1"/>
          <w:sz w:val="24"/>
          <w:szCs w:val="24"/>
        </w:rPr>
      </w:pPr>
      <w:r w:rsidRPr="00311ED8">
        <w:rPr>
          <w:color w:val="000000" w:themeColor="text1"/>
          <w:sz w:val="24"/>
          <w:szCs w:val="24"/>
        </w:rPr>
        <w:t xml:space="preserve">CIPD (2021) </w:t>
      </w:r>
      <w:r w:rsidRPr="00311ED8">
        <w:rPr>
          <w:i/>
          <w:iCs/>
          <w:color w:val="000000" w:themeColor="text1"/>
          <w:sz w:val="24"/>
          <w:szCs w:val="24"/>
        </w:rPr>
        <w:t xml:space="preserve">Employee Engagement, Definitions, measures and outcomes, Discussion Report. </w:t>
      </w:r>
      <w:r w:rsidRPr="00311ED8">
        <w:rPr>
          <w:color w:val="000000" w:themeColor="text1"/>
          <w:sz w:val="24"/>
          <w:szCs w:val="24"/>
        </w:rPr>
        <w:t xml:space="preserve">Available at: </w:t>
      </w:r>
      <w:hyperlink r:id="rId13" w:history="1">
        <w:r w:rsidRPr="00311ED8">
          <w:rPr>
            <w:rStyle w:val="Hyperlink"/>
            <w:sz w:val="24"/>
            <w:szCs w:val="24"/>
          </w:rPr>
          <w:t>https://www.cipd.org/globalassets/media/knowledge/knowledge-hub/evidence-reviews/employee-engagement-discussion-report_tcm18-89598.pdf</w:t>
        </w:r>
      </w:hyperlink>
      <w:r w:rsidRPr="00311ED8">
        <w:rPr>
          <w:color w:val="000000" w:themeColor="text1"/>
          <w:sz w:val="24"/>
          <w:szCs w:val="24"/>
        </w:rPr>
        <w:t xml:space="preserve"> (Accessed 5 July 2026)</w:t>
      </w:r>
    </w:p>
    <w:p w14:paraId="0DA98922" w14:textId="77777777" w:rsidR="00901D36" w:rsidRPr="00311ED8" w:rsidRDefault="00901D36" w:rsidP="00901D36">
      <w:pPr>
        <w:pStyle w:val="Nornal"/>
        <w:spacing w:after="0" w:line="240" w:lineRule="auto"/>
        <w:rPr>
          <w:color w:val="000000" w:themeColor="text1"/>
          <w:sz w:val="24"/>
          <w:szCs w:val="24"/>
        </w:rPr>
      </w:pPr>
    </w:p>
    <w:p w14:paraId="3BFE87D6" w14:textId="77777777" w:rsidR="00901D36" w:rsidRPr="00311ED8" w:rsidRDefault="00901D36" w:rsidP="00901D36">
      <w:pPr>
        <w:rPr>
          <w:rFonts w:ascii="Arial" w:hAnsi="Arial" w:cs="Arial"/>
          <w:sz w:val="24"/>
          <w:szCs w:val="24"/>
        </w:rPr>
      </w:pPr>
      <w:r w:rsidRPr="00311ED8">
        <w:rPr>
          <w:rFonts w:ascii="Arial" w:hAnsi="Arial" w:cs="Arial"/>
          <w:sz w:val="24"/>
          <w:szCs w:val="24"/>
        </w:rPr>
        <w:t>CIPD (2022</w:t>
      </w:r>
      <w:r>
        <w:rPr>
          <w:rFonts w:ascii="Arial" w:hAnsi="Arial" w:cs="Arial"/>
          <w:sz w:val="24"/>
          <w:szCs w:val="24"/>
        </w:rPr>
        <w:t>a</w:t>
      </w:r>
      <w:r w:rsidRPr="00311ED8">
        <w:rPr>
          <w:rFonts w:ascii="Arial" w:hAnsi="Arial" w:cs="Arial"/>
          <w:sz w:val="24"/>
          <w:szCs w:val="24"/>
        </w:rPr>
        <w:t xml:space="preserve">) </w:t>
      </w:r>
      <w:r w:rsidRPr="00311ED8">
        <w:rPr>
          <w:rFonts w:ascii="Arial" w:hAnsi="Arial" w:cs="Arial"/>
          <w:i/>
          <w:iCs/>
          <w:sz w:val="24"/>
          <w:szCs w:val="24"/>
        </w:rPr>
        <w:t xml:space="preserve">Flexible working can make us happier. </w:t>
      </w:r>
      <w:r w:rsidRPr="00311ED8">
        <w:rPr>
          <w:rFonts w:ascii="Arial" w:hAnsi="Arial" w:cs="Arial"/>
          <w:sz w:val="24"/>
          <w:szCs w:val="24"/>
        </w:rPr>
        <w:t xml:space="preserve">Available at: </w:t>
      </w:r>
      <w:hyperlink r:id="rId14" w:history="1">
        <w:r w:rsidRPr="00311ED8">
          <w:rPr>
            <w:rStyle w:val="Hyperlink"/>
            <w:rFonts w:ascii="Arial" w:hAnsi="Arial" w:cs="Arial"/>
            <w:sz w:val="24"/>
            <w:szCs w:val="24"/>
          </w:rPr>
          <w:t>https://www.cipd.org/uk/knowledge/bitesize-research/flexible-happier-workers/</w:t>
        </w:r>
      </w:hyperlink>
      <w:r w:rsidRPr="00311ED8">
        <w:rPr>
          <w:rFonts w:ascii="Arial" w:hAnsi="Arial" w:cs="Arial"/>
          <w:sz w:val="24"/>
          <w:szCs w:val="24"/>
        </w:rPr>
        <w:t xml:space="preserve"> (Accessed 21 June 2026)</w:t>
      </w:r>
    </w:p>
    <w:p w14:paraId="2EADF635" w14:textId="77777777" w:rsidR="00901D36" w:rsidRPr="00311ED8" w:rsidRDefault="00901D36" w:rsidP="00901D36">
      <w:pPr>
        <w:rPr>
          <w:rFonts w:ascii="Arial" w:hAnsi="Arial" w:cs="Arial"/>
          <w:sz w:val="24"/>
          <w:szCs w:val="24"/>
        </w:rPr>
      </w:pPr>
      <w:r w:rsidRPr="00311ED8">
        <w:rPr>
          <w:rFonts w:ascii="Arial" w:hAnsi="Arial" w:cs="Arial"/>
          <w:sz w:val="24"/>
          <w:szCs w:val="24"/>
        </w:rPr>
        <w:t>CIPD (2022</w:t>
      </w:r>
      <w:r>
        <w:rPr>
          <w:rFonts w:ascii="Arial" w:hAnsi="Arial" w:cs="Arial"/>
          <w:sz w:val="24"/>
          <w:szCs w:val="24"/>
        </w:rPr>
        <w:t>b</w:t>
      </w:r>
      <w:r w:rsidRPr="00311ED8">
        <w:rPr>
          <w:rFonts w:ascii="Arial" w:hAnsi="Arial" w:cs="Arial"/>
          <w:sz w:val="24"/>
          <w:szCs w:val="24"/>
        </w:rPr>
        <w:t xml:space="preserve">) </w:t>
      </w:r>
      <w:r w:rsidRPr="00311ED8">
        <w:rPr>
          <w:rFonts w:ascii="Arial" w:hAnsi="Arial" w:cs="Arial"/>
          <w:i/>
          <w:iCs/>
          <w:sz w:val="24"/>
          <w:szCs w:val="24"/>
        </w:rPr>
        <w:t xml:space="preserve">Incentives and Recognition: An evidence review. </w:t>
      </w:r>
      <w:r w:rsidRPr="00311ED8">
        <w:rPr>
          <w:rFonts w:ascii="Arial" w:hAnsi="Arial" w:cs="Arial"/>
          <w:sz w:val="24"/>
          <w:szCs w:val="24"/>
        </w:rPr>
        <w:t xml:space="preserve">Available at: </w:t>
      </w:r>
      <w:hyperlink r:id="rId15" w:history="1">
        <w:r w:rsidRPr="00311ED8">
          <w:rPr>
            <w:rStyle w:val="Hyperlink"/>
            <w:rFonts w:ascii="Arial" w:hAnsi="Arial" w:cs="Arial"/>
            <w:sz w:val="24"/>
            <w:szCs w:val="24"/>
          </w:rPr>
          <w:t>https://www.cipd.org/globalassets/media/knowledge/knowledge-hub/evidence-reviews/incentives-recognition-practice-summary_tcm18-105466.pdf</w:t>
        </w:r>
      </w:hyperlink>
      <w:r w:rsidRPr="00311ED8">
        <w:rPr>
          <w:rFonts w:ascii="Arial" w:hAnsi="Arial" w:cs="Arial"/>
          <w:sz w:val="24"/>
          <w:szCs w:val="24"/>
        </w:rPr>
        <w:t xml:space="preserve"> (Accessed 7 June 2026)</w:t>
      </w:r>
    </w:p>
    <w:p w14:paraId="3DBD2FCB" w14:textId="77777777" w:rsidR="00E92A57" w:rsidRDefault="00901D36" w:rsidP="00E92A57">
      <w:pPr>
        <w:rPr>
          <w:rFonts w:ascii="Arial" w:hAnsi="Arial" w:cs="Arial"/>
          <w:sz w:val="24"/>
          <w:szCs w:val="24"/>
        </w:rPr>
      </w:pPr>
      <w:r w:rsidRPr="00311ED8">
        <w:rPr>
          <w:rFonts w:ascii="Arial" w:hAnsi="Arial" w:cs="Arial"/>
          <w:sz w:val="24"/>
          <w:szCs w:val="24"/>
        </w:rPr>
        <w:t xml:space="preserve">CIPD (2025a) </w:t>
      </w:r>
      <w:r w:rsidRPr="00311ED8">
        <w:rPr>
          <w:rFonts w:ascii="Arial" w:hAnsi="Arial" w:cs="Arial"/>
          <w:i/>
          <w:iCs/>
          <w:sz w:val="24"/>
          <w:szCs w:val="24"/>
        </w:rPr>
        <w:t xml:space="preserve">Bonuses and Incentives </w:t>
      </w:r>
      <w:r w:rsidRPr="00311ED8">
        <w:rPr>
          <w:rFonts w:ascii="Arial" w:hAnsi="Arial" w:cs="Arial"/>
          <w:sz w:val="24"/>
          <w:szCs w:val="24"/>
        </w:rPr>
        <w:t xml:space="preserve">Available at: </w:t>
      </w:r>
      <w:hyperlink r:id="rId16" w:history="1">
        <w:r w:rsidRPr="00311ED8">
          <w:rPr>
            <w:rStyle w:val="Hyperlink"/>
            <w:rFonts w:ascii="Arial" w:hAnsi="Arial" w:cs="Arial"/>
            <w:sz w:val="24"/>
            <w:szCs w:val="24"/>
          </w:rPr>
          <w:t>https://www.cipd.org/uk/knowledge/factsheets/bonuses-factsheet/</w:t>
        </w:r>
      </w:hyperlink>
      <w:r w:rsidRPr="00311ED8">
        <w:rPr>
          <w:rFonts w:ascii="Arial" w:hAnsi="Arial" w:cs="Arial"/>
          <w:sz w:val="24"/>
          <w:szCs w:val="24"/>
        </w:rPr>
        <w:t xml:space="preserve"> (Accessed 09 June 2026)</w:t>
      </w:r>
      <w:r w:rsidR="00E92A57" w:rsidRPr="00E92A57">
        <w:rPr>
          <w:rFonts w:ascii="Arial" w:hAnsi="Arial" w:cs="Arial"/>
          <w:sz w:val="24"/>
          <w:szCs w:val="24"/>
        </w:rPr>
        <w:t xml:space="preserve"> </w:t>
      </w:r>
    </w:p>
    <w:p w14:paraId="0FC480B2" w14:textId="1DDF4182" w:rsidR="00E92A57" w:rsidRDefault="00E92A57" w:rsidP="00E92A57">
      <w:pPr>
        <w:rPr>
          <w:rFonts w:ascii="Arial" w:hAnsi="Arial" w:cs="Arial"/>
          <w:sz w:val="24"/>
          <w:szCs w:val="24"/>
        </w:rPr>
      </w:pPr>
      <w:r>
        <w:rPr>
          <w:rFonts w:ascii="Arial" w:hAnsi="Arial" w:cs="Arial"/>
          <w:sz w:val="24"/>
          <w:szCs w:val="24"/>
        </w:rPr>
        <w:lastRenderedPageBreak/>
        <w:t>CIPD (2025</w:t>
      </w:r>
      <w:r>
        <w:rPr>
          <w:rFonts w:ascii="Arial" w:hAnsi="Arial" w:cs="Arial"/>
          <w:sz w:val="24"/>
          <w:szCs w:val="24"/>
        </w:rPr>
        <w:t>i</w:t>
      </w:r>
      <w:r>
        <w:rPr>
          <w:rFonts w:ascii="Arial" w:hAnsi="Arial" w:cs="Arial"/>
          <w:sz w:val="24"/>
          <w:szCs w:val="24"/>
        </w:rPr>
        <w:t xml:space="preserve">) </w:t>
      </w:r>
      <w:r>
        <w:rPr>
          <w:rFonts w:ascii="Arial" w:hAnsi="Arial" w:cs="Arial"/>
          <w:i/>
          <w:iCs/>
          <w:sz w:val="24"/>
          <w:szCs w:val="24"/>
        </w:rPr>
        <w:t xml:space="preserve">Briefing: An update on flexible and hybrid workplace. </w:t>
      </w:r>
      <w:r>
        <w:rPr>
          <w:rFonts w:ascii="Arial" w:hAnsi="Arial" w:cs="Arial"/>
          <w:sz w:val="24"/>
          <w:szCs w:val="24"/>
        </w:rPr>
        <w:t>Available at: (</w:t>
      </w:r>
      <w:hyperlink r:id="rId17" w:history="1">
        <w:r w:rsidRPr="00E24DCE">
          <w:rPr>
            <w:rStyle w:val="Hyperlink"/>
            <w:rFonts w:ascii="Arial" w:hAnsi="Arial" w:cs="Arial"/>
            <w:sz w:val="24"/>
            <w:szCs w:val="24"/>
          </w:rPr>
          <w:t>https://www.cipd.org/uk/views-and-insights/thought-leadership/insight/flexible-hybrid-working-update/</w:t>
        </w:r>
      </w:hyperlink>
      <w:r>
        <w:rPr>
          <w:rFonts w:ascii="Arial" w:hAnsi="Arial" w:cs="Arial"/>
          <w:sz w:val="24"/>
          <w:szCs w:val="24"/>
        </w:rPr>
        <w:t xml:space="preserve"> (Accessed 13 July 2026)</w:t>
      </w:r>
    </w:p>
    <w:p w14:paraId="62CB2472" w14:textId="0089EA56" w:rsidR="00901D36" w:rsidRPr="00311ED8" w:rsidRDefault="00901D36" w:rsidP="00901D36">
      <w:pPr>
        <w:rPr>
          <w:rFonts w:ascii="Arial" w:hAnsi="Arial" w:cs="Arial"/>
          <w:sz w:val="24"/>
          <w:szCs w:val="24"/>
        </w:rPr>
      </w:pPr>
    </w:p>
    <w:p w14:paraId="26421769" w14:textId="77777777" w:rsidR="00901D36" w:rsidRPr="00311ED8" w:rsidRDefault="00901D36" w:rsidP="00901D36">
      <w:pPr>
        <w:rPr>
          <w:rFonts w:ascii="Arial" w:hAnsi="Arial" w:cs="Arial"/>
          <w:sz w:val="24"/>
          <w:szCs w:val="24"/>
        </w:rPr>
      </w:pPr>
      <w:r w:rsidRPr="00311ED8">
        <w:rPr>
          <w:rFonts w:ascii="Arial" w:hAnsi="Arial" w:cs="Arial"/>
          <w:sz w:val="24"/>
          <w:szCs w:val="24"/>
        </w:rPr>
        <w:t xml:space="preserve">CIPD (2025b) Competence &amp; Competency frameworks. Available at: </w:t>
      </w:r>
      <w:hyperlink r:id="rId18" w:history="1">
        <w:r w:rsidRPr="00311ED8">
          <w:rPr>
            <w:rStyle w:val="Hyperlink"/>
            <w:rFonts w:ascii="Arial" w:hAnsi="Arial" w:cs="Arial"/>
            <w:sz w:val="24"/>
            <w:szCs w:val="24"/>
          </w:rPr>
          <w:t>https://www.cipd.org/uk/knowledge/factsheets/competency-factsheet/</w:t>
        </w:r>
      </w:hyperlink>
      <w:r w:rsidRPr="00311ED8">
        <w:rPr>
          <w:rFonts w:ascii="Arial" w:hAnsi="Arial" w:cs="Arial"/>
          <w:sz w:val="24"/>
          <w:szCs w:val="24"/>
        </w:rPr>
        <w:t xml:space="preserve"> (Accessed 14 June 2026)</w:t>
      </w:r>
    </w:p>
    <w:p w14:paraId="5088E37F" w14:textId="77777777" w:rsidR="00901D36" w:rsidRPr="00311ED8" w:rsidRDefault="00901D36" w:rsidP="00901D36">
      <w:pPr>
        <w:pStyle w:val="Nornal"/>
        <w:spacing w:after="0" w:line="240" w:lineRule="auto"/>
        <w:ind w:left="360"/>
        <w:rPr>
          <w:color w:val="000000"/>
          <w:sz w:val="24"/>
          <w:szCs w:val="24"/>
        </w:rPr>
      </w:pPr>
    </w:p>
    <w:p w14:paraId="2E8C5C80" w14:textId="77777777" w:rsidR="00901D36" w:rsidRPr="00311ED8" w:rsidRDefault="00901D36" w:rsidP="00901D36">
      <w:pPr>
        <w:rPr>
          <w:rFonts w:ascii="Arial" w:hAnsi="Arial" w:cs="Arial"/>
          <w:sz w:val="24"/>
          <w:szCs w:val="24"/>
        </w:rPr>
      </w:pPr>
      <w:r w:rsidRPr="00311ED8">
        <w:rPr>
          <w:rFonts w:ascii="Arial" w:hAnsi="Arial" w:cs="Arial"/>
          <w:sz w:val="24"/>
          <w:szCs w:val="24"/>
        </w:rPr>
        <w:t xml:space="preserve">CIPD (2025c) </w:t>
      </w:r>
      <w:r w:rsidRPr="00311ED8">
        <w:rPr>
          <w:rFonts w:ascii="Arial" w:hAnsi="Arial" w:cs="Arial"/>
          <w:i/>
          <w:iCs/>
          <w:sz w:val="24"/>
          <w:szCs w:val="24"/>
        </w:rPr>
        <w:t xml:space="preserve">Job evaluation and market pricing. </w:t>
      </w:r>
      <w:r w:rsidRPr="00311ED8">
        <w:rPr>
          <w:rFonts w:ascii="Arial" w:hAnsi="Arial" w:cs="Arial"/>
          <w:sz w:val="24"/>
          <w:szCs w:val="24"/>
        </w:rPr>
        <w:t xml:space="preserve">Available at: </w:t>
      </w:r>
      <w:hyperlink r:id="rId19" w:history="1">
        <w:r w:rsidRPr="00311ED8">
          <w:rPr>
            <w:rStyle w:val="Hyperlink"/>
            <w:rFonts w:ascii="Arial" w:hAnsi="Arial" w:cs="Arial"/>
            <w:sz w:val="24"/>
            <w:szCs w:val="24"/>
          </w:rPr>
          <w:t>https://www.cipd.org/uk/knowledge/factsheets/market-pricing-factsheet/</w:t>
        </w:r>
      </w:hyperlink>
      <w:r w:rsidRPr="00311ED8">
        <w:rPr>
          <w:rFonts w:ascii="Arial" w:hAnsi="Arial" w:cs="Arial"/>
          <w:sz w:val="24"/>
          <w:szCs w:val="24"/>
        </w:rPr>
        <w:t xml:space="preserve"> (Accessed 3 July 2026)</w:t>
      </w:r>
    </w:p>
    <w:p w14:paraId="59C55A6A" w14:textId="77777777" w:rsidR="00901D36" w:rsidRPr="00311ED8" w:rsidRDefault="00901D36" w:rsidP="00901D36">
      <w:pPr>
        <w:rPr>
          <w:rFonts w:ascii="Arial" w:hAnsi="Arial" w:cs="Arial"/>
          <w:sz w:val="24"/>
          <w:szCs w:val="24"/>
        </w:rPr>
      </w:pPr>
      <w:r w:rsidRPr="00311ED8">
        <w:rPr>
          <w:rFonts w:ascii="Arial" w:hAnsi="Arial" w:cs="Arial"/>
          <w:sz w:val="24"/>
          <w:szCs w:val="24"/>
        </w:rPr>
        <w:t xml:space="preserve">CIPD (2025d) Pay structures and pay progression Available at: </w:t>
      </w:r>
      <w:hyperlink r:id="rId20" w:history="1">
        <w:r w:rsidRPr="00311ED8">
          <w:rPr>
            <w:rStyle w:val="Hyperlink"/>
            <w:rFonts w:ascii="Arial" w:hAnsi="Arial" w:cs="Arial"/>
            <w:sz w:val="24"/>
            <w:szCs w:val="24"/>
          </w:rPr>
          <w:t>https://www.cipd.org/uk/knowledge/factsheets/pay-structures-factsheet/</w:t>
        </w:r>
      </w:hyperlink>
      <w:r w:rsidRPr="00311ED8">
        <w:rPr>
          <w:rFonts w:ascii="Arial" w:hAnsi="Arial" w:cs="Arial"/>
          <w:sz w:val="24"/>
          <w:szCs w:val="24"/>
        </w:rPr>
        <w:t xml:space="preserve"> </w:t>
      </w:r>
    </w:p>
    <w:p w14:paraId="032A6C07" w14:textId="77777777" w:rsidR="00901D36" w:rsidRPr="00311ED8" w:rsidRDefault="00901D36" w:rsidP="00901D36">
      <w:pPr>
        <w:rPr>
          <w:rFonts w:ascii="Arial" w:hAnsi="Arial" w:cs="Arial"/>
          <w:sz w:val="24"/>
          <w:szCs w:val="24"/>
        </w:rPr>
      </w:pPr>
      <w:r w:rsidRPr="00311ED8">
        <w:rPr>
          <w:rFonts w:ascii="Arial" w:hAnsi="Arial" w:cs="Arial"/>
          <w:sz w:val="24"/>
          <w:szCs w:val="24"/>
        </w:rPr>
        <w:t>CIPD (2025</w:t>
      </w:r>
      <w:r>
        <w:rPr>
          <w:rFonts w:ascii="Arial" w:hAnsi="Arial" w:cs="Arial"/>
          <w:sz w:val="24"/>
          <w:szCs w:val="24"/>
        </w:rPr>
        <w:t>e</w:t>
      </w:r>
      <w:r w:rsidRPr="00311ED8">
        <w:rPr>
          <w:rFonts w:ascii="Arial" w:hAnsi="Arial" w:cs="Arial"/>
          <w:sz w:val="24"/>
          <w:szCs w:val="24"/>
        </w:rPr>
        <w:t xml:space="preserve">) People analytics. Available at: </w:t>
      </w:r>
      <w:hyperlink r:id="rId21" w:history="1">
        <w:r w:rsidRPr="00311ED8">
          <w:rPr>
            <w:rStyle w:val="Hyperlink"/>
            <w:rFonts w:ascii="Arial" w:hAnsi="Arial" w:cs="Arial"/>
            <w:sz w:val="24"/>
            <w:szCs w:val="24"/>
          </w:rPr>
          <w:t>https://www.cipd.org/uk/knowledge/factsheets/analytics-factsheet/</w:t>
        </w:r>
      </w:hyperlink>
      <w:r w:rsidRPr="00311ED8">
        <w:rPr>
          <w:rFonts w:ascii="Arial" w:hAnsi="Arial" w:cs="Arial"/>
          <w:sz w:val="24"/>
          <w:szCs w:val="24"/>
        </w:rPr>
        <w:t xml:space="preserve"> (Accessed 10 July 2026)</w:t>
      </w:r>
    </w:p>
    <w:p w14:paraId="0D7F0204" w14:textId="77777777" w:rsidR="00901D36" w:rsidRPr="00311ED8" w:rsidRDefault="00901D36" w:rsidP="00901D36">
      <w:pPr>
        <w:rPr>
          <w:rFonts w:ascii="Arial" w:hAnsi="Arial" w:cs="Arial"/>
          <w:sz w:val="24"/>
          <w:szCs w:val="24"/>
        </w:rPr>
      </w:pPr>
      <w:r w:rsidRPr="00311ED8">
        <w:rPr>
          <w:rFonts w:ascii="Arial" w:hAnsi="Arial" w:cs="Arial"/>
          <w:sz w:val="24"/>
          <w:szCs w:val="24"/>
        </w:rPr>
        <w:t>CIPD (2025</w:t>
      </w:r>
      <w:r>
        <w:rPr>
          <w:rFonts w:ascii="Arial" w:hAnsi="Arial" w:cs="Arial"/>
          <w:sz w:val="24"/>
          <w:szCs w:val="24"/>
        </w:rPr>
        <w:t>f</w:t>
      </w:r>
      <w:r w:rsidRPr="00311ED8">
        <w:rPr>
          <w:rFonts w:ascii="Arial" w:hAnsi="Arial" w:cs="Arial"/>
          <w:sz w:val="24"/>
          <w:szCs w:val="24"/>
        </w:rPr>
        <w:t xml:space="preserve">) </w:t>
      </w:r>
      <w:r w:rsidRPr="00311ED8">
        <w:rPr>
          <w:rFonts w:ascii="Arial" w:hAnsi="Arial" w:cs="Arial"/>
          <w:i/>
          <w:iCs/>
          <w:sz w:val="24"/>
          <w:szCs w:val="24"/>
        </w:rPr>
        <w:t xml:space="preserve">Performance-related pay. </w:t>
      </w:r>
      <w:r w:rsidRPr="00311ED8">
        <w:rPr>
          <w:rFonts w:ascii="Arial" w:hAnsi="Arial" w:cs="Arial"/>
          <w:sz w:val="24"/>
          <w:szCs w:val="24"/>
        </w:rPr>
        <w:t xml:space="preserve">Available at: </w:t>
      </w:r>
      <w:hyperlink r:id="rId22" w:history="1">
        <w:r w:rsidRPr="00311ED8">
          <w:rPr>
            <w:rStyle w:val="Hyperlink"/>
            <w:rFonts w:ascii="Arial" w:hAnsi="Arial" w:cs="Arial"/>
            <w:sz w:val="24"/>
            <w:szCs w:val="24"/>
          </w:rPr>
          <w:t>https://www.cipd.org/uk/knowledge/factsheets/pay-performance-factsheet/</w:t>
        </w:r>
      </w:hyperlink>
      <w:r w:rsidRPr="00311ED8">
        <w:rPr>
          <w:rFonts w:ascii="Arial" w:hAnsi="Arial" w:cs="Arial"/>
          <w:sz w:val="24"/>
          <w:szCs w:val="24"/>
        </w:rPr>
        <w:t xml:space="preserve"> (Accessed 14 June 2026)</w:t>
      </w:r>
    </w:p>
    <w:p w14:paraId="5C7D1325" w14:textId="77777777" w:rsidR="00901D36" w:rsidRPr="00311ED8" w:rsidRDefault="00901D36" w:rsidP="00901D36">
      <w:pPr>
        <w:rPr>
          <w:rFonts w:ascii="Arial" w:hAnsi="Arial" w:cs="Arial"/>
          <w:sz w:val="24"/>
          <w:szCs w:val="24"/>
        </w:rPr>
      </w:pPr>
      <w:r w:rsidRPr="00311ED8">
        <w:rPr>
          <w:rFonts w:ascii="Arial" w:hAnsi="Arial" w:cs="Arial"/>
          <w:sz w:val="24"/>
          <w:szCs w:val="24"/>
        </w:rPr>
        <w:t>CIPD (2025</w:t>
      </w:r>
      <w:r>
        <w:rPr>
          <w:rFonts w:ascii="Arial" w:hAnsi="Arial" w:cs="Arial"/>
          <w:sz w:val="24"/>
          <w:szCs w:val="24"/>
        </w:rPr>
        <w:t>g</w:t>
      </w:r>
      <w:r w:rsidRPr="00311ED8">
        <w:rPr>
          <w:rFonts w:ascii="Arial" w:hAnsi="Arial" w:cs="Arial"/>
          <w:sz w:val="24"/>
          <w:szCs w:val="24"/>
        </w:rPr>
        <w:t xml:space="preserve">) </w:t>
      </w:r>
      <w:r w:rsidRPr="00311ED8">
        <w:rPr>
          <w:rFonts w:ascii="Arial" w:hAnsi="Arial" w:cs="Arial"/>
          <w:i/>
          <w:iCs/>
          <w:sz w:val="24"/>
          <w:szCs w:val="24"/>
        </w:rPr>
        <w:t xml:space="preserve">Reward: An introduction </w:t>
      </w:r>
      <w:r w:rsidRPr="00311ED8">
        <w:rPr>
          <w:rFonts w:ascii="Arial" w:hAnsi="Arial" w:cs="Arial"/>
          <w:sz w:val="24"/>
          <w:szCs w:val="24"/>
        </w:rPr>
        <w:t xml:space="preserve">Available at: </w:t>
      </w:r>
      <w:hyperlink r:id="rId23" w:anchor="gref" w:history="1">
        <w:r w:rsidRPr="00311ED8">
          <w:rPr>
            <w:rStyle w:val="Hyperlink"/>
            <w:rFonts w:ascii="Arial" w:hAnsi="Arial" w:cs="Arial"/>
            <w:sz w:val="24"/>
            <w:szCs w:val="24"/>
          </w:rPr>
          <w:t>https://www.cipd.org/uk/knowledge/factsheets/reward-factsheet/#gref</w:t>
        </w:r>
      </w:hyperlink>
      <w:r w:rsidRPr="00311ED8">
        <w:rPr>
          <w:rFonts w:ascii="Arial" w:hAnsi="Arial" w:cs="Arial"/>
          <w:sz w:val="24"/>
          <w:szCs w:val="24"/>
        </w:rPr>
        <w:t xml:space="preserve"> (Accessed 1 June 2026)</w:t>
      </w:r>
    </w:p>
    <w:p w14:paraId="45544C0E" w14:textId="77777777" w:rsidR="00901D36" w:rsidRDefault="00901D36" w:rsidP="00901D36">
      <w:pPr>
        <w:rPr>
          <w:rFonts w:ascii="Arial" w:hAnsi="Arial" w:cs="Arial"/>
          <w:sz w:val="24"/>
          <w:szCs w:val="24"/>
        </w:rPr>
      </w:pPr>
      <w:r w:rsidRPr="00311ED8">
        <w:rPr>
          <w:rFonts w:ascii="Arial" w:hAnsi="Arial" w:cs="Arial"/>
          <w:sz w:val="24"/>
          <w:szCs w:val="24"/>
        </w:rPr>
        <w:t>CIPD (2025</w:t>
      </w:r>
      <w:r>
        <w:rPr>
          <w:rFonts w:ascii="Arial" w:hAnsi="Arial" w:cs="Arial"/>
          <w:sz w:val="24"/>
          <w:szCs w:val="24"/>
        </w:rPr>
        <w:t>h</w:t>
      </w:r>
      <w:r w:rsidRPr="00311ED8">
        <w:rPr>
          <w:rFonts w:ascii="Arial" w:hAnsi="Arial" w:cs="Arial"/>
          <w:sz w:val="24"/>
          <w:szCs w:val="24"/>
        </w:rPr>
        <w:t xml:space="preserve">) </w:t>
      </w:r>
      <w:r w:rsidRPr="00311ED8">
        <w:rPr>
          <w:rFonts w:ascii="Arial" w:hAnsi="Arial" w:cs="Arial"/>
          <w:i/>
          <w:iCs/>
          <w:sz w:val="24"/>
          <w:szCs w:val="24"/>
        </w:rPr>
        <w:t xml:space="preserve">Strategic reward and total reward </w:t>
      </w:r>
      <w:r w:rsidRPr="00311ED8">
        <w:rPr>
          <w:rFonts w:ascii="Arial" w:hAnsi="Arial" w:cs="Arial"/>
          <w:sz w:val="24"/>
          <w:szCs w:val="24"/>
        </w:rPr>
        <w:t>Available at:</w:t>
      </w:r>
      <w:hyperlink r:id="rId24" w:history="1">
        <w:r w:rsidRPr="00311ED8">
          <w:rPr>
            <w:rStyle w:val="Hyperlink"/>
            <w:rFonts w:ascii="Arial" w:hAnsi="Arial" w:cs="Arial"/>
            <w:sz w:val="24"/>
            <w:szCs w:val="24"/>
          </w:rPr>
          <w:t>https://www.cipd.org/uk/knowledge/factsheets/strategic-total-factsheet/</w:t>
        </w:r>
      </w:hyperlink>
      <w:r w:rsidRPr="00311ED8">
        <w:rPr>
          <w:rFonts w:ascii="Arial" w:hAnsi="Arial" w:cs="Arial"/>
          <w:sz w:val="24"/>
          <w:szCs w:val="24"/>
        </w:rPr>
        <w:t xml:space="preserve"> (Accessed 07 June 2026) </w:t>
      </w:r>
    </w:p>
    <w:p w14:paraId="6C20F700" w14:textId="77777777" w:rsidR="00502259" w:rsidRDefault="00502259" w:rsidP="00901D36">
      <w:pPr>
        <w:rPr>
          <w:rFonts w:ascii="Arial" w:hAnsi="Arial" w:cs="Arial"/>
          <w:sz w:val="24"/>
          <w:szCs w:val="24"/>
        </w:rPr>
      </w:pPr>
    </w:p>
    <w:p w14:paraId="03AFE3F8" w14:textId="77777777" w:rsidR="00502259" w:rsidRDefault="00502259" w:rsidP="00901D36">
      <w:pPr>
        <w:rPr>
          <w:rFonts w:ascii="Arial" w:hAnsi="Arial" w:cs="Arial"/>
          <w:sz w:val="24"/>
          <w:szCs w:val="24"/>
        </w:rPr>
      </w:pPr>
    </w:p>
    <w:p w14:paraId="00EC0923" w14:textId="77777777" w:rsidR="00502259" w:rsidRPr="00311ED8" w:rsidRDefault="00502259" w:rsidP="00901D36">
      <w:pPr>
        <w:rPr>
          <w:rFonts w:ascii="Arial" w:hAnsi="Arial" w:cs="Arial"/>
          <w:sz w:val="24"/>
          <w:szCs w:val="24"/>
        </w:rPr>
      </w:pPr>
    </w:p>
    <w:p w14:paraId="56AA2AEC" w14:textId="4B3260A6" w:rsidR="00502259" w:rsidRPr="00311ED8" w:rsidRDefault="00901D36" w:rsidP="00901D36">
      <w:pPr>
        <w:rPr>
          <w:rFonts w:ascii="Arial" w:hAnsi="Arial" w:cs="Arial"/>
          <w:sz w:val="24"/>
          <w:szCs w:val="24"/>
        </w:rPr>
      </w:pPr>
      <w:r w:rsidRPr="00311ED8">
        <w:rPr>
          <w:rFonts w:ascii="Arial" w:hAnsi="Arial" w:cs="Arial"/>
          <w:sz w:val="24"/>
          <w:szCs w:val="24"/>
        </w:rPr>
        <w:t xml:space="preserve">CIPD (2026a) </w:t>
      </w:r>
      <w:r w:rsidRPr="00311ED8">
        <w:rPr>
          <w:rFonts w:ascii="Arial" w:hAnsi="Arial" w:cs="Arial"/>
          <w:i/>
          <w:iCs/>
          <w:sz w:val="24"/>
          <w:szCs w:val="24"/>
        </w:rPr>
        <w:t xml:space="preserve">Evidence-based Practice and Effective Decision-Making. </w:t>
      </w:r>
      <w:r w:rsidRPr="00311ED8">
        <w:rPr>
          <w:rFonts w:ascii="Arial" w:hAnsi="Arial" w:cs="Arial"/>
          <w:sz w:val="24"/>
          <w:szCs w:val="24"/>
        </w:rPr>
        <w:t xml:space="preserve">Available at: </w:t>
      </w:r>
      <w:hyperlink r:id="rId25" w:history="1">
        <w:r w:rsidRPr="00311ED8">
          <w:rPr>
            <w:rStyle w:val="Hyperlink"/>
            <w:rFonts w:ascii="Arial" w:hAnsi="Arial" w:cs="Arial"/>
            <w:sz w:val="24"/>
            <w:szCs w:val="24"/>
          </w:rPr>
          <w:t>https://www.cipd.org/uk/knowledge/factsheets/evidence-based-practice-factsheet/</w:t>
        </w:r>
      </w:hyperlink>
      <w:r w:rsidRPr="00311ED8">
        <w:rPr>
          <w:rFonts w:ascii="Arial" w:hAnsi="Arial" w:cs="Arial"/>
          <w:sz w:val="24"/>
          <w:szCs w:val="24"/>
        </w:rPr>
        <w:t xml:space="preserve"> (Accessed 9 July 2026)</w:t>
      </w:r>
    </w:p>
    <w:p w14:paraId="083A5BBD" w14:textId="77777777" w:rsidR="00901D36" w:rsidRDefault="00901D36" w:rsidP="00901D36">
      <w:pPr>
        <w:pStyle w:val="Nornal"/>
        <w:spacing w:after="0" w:line="240" w:lineRule="auto"/>
        <w:rPr>
          <w:color w:val="000000" w:themeColor="text1"/>
          <w:sz w:val="24"/>
          <w:szCs w:val="24"/>
        </w:rPr>
      </w:pPr>
      <w:r w:rsidRPr="00311ED8">
        <w:rPr>
          <w:color w:val="000000" w:themeColor="text1"/>
          <w:sz w:val="24"/>
          <w:szCs w:val="24"/>
        </w:rPr>
        <w:t xml:space="preserve">CIPD (2026b) </w:t>
      </w:r>
      <w:r w:rsidRPr="00311ED8">
        <w:rPr>
          <w:i/>
          <w:iCs/>
          <w:color w:val="000000" w:themeColor="text1"/>
          <w:sz w:val="24"/>
          <w:szCs w:val="24"/>
        </w:rPr>
        <w:t xml:space="preserve">Labour Market </w:t>
      </w:r>
      <w:proofErr w:type="gramStart"/>
      <w:r w:rsidRPr="00311ED8">
        <w:rPr>
          <w:i/>
          <w:iCs/>
          <w:color w:val="000000" w:themeColor="text1"/>
          <w:sz w:val="24"/>
          <w:szCs w:val="24"/>
        </w:rPr>
        <w:t>Outlook ,</w:t>
      </w:r>
      <w:proofErr w:type="gramEnd"/>
      <w:r w:rsidRPr="00311ED8">
        <w:rPr>
          <w:i/>
          <w:iCs/>
          <w:color w:val="000000" w:themeColor="text1"/>
          <w:sz w:val="24"/>
          <w:szCs w:val="24"/>
        </w:rPr>
        <w:t xml:space="preserve"> Views from employers. </w:t>
      </w:r>
      <w:r w:rsidRPr="00311ED8">
        <w:rPr>
          <w:color w:val="000000" w:themeColor="text1"/>
          <w:sz w:val="24"/>
          <w:szCs w:val="24"/>
        </w:rPr>
        <w:t xml:space="preserve">Available at: </w:t>
      </w:r>
      <w:hyperlink r:id="rId26" w:history="1">
        <w:r w:rsidRPr="00311ED8">
          <w:rPr>
            <w:rStyle w:val="Hyperlink"/>
            <w:sz w:val="24"/>
            <w:szCs w:val="24"/>
          </w:rPr>
          <w:t>https://www.cipd.org/globalassets/media/knowledge/knowledge-hub/reports/2026-pdfs/lmo-spring-2026/9152-lmo-spring-2026-report-final.pdf</w:t>
        </w:r>
      </w:hyperlink>
      <w:r w:rsidRPr="00311ED8">
        <w:rPr>
          <w:color w:val="000000" w:themeColor="text1"/>
          <w:sz w:val="24"/>
          <w:szCs w:val="24"/>
        </w:rPr>
        <w:t xml:space="preserve"> (Accessed 5 July 2026)</w:t>
      </w:r>
    </w:p>
    <w:p w14:paraId="41DE0866" w14:textId="77777777" w:rsidR="00901D36" w:rsidRPr="001315BE" w:rsidRDefault="00901D36" w:rsidP="00901D36">
      <w:pPr>
        <w:pStyle w:val="Nornal"/>
        <w:spacing w:after="0" w:line="240" w:lineRule="auto"/>
        <w:rPr>
          <w:color w:val="000000" w:themeColor="text1"/>
          <w:sz w:val="24"/>
          <w:szCs w:val="24"/>
        </w:rPr>
      </w:pPr>
    </w:p>
    <w:p w14:paraId="3C28AAF1" w14:textId="77C3C743" w:rsidR="00901D36" w:rsidRDefault="00901D36" w:rsidP="00901D36">
      <w:pPr>
        <w:pStyle w:val="Nornal"/>
        <w:spacing w:after="0" w:line="240" w:lineRule="auto"/>
        <w:rPr>
          <w:color w:val="000000"/>
          <w:sz w:val="24"/>
          <w:szCs w:val="24"/>
        </w:rPr>
      </w:pPr>
      <w:r w:rsidRPr="00311ED8">
        <w:rPr>
          <w:color w:val="000000"/>
          <w:sz w:val="24"/>
          <w:szCs w:val="24"/>
        </w:rPr>
        <w:t xml:space="preserve">CIPD (2026c) </w:t>
      </w:r>
      <w:r w:rsidRPr="00311ED8">
        <w:rPr>
          <w:i/>
          <w:iCs/>
          <w:color w:val="000000"/>
          <w:sz w:val="24"/>
          <w:szCs w:val="24"/>
        </w:rPr>
        <w:t xml:space="preserve">Pay fairness and pay reporting: </w:t>
      </w:r>
      <w:r w:rsidRPr="00311ED8">
        <w:rPr>
          <w:color w:val="000000"/>
          <w:sz w:val="24"/>
          <w:szCs w:val="24"/>
        </w:rPr>
        <w:t xml:space="preserve">Available at: </w:t>
      </w:r>
      <w:hyperlink r:id="rId27" w:anchor="payfairness" w:history="1">
        <w:r w:rsidRPr="00311ED8">
          <w:rPr>
            <w:rStyle w:val="Hyperlink"/>
            <w:sz w:val="24"/>
            <w:szCs w:val="24"/>
          </w:rPr>
          <w:t>https://www.cipd.org/uk/knowledge/factsheets/pay-fairness-reporting-factsheet/#payfairness</w:t>
        </w:r>
      </w:hyperlink>
      <w:r w:rsidRPr="00311ED8">
        <w:rPr>
          <w:color w:val="000000"/>
          <w:sz w:val="24"/>
          <w:szCs w:val="24"/>
        </w:rPr>
        <w:t xml:space="preserve"> (Accessed 5 July 2026)</w:t>
      </w:r>
    </w:p>
    <w:p w14:paraId="6ACF3988" w14:textId="77777777" w:rsidR="00901D36" w:rsidRPr="00901D36" w:rsidRDefault="00901D36" w:rsidP="00901D36">
      <w:pPr>
        <w:pStyle w:val="Nornal"/>
        <w:spacing w:after="0" w:line="240" w:lineRule="auto"/>
        <w:rPr>
          <w:color w:val="000000"/>
          <w:sz w:val="24"/>
          <w:szCs w:val="24"/>
        </w:rPr>
      </w:pPr>
    </w:p>
    <w:p w14:paraId="7F32BAE3" w14:textId="77777777" w:rsidR="00901D36" w:rsidRPr="00311ED8" w:rsidRDefault="00901D36" w:rsidP="00901D36">
      <w:pPr>
        <w:rPr>
          <w:rFonts w:ascii="Arial" w:hAnsi="Arial" w:cs="Arial"/>
          <w:sz w:val="24"/>
          <w:szCs w:val="24"/>
        </w:rPr>
      </w:pPr>
      <w:r w:rsidRPr="00311ED8">
        <w:rPr>
          <w:rFonts w:ascii="Arial" w:hAnsi="Arial" w:cs="Arial"/>
          <w:sz w:val="24"/>
          <w:szCs w:val="24"/>
        </w:rPr>
        <w:lastRenderedPageBreak/>
        <w:t xml:space="preserve">Department for Business, Innovation and Skills (2013) </w:t>
      </w:r>
      <w:r w:rsidRPr="00311ED8">
        <w:rPr>
          <w:rFonts w:ascii="Arial" w:hAnsi="Arial" w:cs="Arial"/>
          <w:i/>
          <w:iCs/>
          <w:sz w:val="24"/>
          <w:szCs w:val="24"/>
        </w:rPr>
        <w:t xml:space="preserve">Case studies on geographically differentiated pay.  </w:t>
      </w:r>
      <w:r w:rsidRPr="00311ED8">
        <w:rPr>
          <w:rFonts w:ascii="Arial" w:hAnsi="Arial" w:cs="Arial"/>
          <w:sz w:val="24"/>
          <w:szCs w:val="24"/>
        </w:rPr>
        <w:t xml:space="preserve">London: UK Government. Available at: </w:t>
      </w:r>
      <w:hyperlink r:id="rId28" w:history="1">
        <w:r w:rsidRPr="00311ED8">
          <w:rPr>
            <w:rStyle w:val="Hyperlink"/>
            <w:rFonts w:ascii="Arial" w:hAnsi="Arial" w:cs="Arial"/>
            <w:sz w:val="24"/>
            <w:szCs w:val="24"/>
          </w:rPr>
          <w:t>https://assets.publishing.service.gov.uk/government/uploads/system/uploads/attachment_data/file/226322/RAG_-_Case_studies_on_geographically-differentiated_pay__1_.pdf</w:t>
        </w:r>
      </w:hyperlink>
      <w:r w:rsidRPr="00311ED8">
        <w:rPr>
          <w:rFonts w:ascii="Arial" w:hAnsi="Arial" w:cs="Arial"/>
          <w:sz w:val="24"/>
          <w:szCs w:val="24"/>
        </w:rPr>
        <w:t xml:space="preserve"> (Accessed 12 June 2026)</w:t>
      </w:r>
    </w:p>
    <w:p w14:paraId="5838806A" w14:textId="77777777" w:rsidR="00901D36" w:rsidRPr="00311ED8" w:rsidRDefault="00901D36" w:rsidP="00901D36">
      <w:pPr>
        <w:pStyle w:val="Nornal"/>
        <w:spacing w:after="0" w:line="240" w:lineRule="auto"/>
        <w:rPr>
          <w:color w:val="000000" w:themeColor="text1"/>
          <w:sz w:val="24"/>
          <w:szCs w:val="24"/>
        </w:rPr>
      </w:pPr>
      <w:r w:rsidRPr="00311ED8">
        <w:rPr>
          <w:color w:val="000000" w:themeColor="text1"/>
          <w:sz w:val="24"/>
          <w:szCs w:val="24"/>
        </w:rPr>
        <w:t xml:space="preserve">Equality Act 2010 (c.15) The Stationery Office. Available at: </w:t>
      </w:r>
      <w:hyperlink r:id="rId29" w:history="1">
        <w:r w:rsidRPr="00311ED8">
          <w:rPr>
            <w:rStyle w:val="Hyperlink"/>
            <w:sz w:val="24"/>
            <w:szCs w:val="24"/>
          </w:rPr>
          <w:t>https://www.legislation.gov.uk/ukpga/2010/15/contents</w:t>
        </w:r>
      </w:hyperlink>
      <w:r w:rsidRPr="00311ED8">
        <w:rPr>
          <w:color w:val="000000" w:themeColor="text1"/>
          <w:sz w:val="24"/>
          <w:szCs w:val="24"/>
        </w:rPr>
        <w:t xml:space="preserve"> (Accessed 5 July 2026)</w:t>
      </w:r>
    </w:p>
    <w:p w14:paraId="0AA3365B" w14:textId="77777777" w:rsidR="00901D36" w:rsidRPr="00311ED8" w:rsidRDefault="00901D36" w:rsidP="00901D36">
      <w:pPr>
        <w:spacing w:before="100" w:beforeAutospacing="1" w:after="100" w:afterAutospacing="1" w:line="240" w:lineRule="auto"/>
        <w:rPr>
          <w:rFonts w:ascii="Arial" w:eastAsia="Times New Roman" w:hAnsi="Arial" w:cs="Arial"/>
          <w:sz w:val="24"/>
          <w:szCs w:val="24"/>
          <w:lang w:eastAsia="en-GB"/>
        </w:rPr>
      </w:pPr>
      <w:r w:rsidRPr="00311ED8">
        <w:rPr>
          <w:rFonts w:ascii="Arial" w:eastAsia="Times New Roman" w:hAnsi="Arial" w:cs="Arial"/>
          <w:sz w:val="24"/>
          <w:szCs w:val="24"/>
          <w:lang w:eastAsia="en-GB"/>
        </w:rPr>
        <w:t xml:space="preserve">GOV.UK (HMRC) </w:t>
      </w:r>
      <w:r w:rsidRPr="00311ED8">
        <w:rPr>
          <w:rFonts w:ascii="Arial" w:eastAsia="Times New Roman" w:hAnsi="Arial" w:cs="Arial"/>
          <w:i/>
          <w:iCs/>
          <w:sz w:val="24"/>
          <w:szCs w:val="24"/>
          <w:lang w:eastAsia="en-GB"/>
        </w:rPr>
        <w:t>National Minimum Wage and National Living Wage guidance</w:t>
      </w:r>
      <w:r w:rsidRPr="00311ED8">
        <w:rPr>
          <w:rFonts w:ascii="Arial" w:eastAsia="Times New Roman" w:hAnsi="Arial" w:cs="Arial"/>
          <w:sz w:val="24"/>
          <w:szCs w:val="24"/>
          <w:lang w:eastAsia="en-GB"/>
        </w:rPr>
        <w:t>. Available at:</w:t>
      </w:r>
      <w:r w:rsidRPr="00311ED8">
        <w:rPr>
          <w:rFonts w:ascii="Arial" w:hAnsi="Arial" w:cs="Arial"/>
          <w:sz w:val="24"/>
          <w:szCs w:val="24"/>
        </w:rPr>
        <w:t xml:space="preserve"> </w:t>
      </w:r>
      <w:hyperlink r:id="rId30" w:history="1">
        <w:r w:rsidRPr="00311ED8">
          <w:rPr>
            <w:rStyle w:val="Hyperlink"/>
            <w:rFonts w:ascii="Arial" w:eastAsia="Times New Roman" w:hAnsi="Arial" w:cs="Arial"/>
            <w:sz w:val="24"/>
            <w:szCs w:val="24"/>
            <w:lang w:eastAsia="en-GB"/>
          </w:rPr>
          <w:t>https://www.gov.uk/national-minimum-wage/employers-and-the-minimum-wage</w:t>
        </w:r>
      </w:hyperlink>
      <w:r w:rsidRPr="00311ED8">
        <w:rPr>
          <w:rFonts w:ascii="Arial" w:eastAsia="Times New Roman" w:hAnsi="Arial" w:cs="Arial"/>
          <w:sz w:val="24"/>
          <w:szCs w:val="24"/>
          <w:lang w:eastAsia="en-GB"/>
        </w:rPr>
        <w:t xml:space="preserve"> (Accessed: 6 July 2026).</w:t>
      </w:r>
    </w:p>
    <w:p w14:paraId="3268FE5A" w14:textId="77777777" w:rsidR="00901D36" w:rsidRPr="00311ED8" w:rsidRDefault="00901D36" w:rsidP="00901D36">
      <w:pPr>
        <w:rPr>
          <w:rFonts w:ascii="Arial" w:hAnsi="Arial" w:cs="Arial"/>
          <w:sz w:val="24"/>
          <w:szCs w:val="24"/>
        </w:rPr>
      </w:pPr>
      <w:r w:rsidRPr="00311ED8">
        <w:rPr>
          <w:rFonts w:ascii="Arial" w:hAnsi="Arial" w:cs="Arial"/>
          <w:sz w:val="24"/>
          <w:szCs w:val="24"/>
        </w:rPr>
        <w:t xml:space="preserve">Hajduk, G. (2017) </w:t>
      </w:r>
      <w:r w:rsidRPr="00311ED8">
        <w:rPr>
          <w:rFonts w:ascii="Arial" w:hAnsi="Arial" w:cs="Arial"/>
          <w:i/>
          <w:iCs/>
          <w:sz w:val="24"/>
          <w:szCs w:val="24"/>
        </w:rPr>
        <w:t xml:space="preserve">The real value of reward, People Management. </w:t>
      </w:r>
      <w:r w:rsidRPr="00311ED8">
        <w:rPr>
          <w:rFonts w:ascii="Arial" w:hAnsi="Arial" w:cs="Arial"/>
          <w:sz w:val="24"/>
          <w:szCs w:val="24"/>
        </w:rPr>
        <w:t>Available at:</w:t>
      </w:r>
      <w:hyperlink r:id="rId31" w:history="1">
        <w:r w:rsidRPr="00311ED8">
          <w:rPr>
            <w:rStyle w:val="Hyperlink"/>
            <w:rFonts w:ascii="Arial" w:hAnsi="Arial" w:cs="Arial"/>
            <w:sz w:val="24"/>
            <w:szCs w:val="24"/>
          </w:rPr>
          <w:t>https://www.peoplemanagement.co.uk/article/1743866/real-value-reward</w:t>
        </w:r>
      </w:hyperlink>
      <w:r w:rsidRPr="00311ED8">
        <w:rPr>
          <w:rFonts w:ascii="Arial" w:hAnsi="Arial" w:cs="Arial"/>
          <w:sz w:val="24"/>
          <w:szCs w:val="24"/>
        </w:rPr>
        <w:t xml:space="preserve"> (Accessed 08 June 2026)</w:t>
      </w:r>
    </w:p>
    <w:p w14:paraId="00F28C81" w14:textId="77777777" w:rsidR="00901D36" w:rsidRPr="00311ED8" w:rsidRDefault="00901D36" w:rsidP="00901D36">
      <w:pPr>
        <w:rPr>
          <w:rFonts w:ascii="Arial" w:hAnsi="Arial" w:cs="Arial"/>
          <w:sz w:val="24"/>
          <w:szCs w:val="24"/>
        </w:rPr>
      </w:pPr>
      <w:r w:rsidRPr="00311ED8">
        <w:rPr>
          <w:rFonts w:ascii="Arial" w:hAnsi="Arial" w:cs="Arial"/>
          <w:sz w:val="24"/>
          <w:szCs w:val="24"/>
        </w:rPr>
        <w:t xml:space="preserve">Jones, S. E, &amp; Perkins S, J. (2020) </w:t>
      </w:r>
      <w:r w:rsidRPr="00311ED8">
        <w:rPr>
          <w:rFonts w:ascii="Arial" w:hAnsi="Arial" w:cs="Arial"/>
          <w:i/>
          <w:iCs/>
          <w:sz w:val="24"/>
          <w:szCs w:val="24"/>
        </w:rPr>
        <w:t>Reward</w:t>
      </w:r>
      <w:r w:rsidRPr="00311ED8">
        <w:rPr>
          <w:rFonts w:ascii="Arial" w:hAnsi="Arial" w:cs="Arial"/>
          <w:sz w:val="24"/>
          <w:szCs w:val="24"/>
        </w:rPr>
        <w:t xml:space="preserve"> </w:t>
      </w:r>
      <w:r w:rsidRPr="00311ED8">
        <w:rPr>
          <w:rFonts w:ascii="Arial" w:hAnsi="Arial" w:cs="Arial"/>
          <w:i/>
          <w:iCs/>
          <w:sz w:val="24"/>
          <w:szCs w:val="24"/>
        </w:rPr>
        <w:t>Management. 4</w:t>
      </w:r>
      <w:r w:rsidRPr="00311ED8">
        <w:rPr>
          <w:rFonts w:ascii="Arial" w:hAnsi="Arial" w:cs="Arial"/>
          <w:sz w:val="24"/>
          <w:szCs w:val="24"/>
          <w:vertAlign w:val="superscript"/>
        </w:rPr>
        <w:t>th</w:t>
      </w:r>
      <w:r w:rsidRPr="00311ED8">
        <w:rPr>
          <w:rFonts w:ascii="Arial" w:hAnsi="Arial" w:cs="Arial"/>
          <w:sz w:val="24"/>
          <w:szCs w:val="24"/>
        </w:rPr>
        <w:t xml:space="preserve"> </w:t>
      </w:r>
      <w:proofErr w:type="spellStart"/>
      <w:r w:rsidRPr="00311ED8">
        <w:rPr>
          <w:rFonts w:ascii="Arial" w:hAnsi="Arial" w:cs="Arial"/>
          <w:sz w:val="24"/>
          <w:szCs w:val="24"/>
        </w:rPr>
        <w:t>edn</w:t>
      </w:r>
      <w:proofErr w:type="spellEnd"/>
      <w:r w:rsidRPr="00311ED8">
        <w:rPr>
          <w:rFonts w:ascii="Arial" w:hAnsi="Arial" w:cs="Arial"/>
          <w:sz w:val="24"/>
          <w:szCs w:val="24"/>
        </w:rPr>
        <w:t xml:space="preserve">. London: Kogan </w:t>
      </w:r>
    </w:p>
    <w:p w14:paraId="7404E11D" w14:textId="77777777" w:rsidR="00901D36" w:rsidRPr="00311ED8" w:rsidRDefault="00901D36" w:rsidP="00901D36">
      <w:pPr>
        <w:rPr>
          <w:rFonts w:ascii="Arial" w:hAnsi="Arial" w:cs="Arial"/>
          <w:sz w:val="24"/>
          <w:szCs w:val="24"/>
        </w:rPr>
      </w:pPr>
      <w:r w:rsidRPr="00311ED8">
        <w:rPr>
          <w:rFonts w:ascii="Arial" w:hAnsi="Arial" w:cs="Arial"/>
          <w:sz w:val="24"/>
          <w:szCs w:val="24"/>
        </w:rPr>
        <w:t xml:space="preserve">Lloyd, R. and Mertens, D., 2018. Expecting More Out of Expectancy Theory: History Urges Inclusion of the Social Context. International Management Review, 14(1), pp. 24-37,66. </w:t>
      </w:r>
    </w:p>
    <w:p w14:paraId="7A3D14D6" w14:textId="77777777" w:rsidR="00901D36" w:rsidRPr="00311ED8" w:rsidRDefault="00901D36" w:rsidP="00901D36">
      <w:pPr>
        <w:rPr>
          <w:rFonts w:ascii="Arial" w:eastAsia="Times New Roman" w:hAnsi="Arial" w:cs="Arial"/>
          <w:sz w:val="24"/>
          <w:szCs w:val="24"/>
          <w:lang w:eastAsia="en-GB"/>
        </w:rPr>
      </w:pPr>
      <w:r w:rsidRPr="00311ED8">
        <w:rPr>
          <w:rFonts w:ascii="Arial" w:hAnsi="Arial" w:cs="Arial"/>
          <w:sz w:val="24"/>
          <w:szCs w:val="24"/>
        </w:rPr>
        <w:t xml:space="preserve">Office for National Statistics.  Available at: </w:t>
      </w:r>
      <w:hyperlink r:id="rId32" w:history="1">
        <w:r w:rsidRPr="00311ED8">
          <w:rPr>
            <w:rStyle w:val="Hyperlink"/>
            <w:rFonts w:ascii="Arial" w:eastAsia="Times New Roman" w:hAnsi="Arial" w:cs="Arial"/>
            <w:sz w:val="24"/>
            <w:szCs w:val="24"/>
            <w:lang w:eastAsia="en-GB"/>
          </w:rPr>
          <w:t>https://www.ons.gov.uk/</w:t>
        </w:r>
      </w:hyperlink>
      <w:r w:rsidRPr="00311ED8">
        <w:rPr>
          <w:rFonts w:ascii="Arial" w:eastAsia="Times New Roman" w:hAnsi="Arial" w:cs="Arial"/>
          <w:sz w:val="24"/>
          <w:szCs w:val="24"/>
          <w:lang w:eastAsia="en-GB"/>
        </w:rPr>
        <w:t xml:space="preserve"> (Accessed 10 July 2026)</w:t>
      </w:r>
    </w:p>
    <w:p w14:paraId="14555280" w14:textId="77777777" w:rsidR="00901D36" w:rsidRPr="00311ED8" w:rsidRDefault="00901D36" w:rsidP="00901D36">
      <w:pPr>
        <w:rPr>
          <w:rFonts w:ascii="Arial" w:hAnsi="Arial" w:cs="Arial"/>
          <w:sz w:val="24"/>
          <w:szCs w:val="24"/>
        </w:rPr>
      </w:pPr>
      <w:r w:rsidRPr="00311ED8">
        <w:rPr>
          <w:rFonts w:ascii="Arial" w:hAnsi="Arial" w:cs="Arial"/>
          <w:sz w:val="24"/>
          <w:szCs w:val="24"/>
        </w:rPr>
        <w:t xml:space="preserve">Personnel Today (2024) McCulloch, A. </w:t>
      </w:r>
      <w:r w:rsidRPr="00311ED8">
        <w:rPr>
          <w:rFonts w:ascii="Arial" w:hAnsi="Arial" w:cs="Arial"/>
          <w:i/>
          <w:iCs/>
          <w:sz w:val="24"/>
          <w:szCs w:val="24"/>
        </w:rPr>
        <w:t xml:space="preserve">Tesco launches £70m bonus scheme after soaring profits. </w:t>
      </w:r>
      <w:r w:rsidRPr="00311ED8">
        <w:rPr>
          <w:rFonts w:ascii="Arial" w:hAnsi="Arial" w:cs="Arial"/>
          <w:sz w:val="24"/>
          <w:szCs w:val="24"/>
        </w:rPr>
        <w:t>Available at:</w:t>
      </w:r>
      <w:hyperlink r:id="rId33" w:history="1">
        <w:r w:rsidRPr="00311ED8">
          <w:rPr>
            <w:rStyle w:val="Hyperlink"/>
            <w:rFonts w:ascii="Arial" w:hAnsi="Arial" w:cs="Arial"/>
            <w:sz w:val="24"/>
            <w:szCs w:val="24"/>
          </w:rPr>
          <w:t>https://www.personneltoday.com/hr/tesco-launches-70m-bonus-scheme-after-soaring-profits/</w:t>
        </w:r>
      </w:hyperlink>
      <w:r w:rsidRPr="00311ED8">
        <w:rPr>
          <w:rFonts w:ascii="Arial" w:hAnsi="Arial" w:cs="Arial"/>
          <w:sz w:val="24"/>
          <w:szCs w:val="24"/>
        </w:rPr>
        <w:t xml:space="preserve"> (Accessed 3 July 2026)</w:t>
      </w:r>
    </w:p>
    <w:p w14:paraId="284ABC9D" w14:textId="77777777" w:rsidR="00901D36" w:rsidRPr="00311ED8" w:rsidRDefault="00901D36" w:rsidP="00901D36">
      <w:pPr>
        <w:rPr>
          <w:rFonts w:ascii="Arial" w:hAnsi="Arial" w:cs="Arial"/>
          <w:sz w:val="24"/>
          <w:szCs w:val="24"/>
        </w:rPr>
      </w:pPr>
      <w:r w:rsidRPr="00311ED8">
        <w:rPr>
          <w:rFonts w:ascii="Arial" w:hAnsi="Arial" w:cs="Arial"/>
          <w:sz w:val="24"/>
          <w:szCs w:val="24"/>
        </w:rPr>
        <w:t xml:space="preserve">Taylor, S. and Woodhams, C. (2022) </w:t>
      </w:r>
      <w:r w:rsidRPr="00311ED8">
        <w:rPr>
          <w:rFonts w:ascii="Arial" w:hAnsi="Arial" w:cs="Arial"/>
          <w:i/>
          <w:iCs/>
          <w:sz w:val="24"/>
          <w:szCs w:val="24"/>
        </w:rPr>
        <w:t>Human Resource Management: People and Organisations (3</w:t>
      </w:r>
      <w:r w:rsidRPr="00311ED8">
        <w:rPr>
          <w:rFonts w:ascii="Arial" w:hAnsi="Arial" w:cs="Arial"/>
          <w:i/>
          <w:iCs/>
          <w:sz w:val="24"/>
          <w:szCs w:val="24"/>
          <w:vertAlign w:val="superscript"/>
        </w:rPr>
        <w:t>rd</w:t>
      </w:r>
      <w:r w:rsidRPr="00311ED8">
        <w:rPr>
          <w:rFonts w:ascii="Arial" w:hAnsi="Arial" w:cs="Arial"/>
          <w:i/>
          <w:iCs/>
          <w:sz w:val="24"/>
          <w:szCs w:val="24"/>
        </w:rPr>
        <w:t xml:space="preserve"> ed). </w:t>
      </w:r>
      <w:r w:rsidRPr="00311ED8">
        <w:rPr>
          <w:rFonts w:ascii="Arial" w:hAnsi="Arial" w:cs="Arial"/>
          <w:sz w:val="24"/>
          <w:szCs w:val="24"/>
        </w:rPr>
        <w:t>Kogan Page: London</w:t>
      </w:r>
    </w:p>
    <w:p w14:paraId="56328AC8" w14:textId="77777777" w:rsidR="00901D36" w:rsidRPr="00BF184F" w:rsidRDefault="00901D36" w:rsidP="00901D36">
      <w:pPr>
        <w:rPr>
          <w:rFonts w:ascii="Arial" w:hAnsi="Arial" w:cs="Arial"/>
          <w:sz w:val="24"/>
          <w:szCs w:val="24"/>
        </w:rPr>
      </w:pPr>
    </w:p>
    <w:p w14:paraId="2EA1C8FE" w14:textId="77777777" w:rsidR="004445A6" w:rsidRPr="008C3009" w:rsidRDefault="004445A6">
      <w:pPr>
        <w:rPr>
          <w:rFonts w:ascii="Arial" w:hAnsi="Arial" w:cs="Arial"/>
          <w:sz w:val="24"/>
          <w:szCs w:val="24"/>
        </w:rPr>
      </w:pPr>
    </w:p>
    <w:sectPr w:rsidR="004445A6" w:rsidRPr="008C3009" w:rsidSect="00946E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1F6D1" w14:textId="77777777" w:rsidR="0009282A" w:rsidRDefault="0009282A" w:rsidP="00A36B43">
      <w:pPr>
        <w:spacing w:after="0" w:line="240" w:lineRule="auto"/>
      </w:pPr>
      <w:r>
        <w:separator/>
      </w:r>
    </w:p>
  </w:endnote>
  <w:endnote w:type="continuationSeparator" w:id="0">
    <w:p w14:paraId="0FA02163" w14:textId="77777777" w:rsidR="0009282A" w:rsidRDefault="0009282A" w:rsidP="00A36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94AF8" w14:textId="77777777" w:rsidR="0009282A" w:rsidRDefault="0009282A" w:rsidP="00A36B43">
      <w:pPr>
        <w:spacing w:after="0" w:line="240" w:lineRule="auto"/>
      </w:pPr>
      <w:r>
        <w:separator/>
      </w:r>
    </w:p>
  </w:footnote>
  <w:footnote w:type="continuationSeparator" w:id="0">
    <w:p w14:paraId="7425B764" w14:textId="77777777" w:rsidR="0009282A" w:rsidRDefault="0009282A" w:rsidP="00A36B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09"/>
    <w:rsid w:val="00021E56"/>
    <w:rsid w:val="00034F0D"/>
    <w:rsid w:val="000402CC"/>
    <w:rsid w:val="00041BBF"/>
    <w:rsid w:val="00073D45"/>
    <w:rsid w:val="0009282A"/>
    <w:rsid w:val="00096AB0"/>
    <w:rsid w:val="000A0B60"/>
    <w:rsid w:val="000A4ABE"/>
    <w:rsid w:val="000C646C"/>
    <w:rsid w:val="000D617B"/>
    <w:rsid w:val="00135619"/>
    <w:rsid w:val="0018115E"/>
    <w:rsid w:val="00181DCE"/>
    <w:rsid w:val="0019049E"/>
    <w:rsid w:val="001961EB"/>
    <w:rsid w:val="00197F9B"/>
    <w:rsid w:val="001D1017"/>
    <w:rsid w:val="002024E7"/>
    <w:rsid w:val="00214674"/>
    <w:rsid w:val="00232666"/>
    <w:rsid w:val="002752D2"/>
    <w:rsid w:val="002A1B31"/>
    <w:rsid w:val="002B4ED6"/>
    <w:rsid w:val="002C2F20"/>
    <w:rsid w:val="002D105A"/>
    <w:rsid w:val="002E1D84"/>
    <w:rsid w:val="002F314E"/>
    <w:rsid w:val="002F64B4"/>
    <w:rsid w:val="003015BD"/>
    <w:rsid w:val="0030325F"/>
    <w:rsid w:val="003100D0"/>
    <w:rsid w:val="0033226F"/>
    <w:rsid w:val="0036695E"/>
    <w:rsid w:val="003678D8"/>
    <w:rsid w:val="003778FF"/>
    <w:rsid w:val="00387945"/>
    <w:rsid w:val="003A31D0"/>
    <w:rsid w:val="003A6386"/>
    <w:rsid w:val="003D4390"/>
    <w:rsid w:val="00427DB7"/>
    <w:rsid w:val="004445A6"/>
    <w:rsid w:val="00467513"/>
    <w:rsid w:val="00486BE5"/>
    <w:rsid w:val="004A30BF"/>
    <w:rsid w:val="004A602A"/>
    <w:rsid w:val="004A6CBD"/>
    <w:rsid w:val="00502259"/>
    <w:rsid w:val="00545B08"/>
    <w:rsid w:val="00551351"/>
    <w:rsid w:val="0056329D"/>
    <w:rsid w:val="005649F2"/>
    <w:rsid w:val="005822CA"/>
    <w:rsid w:val="005938DC"/>
    <w:rsid w:val="005A4D99"/>
    <w:rsid w:val="005B724D"/>
    <w:rsid w:val="00633325"/>
    <w:rsid w:val="0064231B"/>
    <w:rsid w:val="00650C6C"/>
    <w:rsid w:val="00663A7C"/>
    <w:rsid w:val="006816E9"/>
    <w:rsid w:val="00683338"/>
    <w:rsid w:val="006862DA"/>
    <w:rsid w:val="006C6237"/>
    <w:rsid w:val="006F3767"/>
    <w:rsid w:val="00713022"/>
    <w:rsid w:val="00713DB8"/>
    <w:rsid w:val="00786750"/>
    <w:rsid w:val="007A01DE"/>
    <w:rsid w:val="007A1052"/>
    <w:rsid w:val="007A72FA"/>
    <w:rsid w:val="007E5AEC"/>
    <w:rsid w:val="00815C97"/>
    <w:rsid w:val="00820144"/>
    <w:rsid w:val="00824A1A"/>
    <w:rsid w:val="00841082"/>
    <w:rsid w:val="00882F1B"/>
    <w:rsid w:val="008B6022"/>
    <w:rsid w:val="008C3009"/>
    <w:rsid w:val="008D3446"/>
    <w:rsid w:val="00901D36"/>
    <w:rsid w:val="00912002"/>
    <w:rsid w:val="00920FAB"/>
    <w:rsid w:val="0092180D"/>
    <w:rsid w:val="00946E09"/>
    <w:rsid w:val="00982D34"/>
    <w:rsid w:val="0099442C"/>
    <w:rsid w:val="009C1817"/>
    <w:rsid w:val="009C50D0"/>
    <w:rsid w:val="009C786A"/>
    <w:rsid w:val="009D24BA"/>
    <w:rsid w:val="00A04B1B"/>
    <w:rsid w:val="00A10737"/>
    <w:rsid w:val="00A11B21"/>
    <w:rsid w:val="00A36B43"/>
    <w:rsid w:val="00A46E49"/>
    <w:rsid w:val="00A67011"/>
    <w:rsid w:val="00AB1CB3"/>
    <w:rsid w:val="00AB5354"/>
    <w:rsid w:val="00AB6293"/>
    <w:rsid w:val="00AC4FE0"/>
    <w:rsid w:val="00AD3CFC"/>
    <w:rsid w:val="00AF67AD"/>
    <w:rsid w:val="00B3371A"/>
    <w:rsid w:val="00B62F94"/>
    <w:rsid w:val="00B93716"/>
    <w:rsid w:val="00BE0032"/>
    <w:rsid w:val="00BE7398"/>
    <w:rsid w:val="00C11647"/>
    <w:rsid w:val="00C12D85"/>
    <w:rsid w:val="00C13102"/>
    <w:rsid w:val="00C335B6"/>
    <w:rsid w:val="00C42E8C"/>
    <w:rsid w:val="00C57998"/>
    <w:rsid w:val="00C67A4A"/>
    <w:rsid w:val="00CB2F38"/>
    <w:rsid w:val="00CD22AF"/>
    <w:rsid w:val="00CE09CA"/>
    <w:rsid w:val="00D27007"/>
    <w:rsid w:val="00D359CE"/>
    <w:rsid w:val="00D35F46"/>
    <w:rsid w:val="00D44129"/>
    <w:rsid w:val="00D5229D"/>
    <w:rsid w:val="00D555E2"/>
    <w:rsid w:val="00D83064"/>
    <w:rsid w:val="00D911AE"/>
    <w:rsid w:val="00DB567F"/>
    <w:rsid w:val="00DB574E"/>
    <w:rsid w:val="00DC15E4"/>
    <w:rsid w:val="00DD1336"/>
    <w:rsid w:val="00DD746E"/>
    <w:rsid w:val="00DE31F0"/>
    <w:rsid w:val="00DF026A"/>
    <w:rsid w:val="00E06676"/>
    <w:rsid w:val="00E136CF"/>
    <w:rsid w:val="00E40050"/>
    <w:rsid w:val="00E57A1D"/>
    <w:rsid w:val="00E92A57"/>
    <w:rsid w:val="00EC79C7"/>
    <w:rsid w:val="00ED28A3"/>
    <w:rsid w:val="00EE2D52"/>
    <w:rsid w:val="00EF1FDC"/>
    <w:rsid w:val="00F54A34"/>
    <w:rsid w:val="00F76EED"/>
    <w:rsid w:val="00F91403"/>
    <w:rsid w:val="00FE13DC"/>
    <w:rsid w:val="00FE257C"/>
    <w:rsid w:val="00FF5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00090"/>
  <w15:chartTrackingRefBased/>
  <w15:docId w15:val="{27DB113A-1D3B-40DF-8C81-8794C2840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6E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6E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6E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6E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6E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6E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6E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6E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6E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E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6E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6E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6E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6E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6E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6E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6E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6E09"/>
    <w:rPr>
      <w:rFonts w:eastAsiaTheme="majorEastAsia" w:cstheme="majorBidi"/>
      <w:color w:val="272727" w:themeColor="text1" w:themeTint="D8"/>
    </w:rPr>
  </w:style>
  <w:style w:type="paragraph" w:styleId="Title">
    <w:name w:val="Title"/>
    <w:basedOn w:val="Normal"/>
    <w:next w:val="Normal"/>
    <w:link w:val="TitleChar"/>
    <w:uiPriority w:val="10"/>
    <w:qFormat/>
    <w:rsid w:val="00946E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6E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6E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6E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6E09"/>
    <w:pPr>
      <w:spacing w:before="160"/>
      <w:jc w:val="center"/>
    </w:pPr>
    <w:rPr>
      <w:i/>
      <w:iCs/>
      <w:color w:val="404040" w:themeColor="text1" w:themeTint="BF"/>
    </w:rPr>
  </w:style>
  <w:style w:type="character" w:customStyle="1" w:styleId="QuoteChar">
    <w:name w:val="Quote Char"/>
    <w:basedOn w:val="DefaultParagraphFont"/>
    <w:link w:val="Quote"/>
    <w:uiPriority w:val="29"/>
    <w:rsid w:val="00946E09"/>
    <w:rPr>
      <w:i/>
      <w:iCs/>
      <w:color w:val="404040" w:themeColor="text1" w:themeTint="BF"/>
    </w:rPr>
  </w:style>
  <w:style w:type="paragraph" w:styleId="ListParagraph">
    <w:name w:val="List Paragraph"/>
    <w:basedOn w:val="Normal"/>
    <w:uiPriority w:val="34"/>
    <w:qFormat/>
    <w:rsid w:val="00946E09"/>
    <w:pPr>
      <w:ind w:left="720"/>
      <w:contextualSpacing/>
    </w:pPr>
  </w:style>
  <w:style w:type="character" w:styleId="IntenseEmphasis">
    <w:name w:val="Intense Emphasis"/>
    <w:basedOn w:val="DefaultParagraphFont"/>
    <w:uiPriority w:val="21"/>
    <w:qFormat/>
    <w:rsid w:val="00946E09"/>
    <w:rPr>
      <w:i/>
      <w:iCs/>
      <w:color w:val="0F4761" w:themeColor="accent1" w:themeShade="BF"/>
    </w:rPr>
  </w:style>
  <w:style w:type="paragraph" w:styleId="IntenseQuote">
    <w:name w:val="Intense Quote"/>
    <w:basedOn w:val="Normal"/>
    <w:next w:val="Normal"/>
    <w:link w:val="IntenseQuoteChar"/>
    <w:uiPriority w:val="30"/>
    <w:qFormat/>
    <w:rsid w:val="00946E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6E09"/>
    <w:rPr>
      <w:i/>
      <w:iCs/>
      <w:color w:val="0F4761" w:themeColor="accent1" w:themeShade="BF"/>
    </w:rPr>
  </w:style>
  <w:style w:type="character" w:styleId="IntenseReference">
    <w:name w:val="Intense Reference"/>
    <w:basedOn w:val="DefaultParagraphFont"/>
    <w:uiPriority w:val="32"/>
    <w:qFormat/>
    <w:rsid w:val="00946E09"/>
    <w:rPr>
      <w:b/>
      <w:bCs/>
      <w:smallCaps/>
      <w:color w:val="0F4761" w:themeColor="accent1" w:themeShade="BF"/>
      <w:spacing w:val="5"/>
    </w:rPr>
  </w:style>
  <w:style w:type="character" w:styleId="Hyperlink">
    <w:name w:val="Hyperlink"/>
    <w:basedOn w:val="DefaultParagraphFont"/>
    <w:uiPriority w:val="99"/>
    <w:unhideWhenUsed/>
    <w:rsid w:val="00901D36"/>
    <w:rPr>
      <w:color w:val="467886" w:themeColor="hyperlink"/>
      <w:u w:val="single"/>
    </w:rPr>
  </w:style>
  <w:style w:type="paragraph" w:customStyle="1" w:styleId="Nornal">
    <w:name w:val="Nornal"/>
    <w:basedOn w:val="Normal"/>
    <w:link w:val="NornalChar"/>
    <w:qFormat/>
    <w:rsid w:val="00901D36"/>
    <w:pPr>
      <w:spacing w:line="264" w:lineRule="auto"/>
    </w:pPr>
    <w:rPr>
      <w:rFonts w:ascii="Arial" w:hAnsi="Arial" w:cs="Arial"/>
    </w:rPr>
  </w:style>
  <w:style w:type="character" w:customStyle="1" w:styleId="NornalChar">
    <w:name w:val="Nornal Char"/>
    <w:basedOn w:val="DefaultParagraphFont"/>
    <w:link w:val="Nornal"/>
    <w:rsid w:val="00901D36"/>
    <w:rPr>
      <w:rFonts w:ascii="Arial" w:hAnsi="Arial" w:cs="Arial"/>
    </w:rPr>
  </w:style>
  <w:style w:type="character" w:styleId="CommentReference">
    <w:name w:val="annotation reference"/>
    <w:basedOn w:val="DefaultParagraphFont"/>
    <w:uiPriority w:val="99"/>
    <w:semiHidden/>
    <w:unhideWhenUsed/>
    <w:rsid w:val="00650C6C"/>
    <w:rPr>
      <w:sz w:val="16"/>
      <w:szCs w:val="16"/>
    </w:rPr>
  </w:style>
  <w:style w:type="paragraph" w:styleId="CommentText">
    <w:name w:val="annotation text"/>
    <w:basedOn w:val="Normal"/>
    <w:link w:val="CommentTextChar"/>
    <w:uiPriority w:val="99"/>
    <w:unhideWhenUsed/>
    <w:rsid w:val="00650C6C"/>
    <w:pPr>
      <w:spacing w:line="240" w:lineRule="auto"/>
    </w:pPr>
    <w:rPr>
      <w:sz w:val="20"/>
      <w:szCs w:val="20"/>
    </w:rPr>
  </w:style>
  <w:style w:type="character" w:customStyle="1" w:styleId="CommentTextChar">
    <w:name w:val="Comment Text Char"/>
    <w:basedOn w:val="DefaultParagraphFont"/>
    <w:link w:val="CommentText"/>
    <w:uiPriority w:val="99"/>
    <w:rsid w:val="00650C6C"/>
    <w:rPr>
      <w:sz w:val="20"/>
      <w:szCs w:val="20"/>
    </w:rPr>
  </w:style>
  <w:style w:type="paragraph" w:styleId="CommentSubject">
    <w:name w:val="annotation subject"/>
    <w:basedOn w:val="CommentText"/>
    <w:next w:val="CommentText"/>
    <w:link w:val="CommentSubjectChar"/>
    <w:uiPriority w:val="99"/>
    <w:semiHidden/>
    <w:unhideWhenUsed/>
    <w:rsid w:val="00650C6C"/>
    <w:rPr>
      <w:b/>
      <w:bCs/>
    </w:rPr>
  </w:style>
  <w:style w:type="character" w:customStyle="1" w:styleId="CommentSubjectChar">
    <w:name w:val="Comment Subject Char"/>
    <w:basedOn w:val="CommentTextChar"/>
    <w:link w:val="CommentSubject"/>
    <w:uiPriority w:val="99"/>
    <w:semiHidden/>
    <w:rsid w:val="00650C6C"/>
    <w:rPr>
      <w:b/>
      <w:bCs/>
      <w:sz w:val="20"/>
      <w:szCs w:val="20"/>
    </w:rPr>
  </w:style>
  <w:style w:type="paragraph" w:styleId="Revision">
    <w:name w:val="Revision"/>
    <w:hidden/>
    <w:uiPriority w:val="99"/>
    <w:semiHidden/>
    <w:rsid w:val="003678D8"/>
    <w:pPr>
      <w:spacing w:after="0" w:line="240" w:lineRule="auto"/>
    </w:pPr>
  </w:style>
  <w:style w:type="paragraph" w:styleId="Header">
    <w:name w:val="header"/>
    <w:basedOn w:val="Normal"/>
    <w:link w:val="HeaderChar"/>
    <w:uiPriority w:val="99"/>
    <w:unhideWhenUsed/>
    <w:rsid w:val="00A36B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B43"/>
  </w:style>
  <w:style w:type="paragraph" w:styleId="Footer">
    <w:name w:val="footer"/>
    <w:basedOn w:val="Normal"/>
    <w:link w:val="FooterChar"/>
    <w:uiPriority w:val="99"/>
    <w:unhideWhenUsed/>
    <w:rsid w:val="00A36B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B43"/>
  </w:style>
  <w:style w:type="character" w:styleId="Strong">
    <w:name w:val="Strong"/>
    <w:basedOn w:val="DefaultParagraphFont"/>
    <w:uiPriority w:val="22"/>
    <w:qFormat/>
    <w:rsid w:val="005938DC"/>
    <w:rPr>
      <w:b/>
      <w:bCs/>
    </w:rPr>
  </w:style>
  <w:style w:type="character" w:styleId="UnresolvedMention">
    <w:name w:val="Unresolved Mention"/>
    <w:basedOn w:val="DefaultParagraphFont"/>
    <w:uiPriority w:val="99"/>
    <w:semiHidden/>
    <w:unhideWhenUsed/>
    <w:rsid w:val="001D10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globalassets/media/knowledge/knowledge-hub/evidence-reviews/employee-engagement-discussion-report_tcm18-89598.pdf" TargetMode="External"/><Relationship Id="rId18" Type="http://schemas.openxmlformats.org/officeDocument/2006/relationships/hyperlink" Target="https://www.cipd.org/uk/knowledge/factsheets/competency-factsheet/" TargetMode="External"/><Relationship Id="rId26" Type="http://schemas.openxmlformats.org/officeDocument/2006/relationships/hyperlink" Target="https://www.cipd.org/globalassets/media/knowledge/knowledge-hub/reports/2026-pdfs/lmo-spring-2026/9152-lmo-spring-2026-report-final.pdf" TargetMode="External"/><Relationship Id="rId3" Type="http://schemas.openxmlformats.org/officeDocument/2006/relationships/webSettings" Target="webSettings.xml"/><Relationship Id="rId21" Type="http://schemas.openxmlformats.org/officeDocument/2006/relationships/hyperlink" Target="https://www.cipd.org/uk/knowledge/factsheets/analytics-factsheet/" TargetMode="External"/><Relationship Id="rId34" Type="http://schemas.openxmlformats.org/officeDocument/2006/relationships/fontTable" Target="fontTable.xml"/><Relationship Id="rId7" Type="http://schemas.openxmlformats.org/officeDocument/2006/relationships/hyperlink" Target="https://www.acas.org.uk/performance-management/performance-related-pay" TargetMode="External"/><Relationship Id="rId12" Type="http://schemas.openxmlformats.org/officeDocument/2006/relationships/hyperlink" Target="https://www.cipd.org/uk/about/news/five-ideas-employee-recognition/" TargetMode="External"/><Relationship Id="rId17" Type="http://schemas.openxmlformats.org/officeDocument/2006/relationships/hyperlink" Target="https://www.cipd.org/uk/views-and-insights/thought-leadership/insight/flexible-hybrid-working-update/" TargetMode="External"/><Relationship Id="rId25" Type="http://schemas.openxmlformats.org/officeDocument/2006/relationships/hyperlink" Target="https://www.cipd.org/uk/knowledge/factsheets/evidence-based-practice-factsheet/" TargetMode="External"/><Relationship Id="rId33" Type="http://schemas.openxmlformats.org/officeDocument/2006/relationships/hyperlink" Target="https://www.personneltoday.com/hr/tesco-launches-70m-bonus-scheme-after-soaring-profits/" TargetMode="External"/><Relationship Id="rId2" Type="http://schemas.openxmlformats.org/officeDocument/2006/relationships/settings" Target="settings.xml"/><Relationship Id="rId16" Type="http://schemas.openxmlformats.org/officeDocument/2006/relationships/hyperlink" Target="https://www.cipd.org/uk/knowledge/factsheets/bonuses-factsheet/" TargetMode="External"/><Relationship Id="rId20" Type="http://schemas.openxmlformats.org/officeDocument/2006/relationships/hyperlink" Target="https://www.cipd.org/uk/knowledge/factsheets/pay-structures-factsheet/" TargetMode="External"/><Relationship Id="rId29" Type="http://schemas.openxmlformats.org/officeDocument/2006/relationships/hyperlink" Target="https://www.legislation.gov.uk/ukpga/2010/15/contents" TargetMode="External"/><Relationship Id="rId1" Type="http://schemas.openxmlformats.org/officeDocument/2006/relationships/styles" Target="styles.xml"/><Relationship Id="rId6" Type="http://schemas.openxmlformats.org/officeDocument/2006/relationships/hyperlink" Target="https://www.acas.org.uk/equal-pay/equal-pay-law" TargetMode="External"/><Relationship Id="rId11" Type="http://schemas.openxmlformats.org/officeDocument/2006/relationships/hyperlink" Target="https://www.cipd.org/uk/knowledge/bitesize-research/balance-reward-package/" TargetMode="External"/><Relationship Id="rId24" Type="http://schemas.openxmlformats.org/officeDocument/2006/relationships/hyperlink" Target="https://www.cipd.org/uk/knowledge/factsheets/strategic-total-factsheet/" TargetMode="External"/><Relationship Id="rId32" Type="http://schemas.openxmlformats.org/officeDocument/2006/relationships/hyperlink" Target="https://www.ons.gov.uk/" TargetMode="External"/><Relationship Id="rId5" Type="http://schemas.openxmlformats.org/officeDocument/2006/relationships/endnotes" Target="endnotes.xml"/><Relationship Id="rId15" Type="http://schemas.openxmlformats.org/officeDocument/2006/relationships/hyperlink" Target="https://www.cipd.org/globalassets/media/knowledge/knowledge-hub/evidence-reviews/incentives-recognition-practice-summary_tcm18-105466.pdf" TargetMode="External"/><Relationship Id="rId23" Type="http://schemas.openxmlformats.org/officeDocument/2006/relationships/hyperlink" Target="https://www.cipd.org/uk/knowledge/factsheets/reward-factsheet/" TargetMode="External"/><Relationship Id="rId28" Type="http://schemas.openxmlformats.org/officeDocument/2006/relationships/hyperlink" Target="https://assets.publishing.service.gov.uk/government/uploads/system/uploads/attachment_data/file/226322/RAG_-_Case_studies_on_geographically-differentiated_pay__1_.pdf" TargetMode="External"/><Relationship Id="rId10" Type="http://schemas.openxmlformats.org/officeDocument/2006/relationships/hyperlink" Target="https://www.cipd.org/uk/knowledge/evidence-reviews/reward-decisions/" TargetMode="External"/><Relationship Id="rId19" Type="http://schemas.openxmlformats.org/officeDocument/2006/relationships/hyperlink" Target="https://www.cipd.org/uk/knowledge/factsheets/market-pricing-factsheet/" TargetMode="External"/><Relationship Id="rId31" Type="http://schemas.openxmlformats.org/officeDocument/2006/relationships/hyperlink" Target="https://www.peoplemanagement.co.uk/article/1743866/real-value-reward" TargetMode="External"/><Relationship Id="rId4" Type="http://schemas.openxmlformats.org/officeDocument/2006/relationships/footnotes" Target="footnotes.xml"/><Relationship Id="rId9" Type="http://schemas.openxmlformats.org/officeDocument/2006/relationships/hyperlink" Target="https://moodle.uwtsd.ac.uk/course/section.php?id=186555" TargetMode="External"/><Relationship Id="rId14" Type="http://schemas.openxmlformats.org/officeDocument/2006/relationships/hyperlink" Target="https://www.cipd.org/uk/knowledge/bitesize-research/flexible-happier-workers/" TargetMode="External"/><Relationship Id="rId22" Type="http://schemas.openxmlformats.org/officeDocument/2006/relationships/hyperlink" Target="https://www.cipd.org/uk/knowledge/factsheets/pay-performance-factsheet/" TargetMode="External"/><Relationship Id="rId27" Type="http://schemas.openxmlformats.org/officeDocument/2006/relationships/hyperlink" Target="https://www.cipd.org/uk/knowledge/factsheets/pay-fairness-reporting-factsheet/" TargetMode="External"/><Relationship Id="rId30" Type="http://schemas.openxmlformats.org/officeDocument/2006/relationships/hyperlink" Target="https://www.gov.uk/national-minimum-wage/employers-and-the-minimum-wage" TargetMode="External"/><Relationship Id="rId35" Type="http://schemas.openxmlformats.org/officeDocument/2006/relationships/theme" Target="theme/theme1.xml"/><Relationship Id="rId8" Type="http://schemas.openxmlformats.org/officeDocument/2006/relationships/hyperlink" Target="https://webarchive.nationalarchives.gov.uk/ukgwa/20260106053551/https://www.acas.org.uk/job-evaluation-considerations-and-risks-advice-bookl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TotalTime>
  <Pages>13</Pages>
  <Words>5885</Words>
  <Characters>33550</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Blofield</dc:creator>
  <cp:keywords/>
  <dc:description/>
  <cp:lastModifiedBy>Lisa Blofield</cp:lastModifiedBy>
  <cp:revision>145</cp:revision>
  <dcterms:created xsi:type="dcterms:W3CDTF">2026-07-06T20:09:00Z</dcterms:created>
  <dcterms:modified xsi:type="dcterms:W3CDTF">2026-07-13T17:18:00Z</dcterms:modified>
</cp:coreProperties>
</file>