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6DFCF9A4" w14:textId="77777777" w:rsidR="005D76F8" w:rsidRDefault="005D76F8" w:rsidP="005D76F8">
      <w:pPr>
        <w:jc w:val="center"/>
        <w:rPr>
          <w:b/>
          <w:color w:val="000000" w:themeColor="text1"/>
          <w:sz w:val="32"/>
        </w:rPr>
      </w:pPr>
    </w:p>
    <w:p w14:paraId="1D020C4E" w14:textId="77777777" w:rsidR="005D76F8" w:rsidRDefault="005D76F8" w:rsidP="005D76F8">
      <w:pPr>
        <w:jc w:val="center"/>
        <w:rPr>
          <w:b/>
          <w:color w:val="000000" w:themeColor="text1"/>
          <w:sz w:val="32"/>
        </w:rPr>
      </w:pPr>
    </w:p>
    <w:p w14:paraId="729ECC66" w14:textId="77777777" w:rsidR="005D76F8" w:rsidRDefault="005D76F8" w:rsidP="005D76F8">
      <w:pPr>
        <w:jc w:val="center"/>
        <w:rPr>
          <w:b/>
          <w:color w:val="000000" w:themeColor="text1"/>
          <w:sz w:val="32"/>
        </w:rPr>
      </w:pPr>
    </w:p>
    <w:p w14:paraId="51144A82" w14:textId="77777777" w:rsidR="005D76F8" w:rsidRDefault="005D76F8" w:rsidP="005D76F8">
      <w:pPr>
        <w:jc w:val="center"/>
        <w:rPr>
          <w:b/>
          <w:color w:val="000000" w:themeColor="text1"/>
          <w:sz w:val="32"/>
        </w:rPr>
      </w:pPr>
    </w:p>
    <w:p w14:paraId="127B34F8" w14:textId="77777777" w:rsidR="005D76F8" w:rsidRDefault="005D76F8" w:rsidP="005D76F8">
      <w:pPr>
        <w:jc w:val="center"/>
        <w:rPr>
          <w:b/>
          <w:color w:val="000000" w:themeColor="text1"/>
          <w:sz w:val="32"/>
        </w:rPr>
      </w:pPr>
    </w:p>
    <w:p w14:paraId="1BABDC79" w14:textId="77777777" w:rsidR="005D76F8" w:rsidRDefault="005D76F8" w:rsidP="005D76F8">
      <w:pPr>
        <w:jc w:val="center"/>
        <w:rPr>
          <w:b/>
          <w:color w:val="000000" w:themeColor="text1"/>
          <w:sz w:val="32"/>
        </w:rPr>
      </w:pPr>
    </w:p>
    <w:p w14:paraId="2B35C149" w14:textId="77777777" w:rsidR="005D76F8" w:rsidRDefault="005D76F8" w:rsidP="005D76F8">
      <w:pPr>
        <w:jc w:val="center"/>
        <w:rPr>
          <w:b/>
          <w:color w:val="000000" w:themeColor="text1"/>
          <w:sz w:val="32"/>
        </w:rPr>
      </w:pPr>
    </w:p>
    <w:p w14:paraId="4844D141" w14:textId="77777777" w:rsidR="005D76F8" w:rsidRDefault="005D76F8" w:rsidP="005D76F8">
      <w:pPr>
        <w:jc w:val="center"/>
        <w:rPr>
          <w:b/>
          <w:color w:val="000000" w:themeColor="text1"/>
          <w:sz w:val="32"/>
        </w:rPr>
      </w:pPr>
    </w:p>
    <w:p w14:paraId="131C8C3F" w14:textId="77777777" w:rsidR="005D76F8" w:rsidRDefault="005D76F8" w:rsidP="005D76F8">
      <w:pPr>
        <w:jc w:val="center"/>
        <w:rPr>
          <w:b/>
          <w:color w:val="000000" w:themeColor="text1"/>
          <w:sz w:val="32"/>
        </w:rPr>
      </w:pPr>
    </w:p>
    <w:p w14:paraId="127CCD8D" w14:textId="44F26A95" w:rsidR="005D76F8" w:rsidRPr="005D76F8" w:rsidRDefault="005D76F8" w:rsidP="005D76F8">
      <w:pPr>
        <w:jc w:val="center"/>
        <w:rPr>
          <w:b/>
          <w:color w:val="000000" w:themeColor="text1"/>
          <w:sz w:val="32"/>
        </w:rPr>
      </w:pPr>
      <w:r w:rsidRPr="005D76F8">
        <w:rPr>
          <w:b/>
          <w:color w:val="000000" w:themeColor="text1"/>
          <w:sz w:val="32"/>
        </w:rPr>
        <w:t>Module title: International Financial Management</w:t>
      </w:r>
    </w:p>
    <w:p w14:paraId="00F8C1F0" w14:textId="56E017C6" w:rsidR="005D76F8" w:rsidRPr="005D76F8" w:rsidRDefault="005D76F8" w:rsidP="005D76F8">
      <w:pPr>
        <w:jc w:val="center"/>
        <w:rPr>
          <w:b/>
          <w:color w:val="000000" w:themeColor="text1"/>
          <w:sz w:val="32"/>
          <w:lang w:val="en-US"/>
        </w:rPr>
      </w:pPr>
      <w:r w:rsidRPr="005D76F8">
        <w:rPr>
          <w:b/>
          <w:color w:val="000000" w:themeColor="text1"/>
          <w:sz w:val="32"/>
        </w:rPr>
        <w:t xml:space="preserve">Module code: </w:t>
      </w:r>
      <w:r w:rsidRPr="005D76F8">
        <w:rPr>
          <w:b/>
          <w:bCs/>
          <w:color w:val="000000" w:themeColor="text1"/>
          <w:sz w:val="32"/>
          <w:lang w:val="en-US"/>
        </w:rPr>
        <w:t>LCBB6002</w:t>
      </w:r>
    </w:p>
    <w:p w14:paraId="58E66394" w14:textId="593007A2" w:rsidR="005D76F8" w:rsidRPr="005D76F8" w:rsidRDefault="005D76F8" w:rsidP="005D76F8">
      <w:pPr>
        <w:shd w:val="clear" w:color="auto" w:fill="FFFFFF"/>
        <w:jc w:val="center"/>
        <w:rPr>
          <w:b/>
          <w:color w:val="000000" w:themeColor="text1"/>
          <w:sz w:val="32"/>
        </w:rPr>
      </w:pPr>
      <w:r w:rsidRPr="005D76F8">
        <w:rPr>
          <w:b/>
          <w:color w:val="000000" w:themeColor="text1"/>
          <w:sz w:val="32"/>
        </w:rPr>
        <w:t>Assessment 1</w:t>
      </w:r>
    </w:p>
    <w:p w14:paraId="75EF2781" w14:textId="77777777" w:rsidR="005D76F8" w:rsidRDefault="005D76F8" w:rsidP="005D76F8">
      <w:pPr>
        <w:shd w:val="clear" w:color="auto" w:fill="FFFFFF"/>
        <w:rPr>
          <w:b/>
          <w:color w:val="000000" w:themeColor="text1"/>
        </w:rPr>
      </w:pPr>
    </w:p>
    <w:p w14:paraId="72CB80D0" w14:textId="77777777" w:rsidR="005D76F8" w:rsidRDefault="005D76F8" w:rsidP="005D76F8">
      <w:pPr>
        <w:shd w:val="clear" w:color="auto" w:fill="FFFFFF"/>
        <w:rPr>
          <w:b/>
          <w:color w:val="000000" w:themeColor="text1"/>
        </w:rPr>
      </w:pPr>
    </w:p>
    <w:p w14:paraId="1986F7F0" w14:textId="22A1C6F7" w:rsidR="005D76F8" w:rsidRPr="005D76F8" w:rsidRDefault="005D76F8" w:rsidP="005D76F8">
      <w:pPr>
        <w:shd w:val="clear" w:color="auto" w:fill="FFFFFF"/>
        <w:rPr>
          <w:color w:val="000000" w:themeColor="text1"/>
        </w:rPr>
      </w:pPr>
      <w:r w:rsidRPr="005D76F8">
        <w:rPr>
          <w:b/>
          <w:color w:val="000000" w:themeColor="text1"/>
        </w:rPr>
        <w:t>Module lecturer:</w:t>
      </w:r>
      <w:r w:rsidRPr="005D76F8">
        <w:rPr>
          <w:color w:val="000000" w:themeColor="text1"/>
        </w:rPr>
        <w:t xml:space="preserve"> Taye Osadiya</w:t>
      </w:r>
    </w:p>
    <w:p w14:paraId="69E27D7D" w14:textId="50DCE7DD" w:rsidR="005D76F8" w:rsidRPr="005D76F8" w:rsidRDefault="005D76F8" w:rsidP="005D76F8">
      <w:pPr>
        <w:shd w:val="clear" w:color="auto" w:fill="FFFFFF"/>
        <w:rPr>
          <w:color w:val="000000" w:themeColor="text1"/>
        </w:rPr>
      </w:pPr>
      <w:r w:rsidRPr="005D76F8">
        <w:rPr>
          <w:b/>
          <w:color w:val="000000" w:themeColor="text1"/>
        </w:rPr>
        <w:t>Student name:</w:t>
      </w:r>
      <w:r>
        <w:rPr>
          <w:color w:val="000000" w:themeColor="text1"/>
        </w:rPr>
        <w:t xml:space="preserve"> </w:t>
      </w:r>
      <w:r w:rsidRPr="005D76F8">
        <w:rPr>
          <w:color w:val="000000" w:themeColor="text1"/>
        </w:rPr>
        <w:t>Georgiana Stan</w:t>
      </w:r>
    </w:p>
    <w:p w14:paraId="04C98278" w14:textId="2992D4C1" w:rsidR="005D76F8" w:rsidRDefault="005D76F8" w:rsidP="005D76F8">
      <w:pPr>
        <w:rPr>
          <w:b/>
        </w:rPr>
      </w:pPr>
      <w:r w:rsidRPr="005D76F8">
        <w:rPr>
          <w:b/>
          <w:color w:val="000000" w:themeColor="text1"/>
        </w:rPr>
        <w:t>Student number</w:t>
      </w:r>
      <w:r w:rsidRPr="005D76F8">
        <w:rPr>
          <w:color w:val="000000" w:themeColor="text1"/>
        </w:rPr>
        <w:t xml:space="preserve">: 1915942 </w:t>
      </w:r>
      <w:r>
        <w:rPr>
          <w:b/>
        </w:rPr>
        <w:br w:type="page"/>
      </w:r>
    </w:p>
    <w:sdt>
      <w:sdtPr>
        <w:rPr>
          <w:rFonts w:ascii="Times New Roman" w:eastAsia="Times New Roman" w:hAnsi="Times New Roman" w:cs="Times New Roman"/>
          <w:color w:val="auto"/>
          <w:sz w:val="24"/>
          <w:szCs w:val="24"/>
          <w:lang w:val="en-GB"/>
        </w:rPr>
        <w:id w:val="283323137"/>
        <w:docPartObj>
          <w:docPartGallery w:val="Table of Contents"/>
          <w:docPartUnique/>
        </w:docPartObj>
      </w:sdtPr>
      <w:sdtEndPr>
        <w:rPr>
          <w:b/>
          <w:bCs/>
          <w:noProof/>
        </w:rPr>
      </w:sdtEndPr>
      <w:sdtContent>
        <w:p w14:paraId="79C9F14F" w14:textId="0C32B76C" w:rsidR="005D76F8" w:rsidRPr="005D76F8" w:rsidRDefault="005D76F8" w:rsidP="005D76F8">
          <w:pPr>
            <w:pStyle w:val="TOCHeading"/>
            <w:jc w:val="center"/>
            <w:rPr>
              <w:rFonts w:ascii="Times New Roman" w:hAnsi="Times New Roman" w:cs="Times New Roman"/>
              <w:b/>
              <w:color w:val="000000" w:themeColor="text1"/>
              <w:sz w:val="28"/>
              <w:szCs w:val="28"/>
            </w:rPr>
          </w:pPr>
          <w:r w:rsidRPr="005D76F8">
            <w:rPr>
              <w:rFonts w:ascii="Times New Roman" w:hAnsi="Times New Roman" w:cs="Times New Roman"/>
              <w:b/>
              <w:color w:val="000000" w:themeColor="text1"/>
              <w:sz w:val="28"/>
              <w:szCs w:val="28"/>
            </w:rPr>
            <w:t>Table of Contents</w:t>
          </w:r>
        </w:p>
        <w:p w14:paraId="533E31F3" w14:textId="77777777" w:rsidR="005D76F8" w:rsidRDefault="005D76F8">
          <w:pPr>
            <w:pStyle w:val="TOC1"/>
            <w:tabs>
              <w:tab w:val="right" w:leader="dot" w:pos="9016"/>
            </w:tabs>
            <w:rPr>
              <w:noProof/>
            </w:rPr>
          </w:pPr>
          <w:r>
            <w:fldChar w:fldCharType="begin"/>
          </w:r>
          <w:r>
            <w:instrText xml:space="preserve"> TOC \o "1-3" \h \z \u </w:instrText>
          </w:r>
          <w:r>
            <w:fldChar w:fldCharType="separate"/>
          </w:r>
          <w:hyperlink w:anchor="_Toc99492097" w:history="1">
            <w:r w:rsidRPr="009554C2">
              <w:rPr>
                <w:rStyle w:val="Hyperlink"/>
                <w:noProof/>
              </w:rPr>
              <w:t>Introduction</w:t>
            </w:r>
            <w:r>
              <w:rPr>
                <w:noProof/>
                <w:webHidden/>
              </w:rPr>
              <w:tab/>
            </w:r>
            <w:r>
              <w:rPr>
                <w:noProof/>
                <w:webHidden/>
              </w:rPr>
              <w:fldChar w:fldCharType="begin"/>
            </w:r>
            <w:r>
              <w:rPr>
                <w:noProof/>
                <w:webHidden/>
              </w:rPr>
              <w:instrText xml:space="preserve"> PAGEREF _Toc99492097 \h </w:instrText>
            </w:r>
            <w:r>
              <w:rPr>
                <w:noProof/>
                <w:webHidden/>
              </w:rPr>
            </w:r>
            <w:r>
              <w:rPr>
                <w:noProof/>
                <w:webHidden/>
              </w:rPr>
              <w:fldChar w:fldCharType="separate"/>
            </w:r>
            <w:r>
              <w:rPr>
                <w:noProof/>
                <w:webHidden/>
              </w:rPr>
              <w:t>3</w:t>
            </w:r>
            <w:r>
              <w:rPr>
                <w:noProof/>
                <w:webHidden/>
              </w:rPr>
              <w:fldChar w:fldCharType="end"/>
            </w:r>
          </w:hyperlink>
        </w:p>
        <w:p w14:paraId="140F0CB3" w14:textId="77777777" w:rsidR="005D76F8" w:rsidRDefault="00E10143">
          <w:pPr>
            <w:pStyle w:val="TOC1"/>
            <w:tabs>
              <w:tab w:val="right" w:leader="dot" w:pos="9016"/>
            </w:tabs>
            <w:rPr>
              <w:noProof/>
            </w:rPr>
          </w:pPr>
          <w:hyperlink w:anchor="_Toc99492098" w:history="1">
            <w:r w:rsidR="005D76F8" w:rsidRPr="009554C2">
              <w:rPr>
                <w:rStyle w:val="Hyperlink"/>
                <w:noProof/>
              </w:rPr>
              <w:t>Discussions</w:t>
            </w:r>
            <w:r w:rsidR="005D76F8">
              <w:rPr>
                <w:noProof/>
                <w:webHidden/>
              </w:rPr>
              <w:tab/>
            </w:r>
            <w:r w:rsidR="005D76F8">
              <w:rPr>
                <w:noProof/>
                <w:webHidden/>
              </w:rPr>
              <w:fldChar w:fldCharType="begin"/>
            </w:r>
            <w:r w:rsidR="005D76F8">
              <w:rPr>
                <w:noProof/>
                <w:webHidden/>
              </w:rPr>
              <w:instrText xml:space="preserve"> PAGEREF _Toc99492098 \h </w:instrText>
            </w:r>
            <w:r w:rsidR="005D76F8">
              <w:rPr>
                <w:noProof/>
                <w:webHidden/>
              </w:rPr>
            </w:r>
            <w:r w:rsidR="005D76F8">
              <w:rPr>
                <w:noProof/>
                <w:webHidden/>
              </w:rPr>
              <w:fldChar w:fldCharType="separate"/>
            </w:r>
            <w:r w:rsidR="005D76F8">
              <w:rPr>
                <w:noProof/>
                <w:webHidden/>
              </w:rPr>
              <w:t>3</w:t>
            </w:r>
            <w:r w:rsidR="005D76F8">
              <w:rPr>
                <w:noProof/>
                <w:webHidden/>
              </w:rPr>
              <w:fldChar w:fldCharType="end"/>
            </w:r>
          </w:hyperlink>
        </w:p>
        <w:p w14:paraId="2066E534" w14:textId="77777777" w:rsidR="005D76F8" w:rsidRDefault="00E10143">
          <w:pPr>
            <w:pStyle w:val="TOC1"/>
            <w:tabs>
              <w:tab w:val="right" w:leader="dot" w:pos="9016"/>
            </w:tabs>
            <w:rPr>
              <w:noProof/>
            </w:rPr>
          </w:pPr>
          <w:hyperlink w:anchor="_Toc99492099" w:history="1">
            <w:r w:rsidR="005D76F8" w:rsidRPr="009554C2">
              <w:rPr>
                <w:rStyle w:val="Hyperlink"/>
                <w:noProof/>
              </w:rPr>
              <w:t>Conclusions</w:t>
            </w:r>
            <w:r w:rsidR="005D76F8">
              <w:rPr>
                <w:noProof/>
                <w:webHidden/>
              </w:rPr>
              <w:tab/>
            </w:r>
            <w:r w:rsidR="005D76F8">
              <w:rPr>
                <w:noProof/>
                <w:webHidden/>
              </w:rPr>
              <w:fldChar w:fldCharType="begin"/>
            </w:r>
            <w:r w:rsidR="005D76F8">
              <w:rPr>
                <w:noProof/>
                <w:webHidden/>
              </w:rPr>
              <w:instrText xml:space="preserve"> PAGEREF _Toc99492099 \h </w:instrText>
            </w:r>
            <w:r w:rsidR="005D76F8">
              <w:rPr>
                <w:noProof/>
                <w:webHidden/>
              </w:rPr>
            </w:r>
            <w:r w:rsidR="005D76F8">
              <w:rPr>
                <w:noProof/>
                <w:webHidden/>
              </w:rPr>
              <w:fldChar w:fldCharType="separate"/>
            </w:r>
            <w:r w:rsidR="005D76F8">
              <w:rPr>
                <w:noProof/>
                <w:webHidden/>
              </w:rPr>
              <w:t>6</w:t>
            </w:r>
            <w:r w:rsidR="005D76F8">
              <w:rPr>
                <w:noProof/>
                <w:webHidden/>
              </w:rPr>
              <w:fldChar w:fldCharType="end"/>
            </w:r>
          </w:hyperlink>
        </w:p>
        <w:p w14:paraId="2673BBE2" w14:textId="77777777" w:rsidR="005D76F8" w:rsidRDefault="00E10143">
          <w:pPr>
            <w:pStyle w:val="TOC1"/>
            <w:tabs>
              <w:tab w:val="right" w:leader="dot" w:pos="9016"/>
            </w:tabs>
            <w:rPr>
              <w:noProof/>
            </w:rPr>
          </w:pPr>
          <w:hyperlink w:anchor="_Toc99492100" w:history="1">
            <w:r w:rsidR="005D76F8" w:rsidRPr="009554C2">
              <w:rPr>
                <w:rStyle w:val="Hyperlink"/>
                <w:noProof/>
              </w:rPr>
              <w:t>References</w:t>
            </w:r>
            <w:r w:rsidR="005D76F8">
              <w:rPr>
                <w:noProof/>
                <w:webHidden/>
              </w:rPr>
              <w:tab/>
            </w:r>
            <w:r w:rsidR="005D76F8">
              <w:rPr>
                <w:noProof/>
                <w:webHidden/>
              </w:rPr>
              <w:fldChar w:fldCharType="begin"/>
            </w:r>
            <w:r w:rsidR="005D76F8">
              <w:rPr>
                <w:noProof/>
                <w:webHidden/>
              </w:rPr>
              <w:instrText xml:space="preserve"> PAGEREF _Toc99492100 \h </w:instrText>
            </w:r>
            <w:r w:rsidR="005D76F8">
              <w:rPr>
                <w:noProof/>
                <w:webHidden/>
              </w:rPr>
            </w:r>
            <w:r w:rsidR="005D76F8">
              <w:rPr>
                <w:noProof/>
                <w:webHidden/>
              </w:rPr>
              <w:fldChar w:fldCharType="separate"/>
            </w:r>
            <w:r w:rsidR="005D76F8">
              <w:rPr>
                <w:noProof/>
                <w:webHidden/>
              </w:rPr>
              <w:t>7</w:t>
            </w:r>
            <w:r w:rsidR="005D76F8">
              <w:rPr>
                <w:noProof/>
                <w:webHidden/>
              </w:rPr>
              <w:fldChar w:fldCharType="end"/>
            </w:r>
          </w:hyperlink>
        </w:p>
        <w:p w14:paraId="533B4EEC" w14:textId="40FB8539" w:rsidR="005D76F8" w:rsidRDefault="005D76F8">
          <w:r>
            <w:rPr>
              <w:b/>
              <w:bCs/>
              <w:noProof/>
            </w:rPr>
            <w:fldChar w:fldCharType="end"/>
          </w:r>
        </w:p>
      </w:sdtContent>
    </w:sdt>
    <w:p w14:paraId="0B14EA0C" w14:textId="77777777" w:rsidR="005D76F8" w:rsidRDefault="005D76F8">
      <w:pPr>
        <w:rPr>
          <w:b/>
        </w:rPr>
      </w:pPr>
      <w:r>
        <w:rPr>
          <w:b/>
        </w:rPr>
        <w:br w:type="page"/>
      </w:r>
    </w:p>
    <w:p w14:paraId="00000001" w14:textId="419EFB21" w:rsidR="00CD6E36" w:rsidRDefault="00A80D01" w:rsidP="005D76F8">
      <w:pPr>
        <w:pStyle w:val="Heading1"/>
      </w:pPr>
      <w:bookmarkStart w:id="0" w:name="_Toc99492097"/>
      <w:r w:rsidRPr="005D76F8">
        <w:lastRenderedPageBreak/>
        <w:t>Introduction</w:t>
      </w:r>
      <w:bookmarkEnd w:id="0"/>
      <w:r>
        <w:t xml:space="preserve"> </w:t>
      </w:r>
    </w:p>
    <w:p w14:paraId="00000002" w14:textId="172DB8DC" w:rsidR="00CD6E36" w:rsidRDefault="00A80D01">
      <w:r>
        <w:t xml:space="preserve">Importance to the presentation of accounting concept, engagement of “Financial management considered as a systematic part of accounting that mainly initiated with the basic approach of providing positive structural approach regarding accounting formulation” mainly. Presence of positive appearances of such </w:t>
      </w:r>
      <w:r w:rsidR="00E45FF1">
        <w:t>“</w:t>
      </w:r>
      <w:r>
        <w:t>accounting engagement provides a level of sustainability support including performance identification mainly in respect of which the general accountability approach of business can also be managed in a proper manner</w:t>
      </w:r>
      <w:r w:rsidR="00E45FF1">
        <w:t>”</w:t>
      </w:r>
      <w:r>
        <w:t xml:space="preserve">. It also applied to bring the basic principles regarding supportive “wealth maximisation approach regarding shareholders mainly” that is maintained for initiating the performance development approach in a more developing manner (Prihartono and Asandimitra, 2018). </w:t>
      </w:r>
    </w:p>
    <w:p w14:paraId="00000003" w14:textId="3B728F16" w:rsidR="00CD6E36" w:rsidRDefault="00A80D01">
      <w:r>
        <w:t xml:space="preserve">In association with present performance approach the analysis regarding investment and other financial approaches for business of </w:t>
      </w:r>
      <w:r w:rsidR="00E45FF1">
        <w:t>“</w:t>
      </w:r>
      <w:r>
        <w:rPr>
          <w:b/>
        </w:rPr>
        <w:t>Broken Hill Proprietary Company Limited (BHP)</w:t>
      </w:r>
      <w:r w:rsidR="00E45FF1">
        <w:rPr>
          <w:b/>
        </w:rPr>
        <w:t>”</w:t>
      </w:r>
      <w:r>
        <w:t xml:space="preserve"> has been evaluated in association to present accounting performances. </w:t>
      </w:r>
    </w:p>
    <w:p w14:paraId="00000004" w14:textId="77777777" w:rsidR="00CD6E36" w:rsidRDefault="00A80D01" w:rsidP="005D76F8">
      <w:pPr>
        <w:pStyle w:val="Heading1"/>
      </w:pPr>
      <w:bookmarkStart w:id="1" w:name="_Toc99492098"/>
      <w:r>
        <w:t>Discussions</w:t>
      </w:r>
      <w:bookmarkEnd w:id="1"/>
      <w:r>
        <w:t xml:space="preserve"> </w:t>
      </w:r>
    </w:p>
    <w:p w14:paraId="00000005" w14:textId="11DBF591" w:rsidR="00CD6E36" w:rsidRDefault="00E45FF1">
      <w:r>
        <w:rPr>
          <w:b/>
        </w:rPr>
        <w:t>“</w:t>
      </w:r>
      <w:r w:rsidR="00A80D01">
        <w:rPr>
          <w:b/>
        </w:rPr>
        <w:t>Broken Hill Proprietary Company Limited (BHP)</w:t>
      </w:r>
      <w:r>
        <w:rPr>
          <w:b/>
        </w:rPr>
        <w:t>”</w:t>
      </w:r>
      <w:r w:rsidR="00A80D01">
        <w:rPr>
          <w:b/>
        </w:rPr>
        <w:t xml:space="preserve"> </w:t>
      </w:r>
      <w:r w:rsidR="00A80D01">
        <w:t xml:space="preserve">is mainly recognised as an “Australian multinational mining, metals and petroleum manufacturing” public company that </w:t>
      </w:r>
      <w:r w:rsidR="005D76F8">
        <w:t>was incorporated</w:t>
      </w:r>
      <w:r w:rsidR="00A80D01">
        <w:t xml:space="preserve"> during the period of 1885. During the period of 2020, the organisation under the Forbes Global 2000 ranked as 93rd largest public company along with a sustainable financial approach in order to maintain the accountability initiatives in a proper manner. During the period of 2022, the organisation relinquished its engagement in the LSE and became solely Australian Security exchange listed business for efficient performance and financial stability with the prime approach of avoiding Brexit difficulties (MINING.COM, 2022). In the present situation, the organisation gained around US$60,817million as business revenue along with US$13,451million as business net income during 2021 respectively. At the present condition the organisation is operated with the support of 80,000 different employees that provides a level of positive performance initiatives in an effective manner (BHP plc, 2022). </w:t>
      </w:r>
    </w:p>
    <w:p w14:paraId="00000006" w14:textId="0585A689" w:rsidR="00CD6E36" w:rsidRDefault="00A80D01">
      <w:r>
        <w:t xml:space="preserve">According to Warren </w:t>
      </w:r>
      <w:r>
        <w:rPr>
          <w:i/>
        </w:rPr>
        <w:t xml:space="preserve">et al. </w:t>
      </w:r>
      <w:r>
        <w:t xml:space="preserve">(2020), a particular portion of business profit that gained during the current accounting period is generally distributed among the shareholders by the way of </w:t>
      </w:r>
      <w:r>
        <w:rPr>
          <w:b/>
        </w:rPr>
        <w:t>dividend</w:t>
      </w:r>
      <w:r>
        <w:t xml:space="preserve">. With respect to the basic operating approach, presence of effective dividend distribution for individual business provides a level of development including performance compatibility also that provides a positive stakeholders engagement support. Applied the presence of positive dividend policy engagement provides a level of sustainability support regarding stock investing approach, essential </w:t>
      </w:r>
      <w:r w:rsidR="005D76F8">
        <w:t>metric</w:t>
      </w:r>
      <w:r>
        <w:t xml:space="preserve"> analysis, effective reduction in portfolio risks, tax advantages, capital acquiring support and others in a systematic manner. As per the </w:t>
      </w:r>
      <w:r>
        <w:lastRenderedPageBreak/>
        <w:t xml:space="preserve">present financial approach the organisation provides around US$301c as dividend per share to shareholders along with positive dividend policy support as well. In associated to strong financial and operational approach the management has decided to provide 200cents per share basis as financial dividend in accordance with the current marketing approach as well (BHP plc, 2022). According to the present performance approach the management of such organisations used to provide importance to the </w:t>
      </w:r>
      <w:r>
        <w:rPr>
          <w:b/>
        </w:rPr>
        <w:t xml:space="preserve">Constant dividend policy </w:t>
      </w:r>
      <w:r>
        <w:t xml:space="preserve">mainly with the application of which a positive financial engagement can be initiated including systematic development in financial performances as well (Utami and Gumanti, 2019). Depending on current performances as per policies the management used to provide “minimum 50 per cent </w:t>
      </w:r>
      <w:r w:rsidR="005D76F8">
        <w:t>pay out</w:t>
      </w:r>
      <w:r>
        <w:t xml:space="preserve"> of </w:t>
      </w:r>
      <w:r w:rsidR="005D76F8">
        <w:t>underlying</w:t>
      </w:r>
      <w:r>
        <w:t xml:space="preserve"> attributable profit at every reporting period”, with the maintenance of such general compatibility including the operating development approach of the business are also initiated on a positive basis. The organisation mainly provides importance to the fully franked dividends with sustainable financial modification mainly that is approachable for initiating the operating accountability approach of business in a proper manner. According to the basic managerial decisions the </w:t>
      </w:r>
      <w:r w:rsidR="00E45FF1">
        <w:t>“</w:t>
      </w:r>
      <w:r>
        <w:t>board also used to provide importance to the dividend reinvestment planning approach with the presence of which general potentiality including performance stability can be initiated as well</w:t>
      </w:r>
      <w:r w:rsidR="00E45FF1">
        <w:t>”</w:t>
      </w:r>
      <w:r>
        <w:t xml:space="preserve">. During the period of 2021, BHP provides around US$7901 million of dividend to the shareholders that indicates sustainable accounting approach including performance stability processing on a positive basis (BHP plc, 2022). In respect to the </w:t>
      </w:r>
      <w:r w:rsidR="00E45FF1">
        <w:t>current performance formulation support</w:t>
      </w:r>
      <w:r>
        <w:t xml:space="preserve"> the </w:t>
      </w:r>
      <w:r w:rsidR="00E45FF1">
        <w:t>“</w:t>
      </w:r>
      <w:r>
        <w:t>management of the business also initiated the basic approach regarding DLC Dividend share with support of which general accountability</w:t>
      </w:r>
      <w:r w:rsidR="00E45FF1">
        <w:t>”</w:t>
      </w:r>
      <w:r>
        <w:t xml:space="preserve"> initiatives of the business are supportively initiated. </w:t>
      </w:r>
    </w:p>
    <w:p w14:paraId="00000007" w14:textId="62C9DD8A" w:rsidR="00CD6E36" w:rsidRDefault="00A80D01">
      <w:r>
        <w:t xml:space="preserve">According to the basic conceptual approach, </w:t>
      </w:r>
      <w:r>
        <w:rPr>
          <w:b/>
        </w:rPr>
        <w:t xml:space="preserve">market hypothesis theory </w:t>
      </w:r>
      <w:r>
        <w:t xml:space="preserve">is mainly recognised as a performance management application that represents the appearances of share price detailing. In other words, related to financial performances of individual business the presence of such a concept is mainly initiated for determining the value and other associated details regarding business financial approach mainly through recognising the share analysis of business in an efficient manner (Singh </w:t>
      </w:r>
      <w:r>
        <w:rPr>
          <w:i/>
        </w:rPr>
        <w:t xml:space="preserve">et al., </w:t>
      </w:r>
      <w:r>
        <w:t xml:space="preserve">2021). According to the present financial performances the overall recent marketing price of share has resulted in 75.90 (+ 0.25) a comparatively developed marketing approach that formulates the sustainable processing of business in an efficient manner. Including the basic approach, current market capitalization value of the business resulted in 274.621 billion with the volume of beta as 0.78 indicating the lower risks approach of the business </w:t>
      </w:r>
      <w:r w:rsidR="00E45FF1">
        <w:t>with a significant structure,</w:t>
      </w:r>
      <w:r>
        <w:t xml:space="preserve"> in accordance </w:t>
      </w:r>
      <w:r w:rsidR="00E45FF1">
        <w:t>to the current</w:t>
      </w:r>
      <w:r>
        <w:t xml:space="preserve"> marketing </w:t>
      </w:r>
      <w:r w:rsidR="00E45FF1">
        <w:t>initiatives</w:t>
      </w:r>
      <w:r>
        <w:t xml:space="preserve"> (Finance.yahoo.com, 2022). The present volume of business PE ratio is </w:t>
      </w:r>
      <w:r>
        <w:lastRenderedPageBreak/>
        <w:t>resulted to 11.36 with EPS structure of 6.65 efficiently. In accordance with the present operating approach the management of BHP has been initiated to link with “tilt at Glencore after solid production”, so that the level of business performance initiatives can effectively be managed in an efficient order (Proactiveinvestors UK, 2022). Including the same approach the managerial development including effective supply chain management is also initiated that provides the general accountable support regarding business performance management in an efficient order. During the present accounting period the management of BHP group provides an announcement that indicates “UK Court had sanctioned the BHP Group Plc (P</w:t>
      </w:r>
      <w:r w:rsidR="00E45FF1">
        <w:t xml:space="preserve">lc) scheme of arrangement </w:t>
      </w:r>
      <w:r>
        <w:t>with the support of which general growth including corporate structural approach of the business are systematically initiated for development</w:t>
      </w:r>
      <w:r w:rsidR="00E45FF1">
        <w:t>”</w:t>
      </w:r>
      <w:r>
        <w:t xml:space="preserve"> (News, 2022). Apart from that in the present situation the management of BHP also initiated the “approach regarding extension of partnership with AusIMM” that provides a level of opportunity including the operating stability approach of business in an efficient manner. It also provides the performance management approach including performance growth as well that brings the accountability initiatives including financial development approach in an effective basis mainly. With the provided </w:t>
      </w:r>
      <w:r w:rsidR="005D76F8">
        <w:t>details including</w:t>
      </w:r>
      <w:r>
        <w:t xml:space="preserve"> identification of share market pricing a positive value of operating development and sustainability approach for this business can be realised</w:t>
      </w:r>
      <w:r w:rsidR="005D76F8">
        <w:t>, including competitive</w:t>
      </w:r>
      <w:r>
        <w:t xml:space="preserve"> advantages as well. From the presentation it is also recognisable that the management of the businesses need to initiate some significant structural modification support as well withholding such, the basic compatibility of business can also be formulated. </w:t>
      </w:r>
    </w:p>
    <w:p w14:paraId="00000008" w14:textId="1B7CFE5B" w:rsidR="00CD6E36" w:rsidRDefault="00A80D01">
      <w:r>
        <w:t xml:space="preserve">Applied the general conceptual approach regarding </w:t>
      </w:r>
      <w:r>
        <w:rPr>
          <w:b/>
        </w:rPr>
        <w:t>“investment appraisal</w:t>
      </w:r>
      <w:r>
        <w:t xml:space="preserve"> processing with support of </w:t>
      </w:r>
      <w:r>
        <w:rPr>
          <w:b/>
        </w:rPr>
        <w:t>financial management”</w:t>
      </w:r>
      <w:r>
        <w:t xml:space="preserve"> mainly that initiated to provide a proper identification including project performance evaluation support mainly that can be initiated in order to determine the compatibility support of business as well. Presenting importance to the positive investment appraisal method is initiated in order to bring a proper compatibility including accountability initiatives as well with the support of the project comprehensive structure can also be initiated. Associated with the present marketing approach in BHP for the project of </w:t>
      </w:r>
      <w:r>
        <w:rPr>
          <w:b/>
        </w:rPr>
        <w:t xml:space="preserve">Bass Strait </w:t>
      </w:r>
      <w:r>
        <w:t xml:space="preserve">engagement of net present value concept as well as the payback analysis approach are noticed with respect of which a positive development and identification of business compatibility respect to the project can be identified. It is also used to provide a positive identifiable support with maintenance of which a proper returning capacity of the project can be evaluated (BHP plc, 2022). Associated with the same approach in case of installations of significant machinery in </w:t>
      </w:r>
      <w:r>
        <w:rPr>
          <w:b/>
        </w:rPr>
        <w:t>“Mt Arthur,</w:t>
      </w:r>
      <w:r>
        <w:t xml:space="preserve"> New South Wales coal mine project” engagement of Accounting rate of return and Net present value concept are also noticed for managing the </w:t>
      </w:r>
      <w:r>
        <w:lastRenderedPageBreak/>
        <w:t xml:space="preserve">financial compatibility including operating growth initiatives in an effective manner.  Initiatives of this type of engagement are initiated in order to provide a proper evaluating support including compatibility determination approach as well with respect of which the operational accountability including performance management structure of the business can also be managed in a proper order. Engagement of positive investment appraisal processing including performance initiatives approach are also noticed for </w:t>
      </w:r>
      <w:r>
        <w:rPr>
          <w:b/>
        </w:rPr>
        <w:t>Resolution Copper in Arizona</w:t>
      </w:r>
      <w:r>
        <w:t xml:space="preserve"> that provides sustainable volume of financial engagement including performance initiatives in an effective manner. It also allows the managerial department to initiate the effective sustainability formulation approach as well that can be initiated for maintenance of business performance initiatives in a more comprehensive order. Associated with the current operating approach, applied engagement of such evaluation provides a level of compatibility including performance initiatives also with the respect of which overall performance growth including business development can also be managed as well. </w:t>
      </w:r>
    </w:p>
    <w:p w14:paraId="00000009" w14:textId="77777777" w:rsidR="00CD6E36" w:rsidRDefault="00A80D01" w:rsidP="005D76F8">
      <w:pPr>
        <w:pStyle w:val="Heading1"/>
      </w:pPr>
      <w:bookmarkStart w:id="2" w:name="_Toc99492099"/>
      <w:r>
        <w:t>Conclusions</w:t>
      </w:r>
      <w:bookmarkEnd w:id="2"/>
      <w:r>
        <w:t xml:space="preserve"> </w:t>
      </w:r>
    </w:p>
    <w:p w14:paraId="0000000A" w14:textId="0EDAB79B" w:rsidR="00CD6E36" w:rsidRDefault="00A80D01">
      <w:r>
        <w:t>In conclusion, it is recognisable that engagement of positive</w:t>
      </w:r>
      <w:r>
        <w:rPr>
          <w:b/>
        </w:rPr>
        <w:t xml:space="preserve"> “financial management” </w:t>
      </w:r>
      <w:r>
        <w:t xml:space="preserve">concepts for individual business can bring a positive, sustainable development including compatibility determination support as well in respect of which the performance initiative including general structural growth can be managed. For the business of BHP, presence of such accounting engagement initiated to provide </w:t>
      </w:r>
      <w:r w:rsidR="005D76F8">
        <w:t>a proper</w:t>
      </w:r>
      <w:r>
        <w:t xml:space="preserve"> </w:t>
      </w:r>
      <w:r w:rsidR="005D76F8">
        <w:t>formative</w:t>
      </w:r>
      <w:r>
        <w:t xml:space="preserve"> development including operating system ability also with respect of which a positive maintenance support including development structural modification can be initiated as well. Applied approaches of different computation engagement for individual projects are also noticed that are initiated in order to maintain the comprehensive d</w:t>
      </w:r>
      <w:bookmarkStart w:id="3" w:name="_GoBack"/>
      <w:bookmarkEnd w:id="3"/>
      <w:r>
        <w:t xml:space="preserve">evelopment initiative in a more systematic basis.  </w:t>
      </w:r>
    </w:p>
    <w:p w14:paraId="77C27B97" w14:textId="7B0C383A" w:rsidR="005D76F8" w:rsidRDefault="005D76F8">
      <w:r>
        <w:br w:type="page"/>
      </w:r>
    </w:p>
    <w:p w14:paraId="1ED60A53" w14:textId="30BEE6B3" w:rsidR="005D76F8" w:rsidRPr="005D76F8" w:rsidRDefault="005D76F8" w:rsidP="005D76F8">
      <w:pPr>
        <w:pStyle w:val="Heading1"/>
      </w:pPr>
      <w:bookmarkStart w:id="4" w:name="_Toc99492100"/>
      <w:r w:rsidRPr="005D76F8">
        <w:lastRenderedPageBreak/>
        <w:t>References</w:t>
      </w:r>
      <w:bookmarkEnd w:id="4"/>
    </w:p>
    <w:p w14:paraId="52211F08" w14:textId="77777777" w:rsidR="005D76F8" w:rsidRDefault="005D76F8" w:rsidP="005D76F8">
      <w:r>
        <w:t xml:space="preserve">BHP plc. </w:t>
      </w:r>
      <w:r w:rsidRPr="006010A7">
        <w:t>2022. [</w:t>
      </w:r>
      <w:proofErr w:type="gramStart"/>
      <w:r w:rsidRPr="006010A7">
        <w:t>online</w:t>
      </w:r>
      <w:proofErr w:type="gramEnd"/>
      <w:r w:rsidRPr="006010A7">
        <w:t>] Available at: &lt;https://www.bhp.com/about&gt; [Accessed 29 March 2022].</w:t>
      </w:r>
    </w:p>
    <w:p w14:paraId="5BB05D9B" w14:textId="77777777" w:rsidR="005D76F8" w:rsidRDefault="005D76F8" w:rsidP="005D76F8">
      <w:r>
        <w:t xml:space="preserve">BHP plc. </w:t>
      </w:r>
      <w:r w:rsidRPr="006010A7">
        <w:t>2022. [</w:t>
      </w:r>
      <w:proofErr w:type="gramStart"/>
      <w:r w:rsidRPr="006010A7">
        <w:t>online</w:t>
      </w:r>
      <w:proofErr w:type="gramEnd"/>
      <w:r w:rsidRPr="006010A7">
        <w:t>] Available at: &lt;https://www.bhp.com/investors/annual-reporting/annual-report-2021&gt; [Accessed 29 March 2022].</w:t>
      </w:r>
    </w:p>
    <w:p w14:paraId="1803EC23" w14:textId="77777777" w:rsidR="005D76F8" w:rsidRDefault="005D76F8" w:rsidP="005D76F8">
      <w:r>
        <w:t xml:space="preserve">BHP plc. </w:t>
      </w:r>
      <w:r w:rsidRPr="006010A7">
        <w:t>2022. [</w:t>
      </w:r>
      <w:proofErr w:type="gramStart"/>
      <w:r w:rsidRPr="006010A7">
        <w:t>online</w:t>
      </w:r>
      <w:proofErr w:type="gramEnd"/>
      <w:r w:rsidRPr="006010A7">
        <w:t>] Available at: &lt;https://www.bhp.com/investors/shareholder-information/dividends&gt; [Accessed 29 March 2022].</w:t>
      </w:r>
    </w:p>
    <w:p w14:paraId="6986B29C" w14:textId="77777777" w:rsidR="005D76F8" w:rsidRPr="00F075DB" w:rsidRDefault="005D76F8" w:rsidP="005D76F8">
      <w:r>
        <w:t xml:space="preserve">BHP plc. </w:t>
      </w:r>
      <w:r w:rsidRPr="00F04C00">
        <w:t>2022. [</w:t>
      </w:r>
      <w:proofErr w:type="gramStart"/>
      <w:r w:rsidRPr="00F04C00">
        <w:t>online</w:t>
      </w:r>
      <w:proofErr w:type="gramEnd"/>
      <w:r w:rsidRPr="00F04C00">
        <w:t>] Available at: &lt;https://www.bhp.com/what-we-do/global-locations/united-states/resolution-copper-arizona&gt; [Accessed 29 March 2022].</w:t>
      </w:r>
    </w:p>
    <w:p w14:paraId="6F7EF7D7" w14:textId="77777777" w:rsidR="005D76F8" w:rsidRDefault="005D76F8" w:rsidP="005D76F8">
      <w:r w:rsidRPr="006010A7">
        <w:t>Finance.yahoo.com. 2022. </w:t>
      </w:r>
      <w:r w:rsidRPr="006010A7">
        <w:rPr>
          <w:i/>
          <w:iCs/>
        </w:rPr>
        <w:t>Yahoo is part of the Yahoo family of brands</w:t>
      </w:r>
      <w:r w:rsidRPr="006010A7">
        <w:t>. [</w:t>
      </w:r>
      <w:proofErr w:type="gramStart"/>
      <w:r w:rsidRPr="006010A7">
        <w:t>online</w:t>
      </w:r>
      <w:proofErr w:type="gramEnd"/>
      <w:r w:rsidRPr="006010A7">
        <w:t>] Available at: &lt;https://finance.yahoo.com/quote/BHP/&gt; [Accessed 29 March 2022].</w:t>
      </w:r>
    </w:p>
    <w:p w14:paraId="74F6E5E5" w14:textId="77777777" w:rsidR="005D76F8" w:rsidRDefault="005D76F8" w:rsidP="005D76F8">
      <w:pPr>
        <w:rPr>
          <w:color w:val="000000"/>
          <w:shd w:val="clear" w:color="auto" w:fill="FFFFFF"/>
        </w:rPr>
      </w:pPr>
      <w:r w:rsidRPr="00F075DB">
        <w:rPr>
          <w:color w:val="000000"/>
          <w:shd w:val="clear" w:color="auto" w:fill="FFFFFF"/>
        </w:rPr>
        <w:t>MINING.COM. 2022. </w:t>
      </w:r>
      <w:r w:rsidRPr="00F075DB">
        <w:rPr>
          <w:i/>
          <w:iCs/>
          <w:color w:val="000000"/>
          <w:shd w:val="clear" w:color="auto" w:fill="FFFFFF"/>
        </w:rPr>
        <w:t>BHP to delist from London exchange as unification approved</w:t>
      </w:r>
      <w:r w:rsidRPr="00F075DB">
        <w:rPr>
          <w:color w:val="000000"/>
          <w:shd w:val="clear" w:color="auto" w:fill="FFFFFF"/>
        </w:rPr>
        <w:t>. [</w:t>
      </w:r>
      <w:proofErr w:type="gramStart"/>
      <w:r w:rsidRPr="00F075DB">
        <w:rPr>
          <w:color w:val="000000"/>
          <w:shd w:val="clear" w:color="auto" w:fill="FFFFFF"/>
        </w:rPr>
        <w:t>online</w:t>
      </w:r>
      <w:proofErr w:type="gramEnd"/>
      <w:r w:rsidRPr="00F075DB">
        <w:rPr>
          <w:color w:val="000000"/>
          <w:shd w:val="clear" w:color="auto" w:fill="FFFFFF"/>
        </w:rPr>
        <w:t>] Available at: &lt;https://www.mining.com/bhp-to-delist-from-london-exchange-as-unification-approved/&gt; [Accessed 29 March 2022].</w:t>
      </w:r>
    </w:p>
    <w:p w14:paraId="3EDE6685" w14:textId="77777777" w:rsidR="005D76F8" w:rsidRDefault="005D76F8" w:rsidP="005D76F8">
      <w:r w:rsidRPr="006010A7">
        <w:t>News, 2022. </w:t>
      </w:r>
      <w:r w:rsidRPr="006010A7">
        <w:rPr>
          <w:i/>
          <w:iCs/>
        </w:rPr>
        <w:t>BHP Unification – Scheme of arrangement becomes effective</w:t>
      </w:r>
      <w:r w:rsidRPr="006010A7">
        <w:t>. [</w:t>
      </w:r>
      <w:proofErr w:type="gramStart"/>
      <w:r w:rsidRPr="006010A7">
        <w:t>online</w:t>
      </w:r>
      <w:proofErr w:type="gramEnd"/>
      <w:r w:rsidRPr="006010A7">
        <w:t>] Mirage News. Available at: &lt;https://www.miragenews.com/bhp-unification-scheme-of-arrangement-becomes-715202/#:~:text=On%2025%20January%202022%2C%20BHP</w:t>
      </w:r>
      <w:proofErr w:type="gramStart"/>
      <w:r w:rsidRPr="006010A7">
        <w:t>,unification</w:t>
      </w:r>
      <w:proofErr w:type="gramEnd"/>
      <w:r w:rsidRPr="006010A7">
        <w:t>%20of%20BHP's%20corporate%20structure.&gt; [Accessed 29 March 2022].</w:t>
      </w:r>
    </w:p>
    <w:p w14:paraId="750FDE8B" w14:textId="77777777" w:rsidR="005D76F8" w:rsidRDefault="005D76F8" w:rsidP="005D76F8">
      <w:r w:rsidRPr="006010A7">
        <w:t>Prihartono, M.R.D. and Asandimitra, N., 2018. Analysis factors influencing financial management behaviour. </w:t>
      </w:r>
      <w:r w:rsidRPr="006010A7">
        <w:rPr>
          <w:i/>
          <w:iCs/>
        </w:rPr>
        <w:t>International Journal of Academic Research in Business and Social Sciences</w:t>
      </w:r>
      <w:r w:rsidRPr="006010A7">
        <w:t>, </w:t>
      </w:r>
      <w:r w:rsidRPr="006010A7">
        <w:rPr>
          <w:i/>
          <w:iCs/>
        </w:rPr>
        <w:t>8</w:t>
      </w:r>
      <w:r w:rsidRPr="006010A7">
        <w:t>(8), pp.308-326.</w:t>
      </w:r>
    </w:p>
    <w:p w14:paraId="7CD97FB7" w14:textId="77777777" w:rsidR="005D76F8" w:rsidRDefault="005D76F8" w:rsidP="005D76F8">
      <w:r w:rsidRPr="006010A7">
        <w:t>Proactiveinvestors UK. 2022. </w:t>
      </w:r>
      <w:r w:rsidRPr="006010A7">
        <w:rPr>
          <w:i/>
          <w:iCs/>
        </w:rPr>
        <w:t>BHP linked with tilt at Glencore after solid production update</w:t>
      </w:r>
      <w:r w:rsidRPr="006010A7">
        <w:t>. [</w:t>
      </w:r>
      <w:proofErr w:type="gramStart"/>
      <w:r w:rsidRPr="006010A7">
        <w:t>online</w:t>
      </w:r>
      <w:proofErr w:type="gramEnd"/>
      <w:r w:rsidRPr="006010A7">
        <w:t>] Available at: &lt;https://www.proactiveinvestors.co.uk/companies/news/971551/bhp-linked-with-tilt-at-glencore-after-solid-production-update-971551.html&gt; [Accessed 29 March 2022].</w:t>
      </w:r>
    </w:p>
    <w:p w14:paraId="3F058E2F" w14:textId="77777777" w:rsidR="005D76F8" w:rsidRDefault="005D76F8" w:rsidP="005D76F8">
      <w:r w:rsidRPr="006010A7">
        <w:t xml:space="preserve">Singh, J.E., </w:t>
      </w:r>
      <w:proofErr w:type="spellStart"/>
      <w:r w:rsidRPr="006010A7">
        <w:t>Babshetti</w:t>
      </w:r>
      <w:proofErr w:type="spellEnd"/>
      <w:r w:rsidRPr="006010A7">
        <w:t xml:space="preserve">, V. and </w:t>
      </w:r>
      <w:proofErr w:type="spellStart"/>
      <w:r w:rsidRPr="006010A7">
        <w:t>Shivaprasad</w:t>
      </w:r>
      <w:proofErr w:type="spellEnd"/>
      <w:r w:rsidRPr="006010A7">
        <w:t xml:space="preserve">, H.N., 2021. Efficient Market Hypothesis to </w:t>
      </w:r>
      <w:proofErr w:type="spellStart"/>
      <w:r w:rsidRPr="006010A7">
        <w:t>Behavioral</w:t>
      </w:r>
      <w:proofErr w:type="spellEnd"/>
      <w:r w:rsidRPr="006010A7">
        <w:t xml:space="preserve"> Finance: A Review of Rationality to Irrationality. </w:t>
      </w:r>
      <w:r w:rsidRPr="006010A7">
        <w:rPr>
          <w:i/>
          <w:iCs/>
        </w:rPr>
        <w:t>Materials Today: Proceedings</w:t>
      </w:r>
      <w:r w:rsidRPr="006010A7">
        <w:t>.</w:t>
      </w:r>
    </w:p>
    <w:p w14:paraId="532C80E8" w14:textId="77777777" w:rsidR="005D76F8" w:rsidRDefault="005D76F8" w:rsidP="005D76F8">
      <w:r w:rsidRPr="006010A7">
        <w:t>Utami, E.S. and Gumanti, T.A., 2019. Analysis of cash dividend policy in Indonesia stock exchange. </w:t>
      </w:r>
      <w:r w:rsidRPr="006010A7">
        <w:rPr>
          <w:i/>
          <w:iCs/>
        </w:rPr>
        <w:t xml:space="preserve">Investment Management </w:t>
      </w:r>
      <w:proofErr w:type="gramStart"/>
      <w:r w:rsidRPr="006010A7">
        <w:rPr>
          <w:i/>
          <w:iCs/>
        </w:rPr>
        <w:t>And</w:t>
      </w:r>
      <w:proofErr w:type="gramEnd"/>
      <w:r w:rsidRPr="006010A7">
        <w:rPr>
          <w:i/>
          <w:iCs/>
        </w:rPr>
        <w:t xml:space="preserve"> Financial Innovations, 16 (3)</w:t>
      </w:r>
      <w:r w:rsidRPr="006010A7">
        <w:t>, pp.97-105.</w:t>
      </w:r>
    </w:p>
    <w:p w14:paraId="6D5A2A55" w14:textId="77777777" w:rsidR="005D76F8" w:rsidRDefault="005D76F8" w:rsidP="005D76F8">
      <w:r w:rsidRPr="00F075DB">
        <w:t>Warren, C.S., Jonick, C. and Schneider, J., 2020. </w:t>
      </w:r>
      <w:r w:rsidRPr="00F075DB">
        <w:rPr>
          <w:i/>
          <w:iCs/>
        </w:rPr>
        <w:t>Financial accounting</w:t>
      </w:r>
      <w:r w:rsidRPr="00F075DB">
        <w:t xml:space="preserve">. </w:t>
      </w:r>
      <w:proofErr w:type="spellStart"/>
      <w:r w:rsidRPr="00F075DB">
        <w:t>Cengage</w:t>
      </w:r>
      <w:proofErr w:type="spellEnd"/>
      <w:r w:rsidRPr="00F075DB">
        <w:t xml:space="preserve"> Learning.</w:t>
      </w:r>
    </w:p>
    <w:p w14:paraId="61D12D2C" w14:textId="77777777" w:rsidR="005D76F8" w:rsidRDefault="005D76F8"/>
    <w:p w14:paraId="0000000E" w14:textId="77777777" w:rsidR="00CD6E36" w:rsidRDefault="00CD6E36"/>
    <w:sectPr w:rsidR="00CD6E36">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6F9829" w14:textId="77777777" w:rsidR="00E10143" w:rsidRDefault="00E10143">
      <w:pPr>
        <w:spacing w:line="240" w:lineRule="auto"/>
      </w:pPr>
      <w:r>
        <w:separator/>
      </w:r>
    </w:p>
  </w:endnote>
  <w:endnote w:type="continuationSeparator" w:id="0">
    <w:p w14:paraId="049127DF" w14:textId="77777777" w:rsidR="00E10143" w:rsidRDefault="00E101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002209"/>
      <w:docPartObj>
        <w:docPartGallery w:val="Page Numbers (Bottom of Page)"/>
        <w:docPartUnique/>
      </w:docPartObj>
    </w:sdtPr>
    <w:sdtEndPr>
      <w:rPr>
        <w:noProof/>
      </w:rPr>
    </w:sdtEndPr>
    <w:sdtContent>
      <w:p w14:paraId="46B3D61F" w14:textId="7C0C5964" w:rsidR="0094655D" w:rsidRDefault="0094655D">
        <w:pPr>
          <w:pStyle w:val="Footer"/>
          <w:jc w:val="right"/>
        </w:pPr>
        <w:r>
          <w:fldChar w:fldCharType="begin"/>
        </w:r>
        <w:r>
          <w:instrText xml:space="preserve"> PAGE   \* MERGEFORMAT </w:instrText>
        </w:r>
        <w:r>
          <w:fldChar w:fldCharType="separate"/>
        </w:r>
        <w:r w:rsidR="00E45FF1">
          <w:rPr>
            <w:noProof/>
          </w:rPr>
          <w:t>7</w:t>
        </w:r>
        <w:r>
          <w:rPr>
            <w:noProof/>
          </w:rPr>
          <w:fldChar w:fldCharType="end"/>
        </w:r>
      </w:p>
    </w:sdtContent>
  </w:sdt>
  <w:p w14:paraId="4000BFED" w14:textId="77777777" w:rsidR="0094655D" w:rsidRDefault="009465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304027" w14:textId="77777777" w:rsidR="00E10143" w:rsidRDefault="00E10143">
      <w:pPr>
        <w:spacing w:line="240" w:lineRule="auto"/>
      </w:pPr>
      <w:r>
        <w:separator/>
      </w:r>
    </w:p>
  </w:footnote>
  <w:footnote w:type="continuationSeparator" w:id="0">
    <w:p w14:paraId="7E35E423" w14:textId="77777777" w:rsidR="00E10143" w:rsidRDefault="00E1014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E36"/>
    <w:rsid w:val="005D76F8"/>
    <w:rsid w:val="0094655D"/>
    <w:rsid w:val="00A80D01"/>
    <w:rsid w:val="00CD6E36"/>
    <w:rsid w:val="00E10143"/>
    <w:rsid w:val="00E45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19A4EF0-8322-4EC3-AC99-B5EE4D272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rsid w:val="005D76F8"/>
    <w:pPr>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D76F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D76F8"/>
    <w:pPr>
      <w:spacing w:after="100"/>
    </w:pPr>
  </w:style>
  <w:style w:type="character" w:styleId="Hyperlink">
    <w:name w:val="Hyperlink"/>
    <w:basedOn w:val="DefaultParagraphFont"/>
    <w:uiPriority w:val="99"/>
    <w:unhideWhenUsed/>
    <w:rsid w:val="005D76F8"/>
    <w:rPr>
      <w:color w:val="0000FF" w:themeColor="hyperlink"/>
      <w:u w:val="single"/>
    </w:rPr>
  </w:style>
  <w:style w:type="paragraph" w:styleId="Header">
    <w:name w:val="header"/>
    <w:basedOn w:val="Normal"/>
    <w:link w:val="HeaderChar"/>
    <w:uiPriority w:val="99"/>
    <w:unhideWhenUsed/>
    <w:rsid w:val="0094655D"/>
    <w:pPr>
      <w:tabs>
        <w:tab w:val="center" w:pos="4680"/>
        <w:tab w:val="right" w:pos="9360"/>
      </w:tabs>
      <w:spacing w:line="240" w:lineRule="auto"/>
    </w:pPr>
  </w:style>
  <w:style w:type="character" w:customStyle="1" w:styleId="HeaderChar">
    <w:name w:val="Header Char"/>
    <w:basedOn w:val="DefaultParagraphFont"/>
    <w:link w:val="Header"/>
    <w:uiPriority w:val="99"/>
    <w:rsid w:val="0094655D"/>
    <w:rPr>
      <w:lang w:val="en-GB"/>
    </w:rPr>
  </w:style>
  <w:style w:type="paragraph" w:styleId="Footer">
    <w:name w:val="footer"/>
    <w:basedOn w:val="Normal"/>
    <w:link w:val="FooterChar"/>
    <w:uiPriority w:val="99"/>
    <w:unhideWhenUsed/>
    <w:rsid w:val="0094655D"/>
    <w:pPr>
      <w:tabs>
        <w:tab w:val="center" w:pos="4680"/>
        <w:tab w:val="right" w:pos="9360"/>
      </w:tabs>
      <w:spacing w:line="240" w:lineRule="auto"/>
    </w:pPr>
  </w:style>
  <w:style w:type="character" w:customStyle="1" w:styleId="FooterChar">
    <w:name w:val="Footer Char"/>
    <w:basedOn w:val="DefaultParagraphFont"/>
    <w:link w:val="Footer"/>
    <w:uiPriority w:val="99"/>
    <w:rsid w:val="0094655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9F6B2-CF09-41EB-83C4-C3BCEE054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2038</Words>
  <Characters>11621</Characters>
  <Application>Microsoft Office Word</Application>
  <DocSecurity>0</DocSecurity>
  <Lines>96</Lines>
  <Paragraphs>27</Paragraphs>
  <ScaleCrop>false</ScaleCrop>
  <Company/>
  <LinksUpToDate>false</LinksUpToDate>
  <CharactersWithSpaces>13632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4</cp:revision>
  <dcterms:created xsi:type="dcterms:W3CDTF">2022-03-29T18:49:00Z</dcterms:created>
  <dcterms:modified xsi:type="dcterms:W3CDTF">2022-03-30T13:00:00Z</dcterms:modified>
</cp:coreProperties>
</file>