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8B3" w:rsidRPr="001B7B7D" w:rsidRDefault="001B7B7D" w:rsidP="00B938B3">
      <w:pPr>
        <w:rPr>
          <w:rFonts w:cstheme="minorHAnsi"/>
          <w:sz w:val="24"/>
          <w:szCs w:val="24"/>
        </w:rPr>
      </w:pPr>
      <w:r>
        <w:rPr>
          <w:rFonts w:ascii="Arial Rounded MT Bold" w:hAnsi="Arial Rounded MT Bold"/>
        </w:rPr>
        <w:t xml:space="preserve"> </w:t>
      </w:r>
      <w:r w:rsidRPr="001B7B7D">
        <w:rPr>
          <w:rFonts w:cstheme="minorHAnsi"/>
          <w:sz w:val="24"/>
          <w:szCs w:val="24"/>
        </w:rPr>
        <w:t>T</w:t>
      </w:r>
      <w:r w:rsidR="00B938B3" w:rsidRPr="001B7B7D">
        <w:rPr>
          <w:rFonts w:cstheme="minorHAnsi"/>
          <w:sz w:val="24"/>
          <w:szCs w:val="24"/>
        </w:rPr>
        <w:t>he logic, decision making and evidence in a case to a legally qualified person</w:t>
      </w:r>
      <w:r w:rsidR="0050706C" w:rsidRPr="001B7B7D">
        <w:rPr>
          <w:rFonts w:cstheme="minorHAnsi"/>
          <w:sz w:val="24"/>
          <w:szCs w:val="24"/>
        </w:rPr>
        <w:t xml:space="preserve"> (The decision to prosecute)</w:t>
      </w:r>
    </w:p>
    <w:p w:rsidR="0050706C" w:rsidRPr="001B7B7D" w:rsidRDefault="0050706C" w:rsidP="0050706C">
      <w:pPr>
        <w:pStyle w:val="Heading2"/>
        <w:shd w:val="clear" w:color="auto" w:fill="FFFFFF"/>
        <w:spacing w:before="0"/>
        <w:rPr>
          <w:rFonts w:asciiTheme="minorHAnsi" w:hAnsiTheme="minorHAnsi" w:cstheme="minorHAnsi"/>
          <w:color w:val="auto"/>
          <w:sz w:val="24"/>
          <w:szCs w:val="24"/>
        </w:rPr>
      </w:pPr>
      <w:r w:rsidRPr="001B7B7D">
        <w:rPr>
          <w:rFonts w:asciiTheme="minorHAnsi" w:hAnsiTheme="minorHAnsi" w:cstheme="minorHAnsi"/>
          <w:color w:val="auto"/>
          <w:sz w:val="24"/>
          <w:szCs w:val="24"/>
        </w:rPr>
        <w:t>The Decision Whether to Prosecute</w:t>
      </w:r>
    </w:p>
    <w:p w:rsidR="0050706C" w:rsidRPr="001B7B7D" w:rsidRDefault="0050706C" w:rsidP="0050706C">
      <w:pPr>
        <w:pStyle w:val="Heading2"/>
        <w:shd w:val="clear" w:color="auto" w:fill="FFFFFF"/>
        <w:spacing w:before="0"/>
        <w:rPr>
          <w:rFonts w:asciiTheme="minorHAnsi" w:hAnsiTheme="minorHAnsi" w:cstheme="minorHAnsi"/>
          <w:color w:val="auto"/>
          <w:sz w:val="24"/>
          <w:szCs w:val="24"/>
        </w:rPr>
      </w:pPr>
    </w:p>
    <w:p w:rsidR="0050706C" w:rsidRPr="001B7B7D" w:rsidRDefault="0050706C" w:rsidP="0050706C">
      <w:pPr>
        <w:pStyle w:val="Heading2"/>
        <w:shd w:val="clear" w:color="auto" w:fill="FFFFFF"/>
        <w:spacing w:before="0"/>
        <w:jc w:val="both"/>
        <w:rPr>
          <w:rFonts w:asciiTheme="minorHAnsi" w:hAnsiTheme="minorHAnsi" w:cstheme="minorHAnsi"/>
          <w:color w:val="444444"/>
          <w:sz w:val="24"/>
          <w:szCs w:val="24"/>
        </w:rPr>
      </w:pPr>
      <w:r w:rsidRPr="001B7B7D">
        <w:rPr>
          <w:rFonts w:asciiTheme="minorHAnsi" w:hAnsiTheme="minorHAnsi" w:cstheme="minorHAnsi"/>
          <w:color w:val="444444"/>
          <w:sz w:val="24"/>
          <w:szCs w:val="24"/>
        </w:rPr>
        <w:t>In more serious or complex cases, prosecutors decide whether a person should be charged with a criminal offence and, if so, what that offence should be.</w:t>
      </w:r>
    </w:p>
    <w:p w:rsidR="0050706C" w:rsidRPr="001B7B7D" w:rsidRDefault="0050706C" w:rsidP="0050706C">
      <w:pPr>
        <w:pStyle w:val="Heading2"/>
        <w:shd w:val="clear" w:color="auto" w:fill="FFFFFF"/>
        <w:spacing w:before="0"/>
        <w:jc w:val="both"/>
        <w:rPr>
          <w:rFonts w:asciiTheme="minorHAnsi" w:hAnsiTheme="minorHAnsi" w:cstheme="minorHAnsi"/>
          <w:color w:val="444444"/>
          <w:sz w:val="24"/>
          <w:szCs w:val="24"/>
        </w:rPr>
      </w:pPr>
    </w:p>
    <w:p w:rsidR="0050706C" w:rsidRPr="001B7B7D" w:rsidRDefault="0050706C" w:rsidP="0050706C">
      <w:pPr>
        <w:pStyle w:val="Heading2"/>
        <w:shd w:val="clear" w:color="auto" w:fill="FFFFFF"/>
        <w:spacing w:before="0"/>
        <w:jc w:val="both"/>
        <w:rPr>
          <w:rFonts w:asciiTheme="minorHAnsi" w:hAnsiTheme="minorHAnsi" w:cstheme="minorHAnsi"/>
          <w:color w:val="444444"/>
          <w:sz w:val="24"/>
          <w:szCs w:val="24"/>
        </w:rPr>
      </w:pPr>
      <w:r w:rsidRPr="001B7B7D">
        <w:rPr>
          <w:rFonts w:asciiTheme="minorHAnsi" w:hAnsiTheme="minorHAnsi" w:cstheme="minorHAnsi"/>
          <w:color w:val="444444"/>
          <w:sz w:val="24"/>
          <w:szCs w:val="24"/>
        </w:rPr>
        <w:t xml:space="preserve">Prosecutors may also advise on or authorise out-of-court disposals as an alternative to prosecution. They make their decisions in accordance with this Code, the DPP’s Guidance on Charging and any relevant legal guidance or policy. </w:t>
      </w:r>
    </w:p>
    <w:p w:rsidR="0050706C" w:rsidRPr="001B7B7D" w:rsidRDefault="0050706C" w:rsidP="0050706C">
      <w:pPr>
        <w:pStyle w:val="Heading2"/>
        <w:shd w:val="clear" w:color="auto" w:fill="FFFFFF"/>
        <w:spacing w:before="0"/>
        <w:jc w:val="both"/>
        <w:rPr>
          <w:rFonts w:asciiTheme="minorHAnsi" w:hAnsiTheme="minorHAnsi" w:cstheme="minorHAnsi"/>
          <w:color w:val="444444"/>
          <w:sz w:val="24"/>
          <w:szCs w:val="24"/>
        </w:rPr>
      </w:pPr>
    </w:p>
    <w:p w:rsidR="0050706C" w:rsidRPr="001B7B7D" w:rsidRDefault="0050706C" w:rsidP="0050706C">
      <w:pPr>
        <w:pStyle w:val="Heading2"/>
        <w:shd w:val="clear" w:color="auto" w:fill="FFFFFF"/>
        <w:spacing w:before="0"/>
        <w:jc w:val="both"/>
        <w:rPr>
          <w:rFonts w:asciiTheme="minorHAnsi" w:hAnsiTheme="minorHAnsi" w:cstheme="minorHAnsi"/>
          <w:color w:val="auto"/>
          <w:sz w:val="24"/>
          <w:szCs w:val="24"/>
        </w:rPr>
      </w:pPr>
      <w:r w:rsidRPr="001B7B7D">
        <w:rPr>
          <w:rFonts w:asciiTheme="minorHAnsi" w:hAnsiTheme="minorHAnsi" w:cstheme="minorHAnsi"/>
          <w:color w:val="444444"/>
          <w:sz w:val="24"/>
          <w:szCs w:val="24"/>
        </w:rPr>
        <w:t>The police apply the same principles in deciding whether to start criminal proceedings against a person in those cases for which they are responsible.</w:t>
      </w:r>
    </w:p>
    <w:p w:rsidR="0050706C" w:rsidRPr="001B7B7D" w:rsidRDefault="0050706C" w:rsidP="0050706C">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 xml:space="preserve">Prosecutors should advise the police and other investigators about possible reasonable lines of inquiry, evidential requirements, pre-charge procedures, disclosure management and the overall investigation strategy. </w:t>
      </w:r>
    </w:p>
    <w:p w:rsidR="0050706C" w:rsidRPr="001B7B7D" w:rsidRDefault="0050706C" w:rsidP="0050706C">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This can include decisions to refine or narrow the scope of the criminal conduct and the number of suspects under investigation. Such advice assists the police and other investigators to complete the investigation within a reasonable period of time and to build the most effective prosecution case.</w:t>
      </w:r>
    </w:p>
    <w:p w:rsidR="0050706C" w:rsidRPr="001B7B7D" w:rsidRDefault="0050706C" w:rsidP="0050706C">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Prosecutors cannot direct the police or other investigators. However, prosecutors must have regard to the impact of any failure to pursue an advised reasonable line of inquiry or to comply with a request for information, when deciding whether the application of the Full Code Test should be deferred or whether the test can be met at all.</w:t>
      </w:r>
    </w:p>
    <w:p w:rsidR="0050706C" w:rsidRPr="001B7B7D" w:rsidRDefault="0050706C" w:rsidP="0050706C">
      <w:pPr>
        <w:pStyle w:val="NormalWeb"/>
        <w:shd w:val="clear" w:color="auto" w:fill="FFFFFF"/>
        <w:spacing w:before="240" w:beforeAutospacing="0" w:after="240" w:afterAutospacing="0" w:line="360" w:lineRule="atLeast"/>
        <w:rPr>
          <w:rFonts w:asciiTheme="minorHAnsi" w:hAnsiTheme="minorHAnsi" w:cstheme="minorHAnsi"/>
          <w:color w:val="444444"/>
        </w:rPr>
      </w:pPr>
      <w:r w:rsidRPr="001B7B7D">
        <w:rPr>
          <w:rFonts w:asciiTheme="minorHAnsi" w:hAnsiTheme="minorHAnsi" w:cstheme="minorHAnsi"/>
          <w:color w:val="444444"/>
        </w:rPr>
        <w:t xml:space="preserve">Prosecutors should identify and, where possible, seek to rectify evidential weaknesses but, subject to the Threshold Test, they should quickly stop cases which do not meet the evidential stage of the Full Code Test </w:t>
      </w:r>
    </w:p>
    <w:p w:rsidR="0050706C" w:rsidRPr="001B7B7D" w:rsidRDefault="0050706C" w:rsidP="0050706C">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Prosecutors should not start or continue a prosecution where their view is that it is highly likely that a court will rule that a prosecution is an abuse of its process.</w:t>
      </w:r>
    </w:p>
    <w:p w:rsidR="0050706C" w:rsidRPr="001B7B7D" w:rsidRDefault="0050706C" w:rsidP="0050706C">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 xml:space="preserve">Prosecutors review every case they receive from the police or other investigators. Review is a continuing process. This includes what becomes known of the defence case, any further reasonable lines of inquiry that should be pursued. </w:t>
      </w:r>
    </w:p>
    <w:p w:rsidR="0050706C" w:rsidRPr="001B7B7D" w:rsidRDefault="0050706C" w:rsidP="0050706C">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 xml:space="preserve">If a case is to be stopped, care should be taken when choosing the method of termination, as this can affect the victim’s position under the Victims' Right to Review scheme. Wherever </w:t>
      </w:r>
      <w:r w:rsidRPr="001B7B7D">
        <w:rPr>
          <w:rFonts w:asciiTheme="minorHAnsi" w:hAnsiTheme="minorHAnsi" w:cstheme="minorHAnsi"/>
          <w:color w:val="444444"/>
        </w:rPr>
        <w:lastRenderedPageBreak/>
        <w:t xml:space="preserve">possible, prosecutors should consult the investigator when considering changing the charges or stopping the case. </w:t>
      </w:r>
    </w:p>
    <w:p w:rsidR="0050706C" w:rsidRPr="001B7B7D" w:rsidRDefault="0050706C" w:rsidP="0050706C">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Parliament has decided that a limited number of offences should only be taken to court with the agreement of the DPP. These are called consent cases. In such cases the DPP, or a prosecutor acting on their behalf, applies the Code in deciding whether to give consent to a prosecution.</w:t>
      </w:r>
    </w:p>
    <w:p w:rsidR="0050706C" w:rsidRPr="001B7B7D" w:rsidRDefault="0050706C" w:rsidP="009F41CA">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There are also certain offences that can only be taken to court with the consent of the Attorney General. Prosecutors must follow current guidance when referring any such cases to the Attorney General. Some offences require the consent of a Secretary of State before a prosecution is started. Prosecutors must obtain such consent prior to charge and apply any relevant guidance in these cases. Additionally, the Attorney General will be kept informed of certain cases as part of their superintendence of the CPS and accountability to Parliament for its actions</w:t>
      </w:r>
    </w:p>
    <w:p w:rsidR="0050706C" w:rsidRPr="001B7B7D" w:rsidRDefault="0050706C"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9F41CA" w:rsidRPr="001B7B7D" w:rsidRDefault="009F41CA" w:rsidP="00B938B3">
      <w:pPr>
        <w:rPr>
          <w:rFonts w:cstheme="minorHAnsi"/>
          <w:b/>
          <w:sz w:val="24"/>
          <w:szCs w:val="24"/>
        </w:rPr>
      </w:pPr>
    </w:p>
    <w:p w:rsidR="00B938B3" w:rsidRPr="001B7B7D" w:rsidRDefault="00B938B3" w:rsidP="00B938B3">
      <w:pPr>
        <w:rPr>
          <w:rFonts w:cstheme="minorHAnsi"/>
          <w:sz w:val="24"/>
          <w:szCs w:val="24"/>
        </w:rPr>
      </w:pPr>
    </w:p>
    <w:p w:rsidR="00B938B3" w:rsidRPr="001B7B7D" w:rsidRDefault="00B938B3" w:rsidP="00B938B3">
      <w:pPr>
        <w:rPr>
          <w:rFonts w:cstheme="minorHAnsi"/>
          <w:sz w:val="24"/>
          <w:szCs w:val="24"/>
        </w:rPr>
      </w:pPr>
      <w:r w:rsidRPr="001B7B7D">
        <w:rPr>
          <w:rFonts w:cstheme="minorHAnsi"/>
          <w:sz w:val="24"/>
          <w:szCs w:val="24"/>
        </w:rPr>
        <w:t>The Full Code Test, including the evidential and public interest stages</w:t>
      </w:r>
    </w:p>
    <w:p w:rsidR="00B938B3" w:rsidRPr="001B7B7D" w:rsidRDefault="00B938B3" w:rsidP="00B938B3">
      <w:pPr>
        <w:pStyle w:val="Heading2"/>
        <w:shd w:val="clear" w:color="auto" w:fill="FFFFFF"/>
        <w:spacing w:before="0"/>
        <w:rPr>
          <w:rFonts w:asciiTheme="minorHAnsi" w:hAnsiTheme="minorHAnsi" w:cstheme="minorHAnsi"/>
          <w:color w:val="auto"/>
          <w:sz w:val="24"/>
          <w:szCs w:val="24"/>
        </w:rPr>
      </w:pPr>
      <w:r w:rsidRPr="001B7B7D">
        <w:rPr>
          <w:rFonts w:asciiTheme="minorHAnsi" w:hAnsiTheme="minorHAnsi" w:cstheme="minorHAnsi"/>
          <w:color w:val="auto"/>
          <w:sz w:val="24"/>
          <w:szCs w:val="24"/>
        </w:rPr>
        <w:t>The Full Code Test</w:t>
      </w:r>
    </w:p>
    <w:p w:rsidR="00B938B3" w:rsidRPr="001B7B7D" w:rsidRDefault="00B938B3" w:rsidP="009F41CA">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 xml:space="preserve">Prosecutors must only start or continue a prosecution when the case has passed both stages of the Full Code Test. The exception is when the Threshold Test may be applied </w:t>
      </w:r>
    </w:p>
    <w:p w:rsidR="00B938B3" w:rsidRPr="001B7B7D" w:rsidRDefault="00B938B3" w:rsidP="00B938B3">
      <w:pPr>
        <w:pStyle w:val="NormalWeb"/>
        <w:shd w:val="clear" w:color="auto" w:fill="FFFFFF"/>
        <w:spacing w:before="240" w:beforeAutospacing="0" w:after="240" w:afterAutospacing="0" w:line="360" w:lineRule="atLeast"/>
        <w:rPr>
          <w:rFonts w:asciiTheme="minorHAnsi" w:hAnsiTheme="minorHAnsi" w:cstheme="minorHAnsi"/>
          <w:color w:val="444444"/>
        </w:rPr>
      </w:pPr>
      <w:r w:rsidRPr="001B7B7D">
        <w:rPr>
          <w:rFonts w:asciiTheme="minorHAnsi" w:hAnsiTheme="minorHAnsi" w:cstheme="minorHAnsi"/>
          <w:color w:val="444444"/>
        </w:rPr>
        <w:t>The Full Code Test has two stages: (i) the evidential stage; followed by (ii) the public interest stage.</w:t>
      </w:r>
    </w:p>
    <w:p w:rsidR="00B938B3" w:rsidRPr="001B7B7D" w:rsidRDefault="00B938B3" w:rsidP="00B938B3">
      <w:pPr>
        <w:pStyle w:val="NormalWeb"/>
        <w:shd w:val="clear" w:color="auto" w:fill="FFFFFF"/>
        <w:spacing w:before="240" w:beforeAutospacing="0" w:after="240" w:afterAutospacing="0" w:line="360" w:lineRule="atLeast"/>
        <w:rPr>
          <w:rFonts w:asciiTheme="minorHAnsi" w:hAnsiTheme="minorHAnsi" w:cstheme="minorHAnsi"/>
          <w:color w:val="444444"/>
        </w:rPr>
      </w:pPr>
      <w:r w:rsidRPr="001B7B7D">
        <w:rPr>
          <w:rFonts w:asciiTheme="minorHAnsi" w:hAnsiTheme="minorHAnsi" w:cstheme="minorHAnsi"/>
          <w:color w:val="444444"/>
        </w:rPr>
        <w:t>The Full Code Test should be applied:</w:t>
      </w:r>
    </w:p>
    <w:p w:rsidR="00B938B3" w:rsidRPr="001B7B7D" w:rsidRDefault="009F41CA" w:rsidP="00B938B3">
      <w:pPr>
        <w:numPr>
          <w:ilvl w:val="0"/>
          <w:numId w:val="3"/>
        </w:numPr>
        <w:shd w:val="clear" w:color="auto" w:fill="FFFFFF"/>
        <w:spacing w:before="100" w:beforeAutospacing="1" w:after="100" w:afterAutospacing="1" w:line="360" w:lineRule="atLeast"/>
        <w:rPr>
          <w:rFonts w:cstheme="minorHAnsi"/>
          <w:color w:val="444444"/>
          <w:sz w:val="24"/>
          <w:szCs w:val="24"/>
        </w:rPr>
      </w:pPr>
      <w:r w:rsidRPr="001B7B7D">
        <w:rPr>
          <w:rFonts w:cstheme="minorHAnsi"/>
          <w:color w:val="444444"/>
          <w:sz w:val="24"/>
          <w:szCs w:val="24"/>
        </w:rPr>
        <w:t>W</w:t>
      </w:r>
      <w:r w:rsidR="00B938B3" w:rsidRPr="001B7B7D">
        <w:rPr>
          <w:rFonts w:cstheme="minorHAnsi"/>
          <w:color w:val="444444"/>
          <w:sz w:val="24"/>
          <w:szCs w:val="24"/>
        </w:rPr>
        <w:t>hen all outstanding reasonable lines of inquiry have been pursued; or</w:t>
      </w:r>
    </w:p>
    <w:p w:rsidR="00B938B3" w:rsidRPr="001B7B7D" w:rsidRDefault="009F41CA" w:rsidP="00B938B3">
      <w:pPr>
        <w:numPr>
          <w:ilvl w:val="0"/>
          <w:numId w:val="3"/>
        </w:numPr>
        <w:shd w:val="clear" w:color="auto" w:fill="FFFFFF"/>
        <w:spacing w:before="100" w:beforeAutospacing="1" w:after="100" w:afterAutospacing="1" w:line="360" w:lineRule="atLeast"/>
        <w:rPr>
          <w:rFonts w:cstheme="minorHAnsi"/>
          <w:color w:val="444444"/>
          <w:sz w:val="24"/>
          <w:szCs w:val="24"/>
        </w:rPr>
      </w:pPr>
      <w:r w:rsidRPr="001B7B7D">
        <w:rPr>
          <w:rFonts w:cstheme="minorHAnsi"/>
          <w:color w:val="444444"/>
          <w:sz w:val="24"/>
          <w:szCs w:val="24"/>
        </w:rPr>
        <w:t>Prior</w:t>
      </w:r>
      <w:r w:rsidR="00B938B3" w:rsidRPr="001B7B7D">
        <w:rPr>
          <w:rFonts w:cstheme="minorHAnsi"/>
          <w:color w:val="444444"/>
          <w:sz w:val="24"/>
          <w:szCs w:val="24"/>
        </w:rPr>
        <w:t xml:space="preserve"> to the investigation being completed, if the prosecutor is satisfied that any further evidence or material is unlikely to affect the application of the Full Code Test, whether in favour of or against a prosecution.</w:t>
      </w:r>
    </w:p>
    <w:p w:rsidR="00B938B3" w:rsidRPr="001B7B7D" w:rsidRDefault="00B938B3" w:rsidP="009F41CA">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In most cases prosecutors should only consider whether a prosecution is in the public interest after considering whether there is sufficient evidence to prosecute. However, there will be cases where it is clear, prior to reviewing all the evidence, that the public interest does not require a prosecution. In these instances, prosecutors may decide that the case should not proceed further.</w:t>
      </w:r>
    </w:p>
    <w:p w:rsidR="00B938B3" w:rsidRPr="001B7B7D" w:rsidRDefault="00B938B3" w:rsidP="009F41CA">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 xml:space="preserve">Prosecutors should only take such a decision when they are satisfied that the broad extent of the criminality has been determined and that they are able to make a fully informed assessment of the public interest. </w:t>
      </w:r>
    </w:p>
    <w:p w:rsidR="009F41CA" w:rsidRPr="001B7B7D" w:rsidRDefault="009F41CA" w:rsidP="009F41CA">
      <w:pPr>
        <w:pStyle w:val="NormalWeb"/>
        <w:shd w:val="clear" w:color="auto" w:fill="FFFFFF"/>
        <w:spacing w:before="240" w:beforeAutospacing="0" w:after="240" w:afterAutospacing="0" w:line="360" w:lineRule="atLeast"/>
        <w:jc w:val="both"/>
        <w:rPr>
          <w:rFonts w:asciiTheme="minorHAnsi" w:hAnsiTheme="minorHAnsi" w:cstheme="minorHAnsi"/>
        </w:rPr>
      </w:pPr>
    </w:p>
    <w:p w:rsidR="00B938B3" w:rsidRPr="001B7B7D" w:rsidRDefault="00B938B3" w:rsidP="00B938B3">
      <w:pPr>
        <w:pStyle w:val="Heading3"/>
        <w:shd w:val="clear" w:color="auto" w:fill="FFFFFF"/>
        <w:spacing w:before="0" w:beforeAutospacing="0"/>
        <w:rPr>
          <w:rFonts w:asciiTheme="minorHAnsi" w:hAnsiTheme="minorHAnsi" w:cstheme="minorHAnsi"/>
          <w:b w:val="0"/>
          <w:sz w:val="24"/>
          <w:szCs w:val="24"/>
        </w:rPr>
      </w:pPr>
      <w:r w:rsidRPr="001B7B7D">
        <w:rPr>
          <w:rFonts w:asciiTheme="minorHAnsi" w:hAnsiTheme="minorHAnsi" w:cstheme="minorHAnsi"/>
          <w:b w:val="0"/>
          <w:sz w:val="24"/>
          <w:szCs w:val="24"/>
        </w:rPr>
        <w:t>The Evidential Stage</w:t>
      </w:r>
      <w:r w:rsidR="009F41CA" w:rsidRPr="001B7B7D">
        <w:rPr>
          <w:rFonts w:asciiTheme="minorHAnsi" w:hAnsiTheme="minorHAnsi" w:cstheme="minorHAnsi"/>
          <w:b w:val="0"/>
          <w:sz w:val="24"/>
          <w:szCs w:val="24"/>
        </w:rPr>
        <w:t>:</w:t>
      </w:r>
    </w:p>
    <w:p w:rsidR="00B938B3" w:rsidRPr="001B7B7D" w:rsidRDefault="00B938B3" w:rsidP="009F41CA">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Prosecutors must be satisfied that there is sufficient evidence to provide a realistic prospect of conviction against each suspect on each charg</w:t>
      </w:r>
      <w:bookmarkStart w:id="0" w:name="sdfootnote1anc"/>
      <w:r w:rsidR="009F41CA" w:rsidRPr="001B7B7D">
        <w:rPr>
          <w:rFonts w:asciiTheme="minorHAnsi" w:hAnsiTheme="minorHAnsi" w:cstheme="minorHAnsi"/>
          <w:color w:val="444444"/>
        </w:rPr>
        <w:t>e</w:t>
      </w:r>
      <w:bookmarkEnd w:id="0"/>
      <w:r w:rsidRPr="001B7B7D">
        <w:rPr>
          <w:rFonts w:asciiTheme="minorHAnsi" w:hAnsiTheme="minorHAnsi" w:cstheme="minorHAnsi"/>
          <w:color w:val="444444"/>
        </w:rPr>
        <w:t>. They must consider what the defence case may be, and how it is likely to affect the prospects of conviction. A case which does not pass the evidential stage must not proceed, no matter how serious or sensitive it may be.</w:t>
      </w:r>
    </w:p>
    <w:p w:rsidR="00B938B3" w:rsidRPr="001B7B7D" w:rsidRDefault="00B938B3" w:rsidP="009F41CA">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 xml:space="preserve">The finding that there is a realistic prospect of conviction is based on the prosecutor’s objective assessment of the evidence, including the impact of any defence and any other information that the suspect has put forward or on which they might rely. It means that an objective, impartial and reasonable jury or bench of magistrates or judge hearing a case alone, properly directed and acting in accordance with the law, is more likely than not to convict the </w:t>
      </w:r>
      <w:r w:rsidRPr="001B7B7D">
        <w:rPr>
          <w:rFonts w:asciiTheme="minorHAnsi" w:hAnsiTheme="minorHAnsi" w:cstheme="minorHAnsi"/>
          <w:color w:val="444444"/>
        </w:rPr>
        <w:lastRenderedPageBreak/>
        <w:t>defendant of the charge alleged. This is a different test from the one that the criminal courts themselves must apply. A court may only convict if it is su</w:t>
      </w:r>
      <w:r w:rsidR="009F41CA" w:rsidRPr="001B7B7D">
        <w:rPr>
          <w:rFonts w:asciiTheme="minorHAnsi" w:hAnsiTheme="minorHAnsi" w:cstheme="minorHAnsi"/>
          <w:color w:val="444444"/>
        </w:rPr>
        <w:t>re that the defendant is guilty – in essence, courts have a separate set of rules in which to conduct themselves.</w:t>
      </w:r>
    </w:p>
    <w:p w:rsidR="00B938B3" w:rsidRPr="001B7B7D" w:rsidRDefault="00B938B3" w:rsidP="00AD567F">
      <w:pPr>
        <w:pStyle w:val="NormalWeb"/>
        <w:shd w:val="clear" w:color="auto" w:fill="FFFFFF"/>
        <w:spacing w:before="240" w:beforeAutospacing="0" w:after="240" w:afterAutospacing="0" w:line="360" w:lineRule="atLeast"/>
        <w:jc w:val="both"/>
        <w:rPr>
          <w:rFonts w:asciiTheme="minorHAnsi" w:hAnsiTheme="minorHAnsi" w:cstheme="minorHAnsi"/>
          <w:color w:val="444444"/>
          <w:u w:val="single"/>
        </w:rPr>
      </w:pPr>
      <w:r w:rsidRPr="001B7B7D">
        <w:rPr>
          <w:rFonts w:asciiTheme="minorHAnsi" w:hAnsiTheme="minorHAnsi" w:cstheme="minorHAnsi"/>
          <w:color w:val="444444"/>
          <w:u w:val="single"/>
        </w:rPr>
        <w:t>When deciding whether there is sufficient evidence to prosecute, prosecutors should ask themselves the following:</w:t>
      </w:r>
    </w:p>
    <w:p w:rsidR="00B938B3" w:rsidRPr="001B7B7D" w:rsidRDefault="00B938B3" w:rsidP="009F41CA">
      <w:pPr>
        <w:pStyle w:val="Heading4"/>
        <w:shd w:val="clear" w:color="auto" w:fill="FFFFFF"/>
        <w:spacing w:before="0" w:beforeAutospacing="0"/>
        <w:jc w:val="both"/>
        <w:rPr>
          <w:rFonts w:asciiTheme="minorHAnsi" w:hAnsiTheme="minorHAnsi" w:cstheme="minorHAnsi"/>
          <w:b w:val="0"/>
        </w:rPr>
      </w:pPr>
      <w:r w:rsidRPr="001B7B7D">
        <w:rPr>
          <w:rFonts w:asciiTheme="minorHAnsi" w:hAnsiTheme="minorHAnsi" w:cstheme="minorHAnsi"/>
          <w:b w:val="0"/>
        </w:rPr>
        <w:t>Can the evidence be used in court?</w:t>
      </w:r>
    </w:p>
    <w:p w:rsidR="00B938B3" w:rsidRPr="001B7B7D" w:rsidRDefault="00B938B3" w:rsidP="009F41CA">
      <w:pPr>
        <w:pStyle w:val="Heading4"/>
        <w:shd w:val="clear" w:color="auto" w:fill="FFFFFF"/>
        <w:jc w:val="both"/>
        <w:rPr>
          <w:rFonts w:asciiTheme="minorHAnsi" w:hAnsiTheme="minorHAnsi" w:cstheme="minorHAnsi"/>
          <w:b w:val="0"/>
        </w:rPr>
      </w:pPr>
      <w:r w:rsidRPr="001B7B7D">
        <w:rPr>
          <w:rFonts w:asciiTheme="minorHAnsi" w:hAnsiTheme="minorHAnsi" w:cstheme="minorHAnsi"/>
          <w:b w:val="0"/>
        </w:rPr>
        <w:t>Is the evidence reliable?</w:t>
      </w:r>
    </w:p>
    <w:p w:rsidR="00B938B3" w:rsidRPr="001B7B7D" w:rsidRDefault="00B938B3" w:rsidP="009F41CA">
      <w:pPr>
        <w:pStyle w:val="Heading4"/>
        <w:shd w:val="clear" w:color="auto" w:fill="FFFFFF"/>
        <w:spacing w:before="0" w:beforeAutospacing="0"/>
        <w:jc w:val="both"/>
        <w:rPr>
          <w:rFonts w:asciiTheme="minorHAnsi" w:hAnsiTheme="minorHAnsi" w:cstheme="minorHAnsi"/>
          <w:b w:val="0"/>
        </w:rPr>
      </w:pPr>
      <w:r w:rsidRPr="001B7B7D">
        <w:rPr>
          <w:rFonts w:asciiTheme="minorHAnsi" w:hAnsiTheme="minorHAnsi" w:cstheme="minorHAnsi"/>
          <w:b w:val="0"/>
        </w:rPr>
        <w:t>Is the evidence credible?</w:t>
      </w:r>
    </w:p>
    <w:p w:rsidR="00B938B3" w:rsidRPr="001B7B7D" w:rsidRDefault="00B938B3" w:rsidP="009F41CA">
      <w:pPr>
        <w:pStyle w:val="Heading4"/>
        <w:shd w:val="clear" w:color="auto" w:fill="FFFFFF"/>
        <w:spacing w:before="0" w:beforeAutospacing="0"/>
        <w:jc w:val="both"/>
        <w:rPr>
          <w:rFonts w:asciiTheme="minorHAnsi" w:hAnsiTheme="minorHAnsi" w:cstheme="minorHAnsi"/>
          <w:b w:val="0"/>
        </w:rPr>
      </w:pPr>
      <w:r w:rsidRPr="001B7B7D">
        <w:rPr>
          <w:rFonts w:asciiTheme="minorHAnsi" w:hAnsiTheme="minorHAnsi" w:cstheme="minorHAnsi"/>
          <w:b w:val="0"/>
        </w:rPr>
        <w:t>Is there any other material that might affect the sufficiency of evidence?</w:t>
      </w:r>
    </w:p>
    <w:p w:rsidR="00B938B3" w:rsidRPr="001B7B7D" w:rsidRDefault="00B938B3" w:rsidP="009F41CA">
      <w:pPr>
        <w:pStyle w:val="Heading3"/>
        <w:shd w:val="clear" w:color="auto" w:fill="FFFFFF"/>
        <w:spacing w:before="0" w:beforeAutospacing="0"/>
        <w:jc w:val="both"/>
        <w:rPr>
          <w:rFonts w:asciiTheme="minorHAnsi" w:hAnsiTheme="minorHAnsi" w:cstheme="minorHAnsi"/>
          <w:b w:val="0"/>
          <w:sz w:val="24"/>
          <w:szCs w:val="24"/>
        </w:rPr>
      </w:pPr>
      <w:r w:rsidRPr="001B7B7D">
        <w:rPr>
          <w:rFonts w:asciiTheme="minorHAnsi" w:hAnsiTheme="minorHAnsi" w:cstheme="minorHAnsi"/>
          <w:b w:val="0"/>
          <w:sz w:val="24"/>
          <w:szCs w:val="24"/>
        </w:rPr>
        <w:t>The Public Interest Stage</w:t>
      </w:r>
    </w:p>
    <w:p w:rsidR="00B938B3" w:rsidRPr="001B7B7D" w:rsidRDefault="00B938B3" w:rsidP="00AD567F">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In every case where there is sufficient evidence to justify a prosecution or to offer an out-of-court disposal, prosecutors must go on to consider whether a prosecution is required in the public interest.</w:t>
      </w:r>
    </w:p>
    <w:p w:rsidR="00AD567F" w:rsidRPr="001B7B7D" w:rsidRDefault="00B938B3" w:rsidP="00AD567F">
      <w:pPr>
        <w:pStyle w:val="NormalWeb"/>
        <w:shd w:val="clear" w:color="auto" w:fill="FFFFFF"/>
        <w:spacing w:before="240" w:beforeAutospacing="0" w:after="240" w:afterAutospacing="0" w:line="360" w:lineRule="atLeast"/>
        <w:jc w:val="both"/>
        <w:rPr>
          <w:rFonts w:asciiTheme="minorHAnsi" w:hAnsiTheme="minorHAnsi" w:cstheme="minorHAnsi"/>
          <w:color w:val="444444"/>
        </w:rPr>
      </w:pPr>
      <w:r w:rsidRPr="001B7B7D">
        <w:rPr>
          <w:rFonts w:asciiTheme="minorHAnsi" w:hAnsiTheme="minorHAnsi" w:cstheme="minorHAnsi"/>
          <w:color w:val="444444"/>
        </w:rPr>
        <w:t>It has never been the rule that a prosecution will automatically take place once the evidential stage is met. A prosecution will usually take place unless the prosecutor is satisfied that there are public interest factors tending against prosecution which o</w:t>
      </w:r>
      <w:r w:rsidR="00AD567F" w:rsidRPr="001B7B7D">
        <w:rPr>
          <w:rFonts w:asciiTheme="minorHAnsi" w:hAnsiTheme="minorHAnsi" w:cstheme="minorHAnsi"/>
          <w:color w:val="444444"/>
        </w:rPr>
        <w:t>utweigh those tending in favour – remember the gravity score on the matrix, and if something can be settled out of court, then there is the greater chance it will be, which may well be within the public interest.</w:t>
      </w:r>
    </w:p>
    <w:p w:rsidR="00B938B3" w:rsidRPr="001B7B7D" w:rsidRDefault="00B938B3" w:rsidP="00B938B3">
      <w:pPr>
        <w:pStyle w:val="NormalWeb"/>
        <w:shd w:val="clear" w:color="auto" w:fill="FFFFFF"/>
        <w:spacing w:before="240" w:beforeAutospacing="0" w:after="240" w:afterAutospacing="0" w:line="360" w:lineRule="atLeast"/>
        <w:rPr>
          <w:rFonts w:asciiTheme="minorHAnsi" w:hAnsiTheme="minorHAnsi" w:cstheme="minorHAnsi"/>
          <w:color w:val="444444"/>
          <w:u w:val="single"/>
        </w:rPr>
      </w:pPr>
      <w:r w:rsidRPr="001B7B7D">
        <w:rPr>
          <w:rFonts w:asciiTheme="minorHAnsi" w:hAnsiTheme="minorHAnsi" w:cstheme="minorHAnsi"/>
          <w:color w:val="444444"/>
          <w:u w:val="single"/>
        </w:rPr>
        <w:t>Prosecutors should consider each of the following questions:</w:t>
      </w:r>
    </w:p>
    <w:p w:rsidR="00B938B3" w:rsidRPr="001B7B7D" w:rsidRDefault="00B938B3" w:rsidP="00B938B3">
      <w:pPr>
        <w:pStyle w:val="Heading4"/>
        <w:shd w:val="clear" w:color="auto" w:fill="FFFFFF"/>
        <w:spacing w:before="0" w:beforeAutospacing="0"/>
        <w:rPr>
          <w:rFonts w:asciiTheme="minorHAnsi" w:hAnsiTheme="minorHAnsi" w:cstheme="minorHAnsi"/>
        </w:rPr>
      </w:pPr>
      <w:r w:rsidRPr="001B7B7D">
        <w:rPr>
          <w:rFonts w:asciiTheme="minorHAnsi" w:hAnsiTheme="minorHAnsi" w:cstheme="minorHAnsi"/>
        </w:rPr>
        <w:t>a. How serious is the offence committed?</w:t>
      </w:r>
    </w:p>
    <w:p w:rsidR="00B938B3" w:rsidRPr="001B7B7D" w:rsidRDefault="00B938B3" w:rsidP="00B938B3">
      <w:pPr>
        <w:pStyle w:val="Heading4"/>
        <w:shd w:val="clear" w:color="auto" w:fill="FFFFFF"/>
        <w:rPr>
          <w:rFonts w:asciiTheme="minorHAnsi" w:hAnsiTheme="minorHAnsi" w:cstheme="minorHAnsi"/>
        </w:rPr>
      </w:pPr>
      <w:r w:rsidRPr="001B7B7D">
        <w:rPr>
          <w:rFonts w:asciiTheme="minorHAnsi" w:hAnsiTheme="minorHAnsi" w:cstheme="minorHAnsi"/>
        </w:rPr>
        <w:t>b) What is the level of culpability of the suspect?</w:t>
      </w:r>
    </w:p>
    <w:p w:rsidR="00B938B3" w:rsidRPr="001B7B7D" w:rsidRDefault="00B938B3" w:rsidP="00B938B3">
      <w:pPr>
        <w:pStyle w:val="Heading4"/>
        <w:shd w:val="clear" w:color="auto" w:fill="FFFFFF"/>
        <w:rPr>
          <w:rFonts w:asciiTheme="minorHAnsi" w:hAnsiTheme="minorHAnsi" w:cstheme="minorHAnsi"/>
        </w:rPr>
      </w:pPr>
      <w:r w:rsidRPr="001B7B7D">
        <w:rPr>
          <w:rFonts w:asciiTheme="minorHAnsi" w:hAnsiTheme="minorHAnsi" w:cstheme="minorHAnsi"/>
        </w:rPr>
        <w:t>c) What are the circumstances of and the harm caused to the victim?</w:t>
      </w:r>
    </w:p>
    <w:p w:rsidR="00B938B3" w:rsidRPr="001B7B7D" w:rsidRDefault="00B938B3" w:rsidP="00B938B3">
      <w:pPr>
        <w:pStyle w:val="Heading4"/>
        <w:shd w:val="clear" w:color="auto" w:fill="FFFFFF"/>
        <w:rPr>
          <w:rFonts w:asciiTheme="minorHAnsi" w:hAnsiTheme="minorHAnsi" w:cstheme="minorHAnsi"/>
        </w:rPr>
      </w:pPr>
      <w:r w:rsidRPr="001B7B7D">
        <w:rPr>
          <w:rFonts w:asciiTheme="minorHAnsi" w:hAnsiTheme="minorHAnsi" w:cstheme="minorHAnsi"/>
        </w:rPr>
        <w:t>d) What was the suspect’s age and maturity at the time of the offence?</w:t>
      </w:r>
    </w:p>
    <w:p w:rsidR="00B938B3" w:rsidRPr="001B7B7D" w:rsidRDefault="00B938B3" w:rsidP="00B938B3">
      <w:pPr>
        <w:pStyle w:val="Heading4"/>
        <w:shd w:val="clear" w:color="auto" w:fill="FFFFFF"/>
        <w:spacing w:before="0" w:beforeAutospacing="0"/>
        <w:rPr>
          <w:rFonts w:asciiTheme="minorHAnsi" w:hAnsiTheme="minorHAnsi" w:cstheme="minorHAnsi"/>
        </w:rPr>
      </w:pPr>
      <w:r w:rsidRPr="001B7B7D">
        <w:rPr>
          <w:rFonts w:asciiTheme="minorHAnsi" w:hAnsiTheme="minorHAnsi" w:cstheme="minorHAnsi"/>
        </w:rPr>
        <w:t>e) What is the impact on the community?</w:t>
      </w:r>
    </w:p>
    <w:p w:rsidR="00AD567F" w:rsidRPr="001B7B7D" w:rsidRDefault="00B938B3" w:rsidP="00AD567F">
      <w:pPr>
        <w:pStyle w:val="Heading4"/>
        <w:shd w:val="clear" w:color="auto" w:fill="FFFFFF"/>
        <w:rPr>
          <w:rFonts w:asciiTheme="minorHAnsi" w:hAnsiTheme="minorHAnsi" w:cstheme="minorHAnsi"/>
        </w:rPr>
      </w:pPr>
      <w:r w:rsidRPr="001B7B7D">
        <w:rPr>
          <w:rFonts w:asciiTheme="minorHAnsi" w:hAnsiTheme="minorHAnsi" w:cstheme="minorHAnsi"/>
        </w:rPr>
        <w:t>f) Is prosecution a proportionate response? Do sources of information require protecting?</w:t>
      </w:r>
    </w:p>
    <w:p w:rsidR="00AD567F" w:rsidRPr="001B7B7D" w:rsidRDefault="00AD567F" w:rsidP="00AD567F">
      <w:pPr>
        <w:pStyle w:val="Heading4"/>
        <w:shd w:val="clear" w:color="auto" w:fill="FFFFFF"/>
        <w:rPr>
          <w:rFonts w:asciiTheme="minorHAnsi" w:hAnsiTheme="minorHAnsi" w:cstheme="minorHAnsi"/>
          <w:color w:val="005DAA"/>
        </w:rPr>
      </w:pPr>
    </w:p>
    <w:p w:rsidR="00AD567F" w:rsidRPr="001B7B7D" w:rsidRDefault="00AD567F" w:rsidP="00AD567F">
      <w:pPr>
        <w:pStyle w:val="Heading4"/>
        <w:shd w:val="clear" w:color="auto" w:fill="FFFFFF"/>
        <w:rPr>
          <w:rFonts w:asciiTheme="minorHAnsi" w:hAnsiTheme="minorHAnsi" w:cstheme="minorHAnsi"/>
          <w:color w:val="005DAA"/>
        </w:rPr>
      </w:pPr>
    </w:p>
    <w:p w:rsidR="00AD567F" w:rsidRPr="001B7B7D" w:rsidRDefault="00AD567F" w:rsidP="00AD567F">
      <w:pPr>
        <w:pStyle w:val="Heading4"/>
        <w:shd w:val="clear" w:color="auto" w:fill="FFFFFF"/>
        <w:rPr>
          <w:rFonts w:asciiTheme="minorHAnsi" w:hAnsiTheme="minorHAnsi" w:cstheme="minorHAnsi"/>
          <w:color w:val="005DAA"/>
        </w:rPr>
      </w:pPr>
    </w:p>
    <w:p w:rsidR="006C557C" w:rsidRPr="001B7B7D" w:rsidRDefault="00B938B3" w:rsidP="00B938B3">
      <w:pPr>
        <w:rPr>
          <w:rFonts w:cstheme="minorHAnsi"/>
          <w:b/>
          <w:sz w:val="24"/>
          <w:szCs w:val="24"/>
        </w:rPr>
      </w:pPr>
      <w:r w:rsidRPr="001B7B7D">
        <w:rPr>
          <w:rFonts w:cstheme="minorHAnsi"/>
          <w:b/>
          <w:sz w:val="24"/>
          <w:szCs w:val="24"/>
        </w:rPr>
        <w:t>The Threshold Test and conditions underpinning it</w:t>
      </w:r>
    </w:p>
    <w:p w:rsidR="00B938B3" w:rsidRPr="001B7B7D" w:rsidRDefault="00B938B3" w:rsidP="00AD567F">
      <w:pPr>
        <w:shd w:val="clear" w:color="auto" w:fill="FFFFFF"/>
        <w:spacing w:after="100" w:afterAutospacing="1" w:line="240" w:lineRule="auto"/>
        <w:jc w:val="both"/>
        <w:outlineLvl w:val="3"/>
        <w:rPr>
          <w:rFonts w:eastAsia="Times New Roman" w:cstheme="minorHAnsi"/>
          <w:b/>
          <w:bCs/>
          <w:sz w:val="24"/>
          <w:szCs w:val="24"/>
          <w:lang w:eastAsia="en-GB"/>
        </w:rPr>
      </w:pPr>
      <w:r w:rsidRPr="001B7B7D">
        <w:rPr>
          <w:rFonts w:eastAsia="Times New Roman" w:cstheme="minorHAnsi"/>
          <w:b/>
          <w:bCs/>
          <w:sz w:val="24"/>
          <w:szCs w:val="24"/>
          <w:lang w:eastAsia="en-GB"/>
        </w:rPr>
        <w:t>First condition - There are reasonable grounds to suspect that the person to be charged has committed the offence</w:t>
      </w:r>
    </w:p>
    <w:p w:rsidR="00AD567F" w:rsidRPr="001B7B7D" w:rsidRDefault="00B938B3" w:rsidP="00AD567F">
      <w:pPr>
        <w:shd w:val="clear" w:color="auto" w:fill="FFFFFF"/>
        <w:spacing w:before="240" w:after="240"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 xml:space="preserve">Prosecutors must be satisfied, on an objective assessment of the evidence, that there are reasonable grounds to suspect that the person to be charged has committed the offence. </w:t>
      </w:r>
    </w:p>
    <w:p w:rsidR="00B938B3" w:rsidRPr="001B7B7D" w:rsidRDefault="00B938B3" w:rsidP="00AD567F">
      <w:pPr>
        <w:shd w:val="clear" w:color="auto" w:fill="FFFFFF"/>
        <w:spacing w:before="240" w:after="240"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In determining whether there are reasonable grounds to suspect, prosecutors must consider all of the material or information available, whether in evidential format or otherwise. Prosecutors must be satisfied that the material to be relied on at this stage is capable of being:</w:t>
      </w:r>
    </w:p>
    <w:p w:rsidR="00B938B3" w:rsidRPr="001B7B7D" w:rsidRDefault="00B938B3" w:rsidP="00B938B3">
      <w:pPr>
        <w:numPr>
          <w:ilvl w:val="0"/>
          <w:numId w:val="1"/>
        </w:numPr>
        <w:shd w:val="clear" w:color="auto" w:fill="FFFFFF"/>
        <w:spacing w:before="100" w:beforeAutospacing="1" w:after="100" w:afterAutospacing="1" w:line="360" w:lineRule="atLeast"/>
        <w:rPr>
          <w:rFonts w:eastAsia="Times New Roman" w:cstheme="minorHAnsi"/>
          <w:color w:val="444444"/>
          <w:sz w:val="24"/>
          <w:szCs w:val="24"/>
          <w:lang w:eastAsia="en-GB"/>
        </w:rPr>
      </w:pPr>
      <w:r w:rsidRPr="001B7B7D">
        <w:rPr>
          <w:rFonts w:eastAsia="Times New Roman" w:cstheme="minorHAnsi"/>
          <w:color w:val="444444"/>
          <w:sz w:val="24"/>
          <w:szCs w:val="24"/>
          <w:lang w:eastAsia="en-GB"/>
        </w:rPr>
        <w:t>put into an admissible format for presentation in court;</w:t>
      </w:r>
    </w:p>
    <w:p w:rsidR="00B938B3" w:rsidRPr="001B7B7D" w:rsidRDefault="00B938B3" w:rsidP="00B938B3">
      <w:pPr>
        <w:numPr>
          <w:ilvl w:val="0"/>
          <w:numId w:val="1"/>
        </w:numPr>
        <w:shd w:val="clear" w:color="auto" w:fill="FFFFFF"/>
        <w:spacing w:before="100" w:beforeAutospacing="1" w:after="100" w:afterAutospacing="1" w:line="360" w:lineRule="atLeast"/>
        <w:rPr>
          <w:rFonts w:eastAsia="Times New Roman" w:cstheme="minorHAnsi"/>
          <w:color w:val="444444"/>
          <w:sz w:val="24"/>
          <w:szCs w:val="24"/>
          <w:lang w:eastAsia="en-GB"/>
        </w:rPr>
      </w:pPr>
      <w:r w:rsidRPr="001B7B7D">
        <w:rPr>
          <w:rFonts w:eastAsia="Times New Roman" w:cstheme="minorHAnsi"/>
          <w:color w:val="444444"/>
          <w:sz w:val="24"/>
          <w:szCs w:val="24"/>
          <w:lang w:eastAsia="en-GB"/>
        </w:rPr>
        <w:t>reliable; and</w:t>
      </w:r>
    </w:p>
    <w:p w:rsidR="00B938B3" w:rsidRPr="001B7B7D" w:rsidRDefault="00B938B3" w:rsidP="00B938B3">
      <w:pPr>
        <w:numPr>
          <w:ilvl w:val="0"/>
          <w:numId w:val="1"/>
        </w:numPr>
        <w:shd w:val="clear" w:color="auto" w:fill="FFFFFF"/>
        <w:spacing w:before="100" w:beforeAutospacing="1" w:after="100" w:afterAutospacing="1" w:line="360" w:lineRule="atLeast"/>
        <w:rPr>
          <w:rFonts w:eastAsia="Times New Roman" w:cstheme="minorHAnsi"/>
          <w:color w:val="444444"/>
          <w:sz w:val="24"/>
          <w:szCs w:val="24"/>
          <w:lang w:eastAsia="en-GB"/>
        </w:rPr>
      </w:pPr>
      <w:r w:rsidRPr="001B7B7D">
        <w:rPr>
          <w:rFonts w:eastAsia="Times New Roman" w:cstheme="minorHAnsi"/>
          <w:color w:val="444444"/>
          <w:sz w:val="24"/>
          <w:szCs w:val="24"/>
          <w:lang w:eastAsia="en-GB"/>
        </w:rPr>
        <w:t>credible.</w:t>
      </w:r>
    </w:p>
    <w:p w:rsidR="00B938B3" w:rsidRPr="001B7B7D" w:rsidRDefault="00B938B3" w:rsidP="00B938B3">
      <w:pPr>
        <w:shd w:val="clear" w:color="auto" w:fill="FFFFFF"/>
        <w:spacing w:after="100" w:afterAutospacing="1" w:line="240" w:lineRule="auto"/>
        <w:outlineLvl w:val="3"/>
        <w:rPr>
          <w:rFonts w:eastAsia="Times New Roman" w:cstheme="minorHAnsi"/>
          <w:b/>
          <w:bCs/>
          <w:color w:val="005DAA"/>
          <w:sz w:val="24"/>
          <w:szCs w:val="24"/>
          <w:lang w:eastAsia="en-GB"/>
        </w:rPr>
      </w:pPr>
      <w:r w:rsidRPr="001B7B7D">
        <w:rPr>
          <w:rFonts w:eastAsia="Times New Roman" w:cstheme="minorHAnsi"/>
          <w:b/>
          <w:bCs/>
          <w:color w:val="005DAA"/>
          <w:sz w:val="24"/>
          <w:szCs w:val="24"/>
          <w:lang w:eastAsia="en-GB"/>
        </w:rPr>
        <w:t>Second condition - Further evidence can be obtained to provide a realistic prospect of conviction</w:t>
      </w:r>
    </w:p>
    <w:p w:rsidR="00B938B3" w:rsidRPr="001B7B7D" w:rsidRDefault="00B938B3" w:rsidP="00AD567F">
      <w:pPr>
        <w:shd w:val="clear" w:color="auto" w:fill="FFFFFF"/>
        <w:spacing w:before="240" w:after="240"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Prosecutors must be satisfied that there are reasonable grounds to believe that the continuing investigation will provide further evidence, within a reasonable period of time, so that when all the evidence is considered together, including material which may point away from as well as towards a particular suspect, it is capable of establishing a realistic prospect of conviction in accordance with the Full Code Test.</w:t>
      </w:r>
    </w:p>
    <w:p w:rsidR="00B938B3" w:rsidRPr="001B7B7D" w:rsidRDefault="00B938B3" w:rsidP="00AD567F">
      <w:pPr>
        <w:shd w:val="clear" w:color="auto" w:fill="FFFFFF"/>
        <w:spacing w:before="240" w:after="240"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The likely further evidence must be identifiable and not merely speculative.</w:t>
      </w:r>
    </w:p>
    <w:p w:rsidR="00B938B3" w:rsidRPr="001B7B7D" w:rsidRDefault="00B938B3" w:rsidP="00AD567F">
      <w:pPr>
        <w:shd w:val="clear" w:color="auto" w:fill="FFFFFF"/>
        <w:spacing w:before="240" w:after="240"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In reaching this decision prosecutors must consider:</w:t>
      </w:r>
    </w:p>
    <w:p w:rsidR="00B938B3" w:rsidRPr="001B7B7D" w:rsidRDefault="00B938B3" w:rsidP="00AD567F">
      <w:pPr>
        <w:numPr>
          <w:ilvl w:val="0"/>
          <w:numId w:val="2"/>
        </w:numPr>
        <w:shd w:val="clear" w:color="auto" w:fill="FFFFFF"/>
        <w:spacing w:before="100" w:beforeAutospacing="1" w:after="100" w:afterAutospacing="1"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the nature, extent and admissibility of any likely further evidence and the impact it will have on the case;</w:t>
      </w:r>
    </w:p>
    <w:p w:rsidR="00B938B3" w:rsidRPr="001B7B7D" w:rsidRDefault="00B938B3" w:rsidP="00AD567F">
      <w:pPr>
        <w:numPr>
          <w:ilvl w:val="0"/>
          <w:numId w:val="2"/>
        </w:numPr>
        <w:shd w:val="clear" w:color="auto" w:fill="FFFFFF"/>
        <w:spacing w:before="100" w:beforeAutospacing="1" w:after="100" w:afterAutospacing="1"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the charges that all the evidence will support;</w:t>
      </w:r>
    </w:p>
    <w:p w:rsidR="00B938B3" w:rsidRPr="001B7B7D" w:rsidRDefault="00B938B3" w:rsidP="00AD567F">
      <w:pPr>
        <w:numPr>
          <w:ilvl w:val="0"/>
          <w:numId w:val="2"/>
        </w:numPr>
        <w:shd w:val="clear" w:color="auto" w:fill="FFFFFF"/>
        <w:spacing w:before="100" w:beforeAutospacing="1" w:after="100" w:afterAutospacing="1"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the reasons why the evidence is not already available;</w:t>
      </w:r>
    </w:p>
    <w:p w:rsidR="00B938B3" w:rsidRPr="001B7B7D" w:rsidRDefault="00B938B3" w:rsidP="00AD567F">
      <w:pPr>
        <w:numPr>
          <w:ilvl w:val="0"/>
          <w:numId w:val="2"/>
        </w:numPr>
        <w:shd w:val="clear" w:color="auto" w:fill="FFFFFF"/>
        <w:spacing w:before="100" w:beforeAutospacing="1" w:after="100" w:afterAutospacing="1"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the time required to obtain the further evidence, including whether it could be obtained within any available detention period;</w:t>
      </w:r>
    </w:p>
    <w:p w:rsidR="00E35677" w:rsidRPr="001B7B7D" w:rsidRDefault="00B938B3" w:rsidP="00E35677">
      <w:pPr>
        <w:numPr>
          <w:ilvl w:val="0"/>
          <w:numId w:val="2"/>
        </w:numPr>
        <w:shd w:val="clear" w:color="auto" w:fill="FFFFFF"/>
        <w:spacing w:before="100" w:beforeAutospacing="1" w:after="100" w:afterAutospacing="1"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whether the delay in applying the Full Code Test is reasonable in all the circumstances.</w:t>
      </w:r>
    </w:p>
    <w:p w:rsidR="00B938B3" w:rsidRPr="001B7B7D" w:rsidRDefault="00B938B3" w:rsidP="00E35677">
      <w:pPr>
        <w:shd w:val="clear" w:color="auto" w:fill="FFFFFF"/>
        <w:spacing w:before="100" w:beforeAutospacing="1" w:after="100" w:afterAutospacing="1" w:line="360" w:lineRule="atLeast"/>
        <w:jc w:val="both"/>
        <w:rPr>
          <w:rFonts w:eastAsia="Times New Roman" w:cstheme="minorHAnsi"/>
          <w:color w:val="444444"/>
          <w:sz w:val="24"/>
          <w:szCs w:val="24"/>
          <w:lang w:eastAsia="en-GB"/>
        </w:rPr>
      </w:pPr>
      <w:r w:rsidRPr="001B7B7D">
        <w:rPr>
          <w:rFonts w:eastAsia="Times New Roman" w:cstheme="minorHAnsi"/>
          <w:b/>
          <w:bCs/>
          <w:color w:val="005DAA"/>
          <w:sz w:val="24"/>
          <w:szCs w:val="24"/>
          <w:lang w:eastAsia="en-GB"/>
        </w:rPr>
        <w:t>Third condition - The seriousness or the circumstances of the case justifies the making of an immediate charging decision</w:t>
      </w:r>
    </w:p>
    <w:p w:rsidR="00B938B3" w:rsidRPr="001B7B7D" w:rsidRDefault="00B938B3" w:rsidP="00B938B3">
      <w:pPr>
        <w:shd w:val="clear" w:color="auto" w:fill="FFFFFF"/>
        <w:spacing w:before="240" w:after="240" w:line="360" w:lineRule="atLeast"/>
        <w:rPr>
          <w:rFonts w:eastAsia="Times New Roman" w:cstheme="minorHAnsi"/>
          <w:color w:val="444444"/>
          <w:sz w:val="24"/>
          <w:szCs w:val="24"/>
          <w:lang w:eastAsia="en-GB"/>
        </w:rPr>
      </w:pPr>
      <w:r w:rsidRPr="001B7B7D">
        <w:rPr>
          <w:rFonts w:eastAsia="Times New Roman" w:cstheme="minorHAnsi"/>
          <w:color w:val="444444"/>
          <w:sz w:val="24"/>
          <w:szCs w:val="24"/>
          <w:lang w:eastAsia="en-GB"/>
        </w:rPr>
        <w:lastRenderedPageBreak/>
        <w:t>The seriousness and the circumstances of the case should be assessed in relation to the alleged offending and should be linked to the level of risk created by gr</w:t>
      </w:r>
      <w:r w:rsidR="00E35677" w:rsidRPr="001B7B7D">
        <w:rPr>
          <w:rFonts w:eastAsia="Times New Roman" w:cstheme="minorHAnsi"/>
          <w:color w:val="444444"/>
          <w:sz w:val="24"/>
          <w:szCs w:val="24"/>
          <w:lang w:eastAsia="en-GB"/>
        </w:rPr>
        <w:t>anting bail – again, the gravity score will come into place</w:t>
      </w:r>
    </w:p>
    <w:p w:rsidR="00B938B3" w:rsidRPr="001B7B7D" w:rsidRDefault="00B938B3" w:rsidP="00B938B3">
      <w:pPr>
        <w:shd w:val="clear" w:color="auto" w:fill="FFFFFF"/>
        <w:spacing w:after="100" w:afterAutospacing="1" w:line="240" w:lineRule="auto"/>
        <w:outlineLvl w:val="3"/>
        <w:rPr>
          <w:rFonts w:eastAsia="Times New Roman" w:cstheme="minorHAnsi"/>
          <w:b/>
          <w:bCs/>
          <w:color w:val="005DAA"/>
          <w:sz w:val="24"/>
          <w:szCs w:val="24"/>
          <w:lang w:eastAsia="en-GB"/>
        </w:rPr>
      </w:pPr>
      <w:r w:rsidRPr="001B7B7D">
        <w:rPr>
          <w:rFonts w:eastAsia="Times New Roman" w:cstheme="minorHAnsi"/>
          <w:b/>
          <w:bCs/>
          <w:color w:val="005DAA"/>
          <w:sz w:val="24"/>
          <w:szCs w:val="24"/>
          <w:lang w:eastAsia="en-GB"/>
        </w:rPr>
        <w:t>Fourth condition - There are continuing substantial grounds to object to bail in accordance with the Bail Act 1976 and in all the circumstances of the case it is proper to do so</w:t>
      </w:r>
    </w:p>
    <w:p w:rsidR="00B938B3" w:rsidRPr="001B7B7D" w:rsidRDefault="00B938B3" w:rsidP="00E35677">
      <w:pPr>
        <w:shd w:val="clear" w:color="auto" w:fill="FFFFFF"/>
        <w:spacing w:before="240" w:after="240" w:line="360" w:lineRule="atLeast"/>
        <w:jc w:val="both"/>
        <w:rPr>
          <w:rFonts w:eastAsia="Times New Roman" w:cstheme="minorHAnsi"/>
          <w:color w:val="444444"/>
          <w:sz w:val="24"/>
          <w:szCs w:val="24"/>
          <w:lang w:eastAsia="en-GB"/>
        </w:rPr>
      </w:pPr>
      <w:r w:rsidRPr="001B7B7D">
        <w:rPr>
          <w:rFonts w:eastAsia="Times New Roman" w:cstheme="minorHAnsi"/>
          <w:color w:val="444444"/>
          <w:sz w:val="24"/>
          <w:szCs w:val="24"/>
          <w:lang w:eastAsia="en-GB"/>
        </w:rPr>
        <w:t xml:space="preserve">This determination must be based on a proper risk assessment, which reveals that the suspect is not suitable to be bailed, even with substantial conditions. </w:t>
      </w:r>
    </w:p>
    <w:p w:rsidR="00B938B3" w:rsidRPr="001B7B7D" w:rsidRDefault="00B938B3" w:rsidP="00B938B3">
      <w:pPr>
        <w:shd w:val="clear" w:color="auto" w:fill="FFFFFF"/>
        <w:spacing w:after="100" w:afterAutospacing="1" w:line="240" w:lineRule="auto"/>
        <w:outlineLvl w:val="3"/>
        <w:rPr>
          <w:rFonts w:eastAsia="Times New Roman" w:cstheme="minorHAnsi"/>
          <w:b/>
          <w:bCs/>
          <w:color w:val="005DAA"/>
          <w:sz w:val="24"/>
          <w:szCs w:val="24"/>
          <w:lang w:eastAsia="en-GB"/>
        </w:rPr>
      </w:pPr>
      <w:r w:rsidRPr="001B7B7D">
        <w:rPr>
          <w:rFonts w:eastAsia="Times New Roman" w:cstheme="minorHAnsi"/>
          <w:b/>
          <w:bCs/>
          <w:color w:val="005DAA"/>
          <w:sz w:val="24"/>
          <w:szCs w:val="24"/>
          <w:lang w:eastAsia="en-GB"/>
        </w:rPr>
        <w:t>Fifth condition - It is in the public interest to charge the suspect</w:t>
      </w:r>
    </w:p>
    <w:p w:rsidR="00B938B3" w:rsidRPr="001B7B7D" w:rsidRDefault="00B938B3" w:rsidP="00B938B3">
      <w:pPr>
        <w:shd w:val="clear" w:color="auto" w:fill="FFFFFF"/>
        <w:spacing w:before="240" w:after="240" w:line="360" w:lineRule="atLeast"/>
        <w:rPr>
          <w:rFonts w:eastAsia="Times New Roman" w:cstheme="minorHAnsi"/>
          <w:color w:val="444444"/>
          <w:sz w:val="24"/>
          <w:szCs w:val="24"/>
          <w:lang w:eastAsia="en-GB"/>
        </w:rPr>
      </w:pPr>
      <w:r w:rsidRPr="001B7B7D">
        <w:rPr>
          <w:rFonts w:eastAsia="Times New Roman" w:cstheme="minorHAnsi"/>
          <w:color w:val="444444"/>
          <w:sz w:val="24"/>
          <w:szCs w:val="24"/>
          <w:lang w:eastAsia="en-GB"/>
        </w:rPr>
        <w:t>Prosecutors must apply the public interest stage of the Full Code Test based on the information available at that time.</w:t>
      </w:r>
    </w:p>
    <w:p w:rsidR="00B938B3" w:rsidRPr="001B7B7D" w:rsidRDefault="00B938B3" w:rsidP="00B938B3">
      <w:pPr>
        <w:shd w:val="clear" w:color="auto" w:fill="FFFFFF"/>
        <w:spacing w:after="100" w:afterAutospacing="1" w:line="240" w:lineRule="auto"/>
        <w:outlineLvl w:val="2"/>
        <w:rPr>
          <w:rFonts w:eastAsia="Times New Roman" w:cstheme="minorHAnsi"/>
          <w:b/>
          <w:bCs/>
          <w:color w:val="005DAA"/>
          <w:sz w:val="24"/>
          <w:szCs w:val="24"/>
          <w:lang w:eastAsia="en-GB"/>
        </w:rPr>
      </w:pPr>
      <w:r w:rsidRPr="001B7B7D">
        <w:rPr>
          <w:rFonts w:eastAsia="Times New Roman" w:cstheme="minorHAnsi"/>
          <w:b/>
          <w:bCs/>
          <w:color w:val="005DAA"/>
          <w:sz w:val="24"/>
          <w:szCs w:val="24"/>
          <w:lang w:eastAsia="en-GB"/>
        </w:rPr>
        <w:t>Reviewing the Threshold Test</w:t>
      </w:r>
    </w:p>
    <w:p w:rsidR="00B938B3" w:rsidRPr="001B7B7D" w:rsidRDefault="00B938B3" w:rsidP="00B938B3">
      <w:pPr>
        <w:shd w:val="clear" w:color="auto" w:fill="FFFFFF"/>
        <w:spacing w:before="240" w:after="240" w:line="360" w:lineRule="atLeast"/>
        <w:rPr>
          <w:rFonts w:eastAsia="Times New Roman" w:cstheme="minorHAnsi"/>
          <w:color w:val="444444"/>
          <w:sz w:val="24"/>
          <w:szCs w:val="24"/>
          <w:lang w:eastAsia="en-GB"/>
        </w:rPr>
      </w:pPr>
      <w:r w:rsidRPr="001B7B7D">
        <w:rPr>
          <w:rFonts w:eastAsia="Times New Roman" w:cstheme="minorHAnsi"/>
          <w:color w:val="444444"/>
          <w:sz w:val="24"/>
          <w:szCs w:val="24"/>
          <w:lang w:eastAsia="en-GB"/>
        </w:rPr>
        <w:t>A decision to charge under the Threshold Test must be kept under review. The prosecutor should be proactive to secure from the police the identified outstanding evidence or other material in accordance with an agreed timetable. The Full Code Test must be applied as soon as the anticipated further evidence or material is received and, in any event, in Crown Court cases, usually before the formal service of the prosecution case</w:t>
      </w:r>
    </w:p>
    <w:p w:rsidR="00B938B3" w:rsidRPr="001B7B7D" w:rsidRDefault="00B938B3" w:rsidP="00B938B3">
      <w:pPr>
        <w:rPr>
          <w:rFonts w:cstheme="minorHAnsi"/>
          <w:sz w:val="24"/>
          <w:szCs w:val="24"/>
        </w:rPr>
      </w:pPr>
    </w:p>
    <w:sectPr w:rsidR="00B938B3" w:rsidRPr="001B7B7D" w:rsidSect="001B7B7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85A" w:rsidRDefault="00C9685A" w:rsidP="00C9685A">
      <w:pPr>
        <w:spacing w:after="0" w:line="240" w:lineRule="auto"/>
      </w:pPr>
      <w:r>
        <w:separator/>
      </w:r>
    </w:p>
  </w:endnote>
  <w:endnote w:type="continuationSeparator" w:id="0">
    <w:p w:rsidR="00C9685A" w:rsidRDefault="00C9685A" w:rsidP="00C96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B7D" w:rsidRDefault="001B7B7D" w:rsidP="001B7B7D">
    <w:pPr>
      <w:pStyle w:val="Footer"/>
      <w:rPr>
        <w:color w:val="000000"/>
        <w:sz w:val="17"/>
        <w:szCs w:val="18"/>
      </w:rPr>
    </w:pPr>
    <w:bookmarkStart w:id="3" w:name="TITUS1FooterEvenPages"/>
    <w:r w:rsidRPr="001B7B7D">
      <w:rPr>
        <w:color w:val="000000"/>
        <w:sz w:val="17"/>
        <w:szCs w:val="18"/>
      </w:rPr>
      <w:t> </w:t>
    </w:r>
  </w:p>
  <w:bookmarkEnd w:id="3"/>
  <w:p w:rsidR="001B7B7D" w:rsidRDefault="001B7B7D" w:rsidP="001B7B7D">
    <w:pPr>
      <w:pStyle w:val="Footer"/>
      <w:rPr>
        <w:sz w:val="18"/>
        <w:szCs w:val="18"/>
      </w:rPr>
    </w:pPr>
    <w:r w:rsidRPr="001B7B7D">
      <w:rPr>
        <w:sz w:val="18"/>
        <w:szCs w:val="18"/>
      </w:rPr>
      <w:t>SN3514</w:t>
    </w:r>
    <w:r>
      <w:rPr>
        <w:sz w:val="18"/>
        <w:szCs w:val="18"/>
      </w:rPr>
      <w:t xml:space="preserve">                                                                                     Version 2.0</w:t>
    </w:r>
  </w:p>
  <w:p w:rsidR="001B7B7D" w:rsidRPr="001B7B7D" w:rsidRDefault="001B7B7D" w:rsidP="001B7B7D">
    <w:pPr>
      <w:pStyle w:val="Footer"/>
      <w:rPr>
        <w:sz w:val="18"/>
        <w:szCs w:val="18"/>
      </w:rPr>
    </w:pPr>
    <w:r>
      <w:rPr>
        <w:sz w:val="18"/>
        <w:szCs w:val="18"/>
      </w:rPr>
      <w:t>August 2021</w:t>
    </w:r>
  </w:p>
  <w:p w:rsidR="00470316" w:rsidRPr="001B7B7D" w:rsidRDefault="00470316">
    <w:pPr>
      <w:pStyle w:val="Foo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B7D" w:rsidRDefault="001B7B7D" w:rsidP="001B7B7D">
    <w:pPr>
      <w:pStyle w:val="Footer"/>
      <w:rPr>
        <w:color w:val="000000"/>
        <w:sz w:val="17"/>
        <w:szCs w:val="18"/>
      </w:rPr>
    </w:pPr>
    <w:bookmarkStart w:id="4" w:name="TITUS1FooterPrimary"/>
    <w:r w:rsidRPr="001B7B7D">
      <w:rPr>
        <w:color w:val="000000"/>
        <w:sz w:val="17"/>
        <w:szCs w:val="18"/>
      </w:rPr>
      <w:t> </w:t>
    </w:r>
  </w:p>
  <w:bookmarkEnd w:id="4"/>
  <w:p w:rsidR="00470316" w:rsidRDefault="001B7B7D" w:rsidP="001B7B7D">
    <w:pPr>
      <w:pStyle w:val="Footer"/>
      <w:rPr>
        <w:sz w:val="18"/>
        <w:szCs w:val="18"/>
      </w:rPr>
    </w:pPr>
    <w:r w:rsidRPr="001B7B7D">
      <w:rPr>
        <w:sz w:val="18"/>
        <w:szCs w:val="18"/>
      </w:rPr>
      <w:t>SN3514</w:t>
    </w:r>
    <w:r>
      <w:rPr>
        <w:sz w:val="18"/>
        <w:szCs w:val="18"/>
      </w:rPr>
      <w:t xml:space="preserve">                                                                                     Version 2.0</w:t>
    </w:r>
  </w:p>
  <w:p w:rsidR="001B7B7D" w:rsidRPr="001B7B7D" w:rsidRDefault="001B7B7D" w:rsidP="001B7B7D">
    <w:pPr>
      <w:pStyle w:val="Footer"/>
      <w:rPr>
        <w:sz w:val="18"/>
        <w:szCs w:val="18"/>
      </w:rPr>
    </w:pPr>
    <w:r>
      <w:rPr>
        <w:sz w:val="18"/>
        <w:szCs w:val="18"/>
      </w:rPr>
      <w:t>August 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B7D" w:rsidRDefault="001B7B7D" w:rsidP="001B7B7D">
    <w:pPr>
      <w:pStyle w:val="Footer"/>
      <w:rPr>
        <w:color w:val="000000"/>
        <w:sz w:val="17"/>
        <w:szCs w:val="18"/>
      </w:rPr>
    </w:pPr>
    <w:bookmarkStart w:id="6" w:name="TITUS1FooterFirstPage"/>
    <w:bookmarkStart w:id="7" w:name="_GoBack"/>
    <w:bookmarkEnd w:id="7"/>
    <w:r w:rsidRPr="001B7B7D">
      <w:rPr>
        <w:color w:val="000000"/>
        <w:sz w:val="17"/>
        <w:szCs w:val="18"/>
      </w:rPr>
      <w:t> </w:t>
    </w:r>
  </w:p>
  <w:bookmarkEnd w:id="6"/>
  <w:p w:rsidR="001B7B7D" w:rsidRDefault="001B7B7D" w:rsidP="001B7B7D">
    <w:pPr>
      <w:pStyle w:val="Footer"/>
      <w:rPr>
        <w:sz w:val="18"/>
        <w:szCs w:val="18"/>
      </w:rPr>
    </w:pPr>
    <w:r w:rsidRPr="001B7B7D">
      <w:rPr>
        <w:sz w:val="18"/>
        <w:szCs w:val="18"/>
      </w:rPr>
      <w:t>SN3514</w:t>
    </w:r>
    <w:r>
      <w:rPr>
        <w:sz w:val="18"/>
        <w:szCs w:val="18"/>
      </w:rPr>
      <w:t xml:space="preserve">                                                                                     Version 2.0</w:t>
    </w:r>
  </w:p>
  <w:p w:rsidR="001B7B7D" w:rsidRPr="001B7B7D" w:rsidRDefault="001B7B7D" w:rsidP="001B7B7D">
    <w:pPr>
      <w:pStyle w:val="Footer"/>
      <w:rPr>
        <w:sz w:val="18"/>
        <w:szCs w:val="18"/>
      </w:rPr>
    </w:pPr>
    <w:r>
      <w:rPr>
        <w:sz w:val="18"/>
        <w:szCs w:val="18"/>
      </w:rPr>
      <w:t>August 2021</w:t>
    </w:r>
  </w:p>
  <w:p w:rsidR="00470316" w:rsidRDefault="00470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85A" w:rsidRDefault="00C9685A" w:rsidP="00C9685A">
      <w:pPr>
        <w:spacing w:after="0" w:line="240" w:lineRule="auto"/>
      </w:pPr>
      <w:r>
        <w:separator/>
      </w:r>
    </w:p>
  </w:footnote>
  <w:footnote w:type="continuationSeparator" w:id="0">
    <w:p w:rsidR="00C9685A" w:rsidRDefault="00C9685A" w:rsidP="00C96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B7D" w:rsidRDefault="001B7B7D" w:rsidP="001B7B7D">
    <w:pPr>
      <w:pStyle w:val="Header"/>
      <w:rPr>
        <w:rFonts w:cstheme="minorHAnsi"/>
        <w:color w:val="000000"/>
        <w:sz w:val="17"/>
        <w:szCs w:val="18"/>
      </w:rPr>
    </w:pPr>
    <w:bookmarkStart w:id="1" w:name="TITUS1HeaderEvenPages"/>
    <w:r w:rsidRPr="001B7B7D">
      <w:rPr>
        <w:rFonts w:cstheme="minorHAnsi"/>
        <w:color w:val="000000"/>
        <w:sz w:val="17"/>
        <w:szCs w:val="18"/>
      </w:rPr>
      <w:t> </w:t>
    </w:r>
  </w:p>
  <w:bookmarkEnd w:id="1"/>
  <w:p w:rsidR="001B7B7D" w:rsidRPr="001B7B7D" w:rsidRDefault="001B7B7D" w:rsidP="001B7B7D">
    <w:pPr>
      <w:pStyle w:val="Header"/>
      <w:jc w:val="center"/>
      <w:rPr>
        <w:rFonts w:cstheme="minorHAnsi"/>
        <w:b/>
        <w:color w:val="FF0000"/>
        <w:sz w:val="18"/>
        <w:szCs w:val="18"/>
      </w:rPr>
    </w:pPr>
    <w:r w:rsidRPr="001B7B7D">
      <w:rPr>
        <w:rFonts w:cstheme="minorHAnsi"/>
        <w:b/>
        <w:color w:val="FF0000"/>
        <w:sz w:val="18"/>
        <w:szCs w:val="18"/>
      </w:rPr>
      <w:t>OFFICIAL SWYDDOGOL</w:t>
    </w:r>
  </w:p>
  <w:p w:rsidR="00470316" w:rsidRDefault="004703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B7D" w:rsidRDefault="001B7B7D" w:rsidP="001B7B7D">
    <w:pPr>
      <w:pStyle w:val="Header"/>
      <w:rPr>
        <w:rFonts w:cstheme="minorHAnsi"/>
        <w:color w:val="000000"/>
        <w:sz w:val="17"/>
        <w:szCs w:val="18"/>
      </w:rPr>
    </w:pPr>
    <w:bookmarkStart w:id="2" w:name="TITUS1HeaderPrimary"/>
    <w:r w:rsidRPr="001B7B7D">
      <w:rPr>
        <w:rFonts w:cstheme="minorHAnsi"/>
        <w:color w:val="000000"/>
        <w:sz w:val="17"/>
        <w:szCs w:val="18"/>
      </w:rPr>
      <w:t> </w:t>
    </w:r>
  </w:p>
  <w:bookmarkEnd w:id="2"/>
  <w:p w:rsidR="00C9685A" w:rsidRPr="001B7B7D" w:rsidRDefault="001B7B7D" w:rsidP="00C9685A">
    <w:pPr>
      <w:pStyle w:val="Header"/>
      <w:jc w:val="center"/>
      <w:rPr>
        <w:rFonts w:cstheme="minorHAnsi"/>
        <w:b/>
        <w:color w:val="FF0000"/>
        <w:sz w:val="18"/>
        <w:szCs w:val="18"/>
      </w:rPr>
    </w:pPr>
    <w:r w:rsidRPr="001B7B7D">
      <w:rPr>
        <w:rFonts w:cstheme="minorHAnsi"/>
        <w:b/>
        <w:color w:val="FF0000"/>
        <w:sz w:val="18"/>
        <w:szCs w:val="18"/>
      </w:rPr>
      <w:t>OFFICIAL SWYDDOGOL</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B7D" w:rsidRDefault="001B7B7D" w:rsidP="001B7B7D">
    <w:pPr>
      <w:pStyle w:val="Header"/>
      <w:rPr>
        <w:rFonts w:cstheme="minorHAnsi"/>
        <w:color w:val="000000"/>
        <w:sz w:val="17"/>
        <w:szCs w:val="18"/>
      </w:rPr>
    </w:pPr>
    <w:bookmarkStart w:id="5" w:name="TITUS1HeaderFirstPage"/>
    <w:r w:rsidRPr="001B7B7D">
      <w:rPr>
        <w:rFonts w:cstheme="minorHAnsi"/>
        <w:color w:val="000000"/>
        <w:sz w:val="17"/>
        <w:szCs w:val="18"/>
      </w:rPr>
      <w:t> </w:t>
    </w:r>
  </w:p>
  <w:bookmarkEnd w:id="5"/>
  <w:p w:rsidR="001B7B7D" w:rsidRPr="001B7B7D" w:rsidRDefault="001B7B7D" w:rsidP="001B7B7D">
    <w:pPr>
      <w:pStyle w:val="Header"/>
      <w:jc w:val="center"/>
      <w:rPr>
        <w:rFonts w:cstheme="minorHAnsi"/>
        <w:b/>
        <w:color w:val="FF0000"/>
        <w:sz w:val="18"/>
        <w:szCs w:val="18"/>
      </w:rPr>
    </w:pPr>
    <w:r w:rsidRPr="001B7B7D">
      <w:rPr>
        <w:rFonts w:cstheme="minorHAnsi"/>
        <w:b/>
        <w:color w:val="FF0000"/>
        <w:sz w:val="18"/>
        <w:szCs w:val="18"/>
      </w:rPr>
      <w:t>OFFICIAL SWYDDOGOL</w:t>
    </w:r>
  </w:p>
  <w:p w:rsidR="00470316" w:rsidRDefault="004703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E2D8C"/>
    <w:multiLevelType w:val="multilevel"/>
    <w:tmpl w:val="3E32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BD5A91"/>
    <w:multiLevelType w:val="multilevel"/>
    <w:tmpl w:val="8456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96992"/>
    <w:multiLevelType w:val="multilevel"/>
    <w:tmpl w:val="9A52C6DE"/>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4015B"/>
    <w:multiLevelType w:val="multilevel"/>
    <w:tmpl w:val="662E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760594"/>
    <w:multiLevelType w:val="multilevel"/>
    <w:tmpl w:val="6E74E6C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34D91A83"/>
    <w:multiLevelType w:val="multilevel"/>
    <w:tmpl w:val="75E8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4F232A"/>
    <w:multiLevelType w:val="multilevel"/>
    <w:tmpl w:val="95C2D25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494C3196"/>
    <w:multiLevelType w:val="multilevel"/>
    <w:tmpl w:val="2F28608C"/>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940987"/>
    <w:multiLevelType w:val="multilevel"/>
    <w:tmpl w:val="8890604C"/>
    <w:lvl w:ilvl="0">
      <w:start w:val="1"/>
      <w:numFmt w:val="lowerRoman"/>
      <w:lvlText w:val="%1."/>
      <w:lvlJc w:val="right"/>
      <w:pPr>
        <w:tabs>
          <w:tab w:val="num" w:pos="644"/>
        </w:tabs>
        <w:ind w:left="644"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5A234663"/>
    <w:multiLevelType w:val="multilevel"/>
    <w:tmpl w:val="2892B8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5E412A00"/>
    <w:multiLevelType w:val="multilevel"/>
    <w:tmpl w:val="0C7E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8C249F"/>
    <w:multiLevelType w:val="multilevel"/>
    <w:tmpl w:val="4FAC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9"/>
  </w:num>
  <w:num w:numId="4">
    <w:abstractNumId w:val="0"/>
  </w:num>
  <w:num w:numId="5">
    <w:abstractNumId w:val="1"/>
  </w:num>
  <w:num w:numId="6">
    <w:abstractNumId w:val="7"/>
  </w:num>
  <w:num w:numId="7">
    <w:abstractNumId w:val="3"/>
  </w:num>
  <w:num w:numId="8">
    <w:abstractNumId w:val="10"/>
  </w:num>
  <w:num w:numId="9">
    <w:abstractNumId w:val="6"/>
  </w:num>
  <w:num w:numId="10">
    <w:abstractNumId w:val="5"/>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85A"/>
    <w:rsid w:val="001B7B7D"/>
    <w:rsid w:val="00400D85"/>
    <w:rsid w:val="00470316"/>
    <w:rsid w:val="0050706C"/>
    <w:rsid w:val="006C557C"/>
    <w:rsid w:val="007128B2"/>
    <w:rsid w:val="009F41CA"/>
    <w:rsid w:val="00AD567F"/>
    <w:rsid w:val="00B938B3"/>
    <w:rsid w:val="00C9685A"/>
    <w:rsid w:val="00E35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56DBF"/>
  <w15:chartTrackingRefBased/>
  <w15:docId w15:val="{79D2736E-F96C-43BC-AA85-3B4A6DD71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B938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938B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B938B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85A"/>
  </w:style>
  <w:style w:type="paragraph" w:styleId="Footer">
    <w:name w:val="footer"/>
    <w:basedOn w:val="Normal"/>
    <w:link w:val="FooterChar"/>
    <w:uiPriority w:val="99"/>
    <w:unhideWhenUsed/>
    <w:rsid w:val="00C96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85A"/>
  </w:style>
  <w:style w:type="character" w:customStyle="1" w:styleId="Heading3Char">
    <w:name w:val="Heading 3 Char"/>
    <w:basedOn w:val="DefaultParagraphFont"/>
    <w:link w:val="Heading3"/>
    <w:uiPriority w:val="9"/>
    <w:rsid w:val="00B938B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938B3"/>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938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38B3"/>
    <w:rPr>
      <w:b/>
      <w:bCs/>
    </w:rPr>
  </w:style>
  <w:style w:type="character" w:customStyle="1" w:styleId="Heading2Char">
    <w:name w:val="Heading 2 Char"/>
    <w:basedOn w:val="DefaultParagraphFont"/>
    <w:link w:val="Heading2"/>
    <w:uiPriority w:val="9"/>
    <w:rsid w:val="00B938B3"/>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semiHidden/>
    <w:unhideWhenUsed/>
    <w:rsid w:val="00B938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320742">
      <w:bodyDiv w:val="1"/>
      <w:marLeft w:val="0"/>
      <w:marRight w:val="0"/>
      <w:marTop w:val="0"/>
      <w:marBottom w:val="0"/>
      <w:divBdr>
        <w:top w:val="none" w:sz="0" w:space="0" w:color="auto"/>
        <w:left w:val="none" w:sz="0" w:space="0" w:color="auto"/>
        <w:bottom w:val="none" w:sz="0" w:space="0" w:color="auto"/>
        <w:right w:val="none" w:sz="0" w:space="0" w:color="auto"/>
      </w:divBdr>
    </w:div>
    <w:div w:id="1168904354">
      <w:bodyDiv w:val="1"/>
      <w:marLeft w:val="0"/>
      <w:marRight w:val="0"/>
      <w:marTop w:val="0"/>
      <w:marBottom w:val="0"/>
      <w:divBdr>
        <w:top w:val="none" w:sz="0" w:space="0" w:color="auto"/>
        <w:left w:val="none" w:sz="0" w:space="0" w:color="auto"/>
        <w:bottom w:val="none" w:sz="0" w:space="0" w:color="auto"/>
        <w:right w:val="none" w:sz="0" w:space="0" w:color="auto"/>
      </w:divBdr>
    </w:div>
    <w:div w:id="1864631845">
      <w:bodyDiv w:val="1"/>
      <w:marLeft w:val="0"/>
      <w:marRight w:val="0"/>
      <w:marTop w:val="0"/>
      <w:marBottom w:val="0"/>
      <w:divBdr>
        <w:top w:val="none" w:sz="0" w:space="0" w:color="auto"/>
        <w:left w:val="none" w:sz="0" w:space="0" w:color="auto"/>
        <w:bottom w:val="none" w:sz="0" w:space="0" w:color="auto"/>
        <w:right w:val="none" w:sz="0" w:space="0" w:color="auto"/>
      </w:divBdr>
    </w:div>
    <w:div w:id="207697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1529</Words>
  <Characters>8721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Hembrow</dc:creator>
  <cp:keywords/>
  <dc:description/>
  <cp:lastModifiedBy>Neil,Sharon swp3514</cp:lastModifiedBy>
  <cp:revision>3</cp:revision>
  <dcterms:created xsi:type="dcterms:W3CDTF">2021-08-03T13:13:00Z</dcterms:created>
  <dcterms:modified xsi:type="dcterms:W3CDTF">2021-08-03T13:18:00Z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5202928f-34d9-4cb3-a6d2-cb2070c85485</vt:lpwstr>
  </property>
  <property fmtid="{D5CDD505-2E9C-101B-9397-08002B2CF9AE}" pid="3" name="Classification">
    <vt:lpwstr>OFFICIAL</vt:lpwstr>
  </property>
  <property fmtid="{D5CDD505-2E9C-101B-9397-08002B2CF9AE}" pid="4" name="Visibility">
    <vt:lpwstr>NOT VISIBLE</vt:lpwstr>
  </property>
</Properties>
</file>