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E4AFC" w14:textId="77777777" w:rsidR="00A65873" w:rsidRDefault="00291FE4">
      <w:pPr>
        <w:rPr>
          <w:b/>
          <w:bCs/>
          <w:i/>
          <w:iCs/>
          <w:sz w:val="28"/>
          <w:szCs w:val="28"/>
          <w:u w:val="single"/>
        </w:rPr>
      </w:pPr>
      <w:r w:rsidRPr="00885071">
        <w:rPr>
          <w:b/>
          <w:bCs/>
          <w:i/>
          <w:iCs/>
          <w:sz w:val="28"/>
          <w:szCs w:val="28"/>
          <w:u w:val="single"/>
        </w:rPr>
        <w:t xml:space="preserve">Diminished </w:t>
      </w:r>
      <w:r w:rsidR="00A65873" w:rsidRPr="00885071">
        <w:rPr>
          <w:b/>
          <w:bCs/>
          <w:i/>
          <w:iCs/>
          <w:sz w:val="28"/>
          <w:szCs w:val="28"/>
          <w:u w:val="single"/>
        </w:rPr>
        <w:t>Responsibility</w:t>
      </w:r>
    </w:p>
    <w:p w14:paraId="435C82FD" w14:textId="77777777" w:rsidR="00885071" w:rsidRDefault="00885071">
      <w:pPr>
        <w:rPr>
          <w:b/>
          <w:bCs/>
          <w:i/>
          <w:iCs/>
          <w:sz w:val="28"/>
          <w:szCs w:val="28"/>
          <w:u w:val="single"/>
        </w:rPr>
      </w:pPr>
    </w:p>
    <w:p w14:paraId="342854EA" w14:textId="187F5158" w:rsidR="00885071" w:rsidRDefault="00695D17">
      <w:r w:rsidRPr="00D5239B">
        <w:t xml:space="preserve">The purpose of this assignment is to look at the requirements needed to achieve </w:t>
      </w:r>
      <w:r w:rsidR="00DA1E5F" w:rsidRPr="00D5239B">
        <w:t>diminished</w:t>
      </w:r>
      <w:r w:rsidRPr="00D5239B">
        <w:t xml:space="preserve"> responsibility and whether or not </w:t>
      </w:r>
      <w:r w:rsidR="000A042D" w:rsidRPr="00D5239B">
        <w:t xml:space="preserve">there is any need for </w:t>
      </w:r>
      <w:r w:rsidR="00DA1E5F" w:rsidRPr="00D5239B">
        <w:t>further</w:t>
      </w:r>
      <w:r w:rsidR="000A042D" w:rsidRPr="00D5239B">
        <w:t xml:space="preserve"> reform. Looking at both the Homicide Act 1957 </w:t>
      </w:r>
      <w:r w:rsidR="00590C5E">
        <w:t xml:space="preserve">(HA 1957) </w:t>
      </w:r>
      <w:r w:rsidR="00DA1E5F" w:rsidRPr="00D5239B">
        <w:t xml:space="preserve">and also the Coroners and Justice Act 2009 </w:t>
      </w:r>
      <w:r w:rsidR="00590C5E">
        <w:t xml:space="preserve">(CJA 2009) </w:t>
      </w:r>
      <w:r w:rsidR="00DA1E5F" w:rsidRPr="00D5239B">
        <w:t xml:space="preserve">to see what </w:t>
      </w:r>
      <w:r w:rsidR="00BB0F3F">
        <w:t xml:space="preserve">the </w:t>
      </w:r>
      <w:r w:rsidR="00DA1E5F" w:rsidRPr="00D5239B">
        <w:t xml:space="preserve">previous requirements were and how they’ve changed over the years. </w:t>
      </w:r>
      <w:r w:rsidR="00E60AB0">
        <w:t xml:space="preserve">Also what mental defences count as diminished responsibility and </w:t>
      </w:r>
      <w:r w:rsidR="00B15496">
        <w:t xml:space="preserve">how they can be proven. </w:t>
      </w:r>
    </w:p>
    <w:p w14:paraId="2030C86F" w14:textId="77777777" w:rsidR="009740E7" w:rsidRDefault="009740E7"/>
    <w:p w14:paraId="66959F69" w14:textId="330E8602" w:rsidR="00886B0E" w:rsidRDefault="00886B0E" w:rsidP="00886B0E">
      <w:r>
        <w:t>Diminished responsibility is defined as a defence only eligible with a murder charge and if the defence is deemed acceptable will the charge be dropped to manslaughter (Herring, 2020</w:t>
      </w:r>
      <w:r w:rsidR="0066626A">
        <w:t xml:space="preserve"> </w:t>
      </w:r>
      <w:r w:rsidR="0066626A">
        <w:rPr>
          <w:i/>
          <w:iCs/>
        </w:rPr>
        <w:t>a</w:t>
      </w:r>
      <w:r>
        <w:t xml:space="preserve">). </w:t>
      </w:r>
    </w:p>
    <w:p w14:paraId="5A76F89F" w14:textId="2A17FE7C" w:rsidR="00DA1E5F" w:rsidRDefault="00FA6AD7">
      <w:r>
        <w:t>It belongs to one of three specific defences in regard to murder. It is included in the Homicide Act 1957 and has been amended in the Coroners and Justice Act 2009. Only when a successful plea for diminished responsibility has been accepted it will reduce a murder charge to manslaughter</w:t>
      </w:r>
      <w:r w:rsidR="006172D3">
        <w:t xml:space="preserve">, where </w:t>
      </w:r>
      <w:r w:rsidR="006B7D2C">
        <w:t xml:space="preserve">an explanation to the defendant’s conduct and actions </w:t>
      </w:r>
      <w:r w:rsidR="00D210F6">
        <w:t>are given, and why the defendant felt the need to kill</w:t>
      </w:r>
      <w:r>
        <w:t xml:space="preserve"> (</w:t>
      </w:r>
      <w:r w:rsidR="00F7609F">
        <w:t>CPS, 2018</w:t>
      </w:r>
      <w:r w:rsidR="00F349C3">
        <w:t xml:space="preserve"> </w:t>
      </w:r>
      <w:r w:rsidR="00F349C3">
        <w:rPr>
          <w:i/>
          <w:iCs/>
        </w:rPr>
        <w:t>a</w:t>
      </w:r>
      <w:r w:rsidR="00F7609F">
        <w:t>)</w:t>
      </w:r>
      <w:r w:rsidR="00F349C3">
        <w:t>.</w:t>
      </w:r>
    </w:p>
    <w:p w14:paraId="120CC272" w14:textId="77777777" w:rsidR="005F34D4" w:rsidRDefault="005F34D4"/>
    <w:p w14:paraId="4620BAEB" w14:textId="0977F44C" w:rsidR="00BB0F3F" w:rsidRPr="005F34D4" w:rsidRDefault="005F34D4">
      <w:r>
        <w:t>In accordance</w:t>
      </w:r>
      <w:r w:rsidR="00DA1E5F" w:rsidRPr="005F34D4">
        <w:t xml:space="preserve"> to s.2 Homicide Act 1957 a person suffering with </w:t>
      </w:r>
      <w:r w:rsidR="008F03A5" w:rsidRPr="005F34D4">
        <w:t>diminished</w:t>
      </w:r>
      <w:r w:rsidR="00DA1E5F" w:rsidRPr="005F34D4">
        <w:t xml:space="preserve"> responsibility had to meet a </w:t>
      </w:r>
      <w:r w:rsidR="00B84F79" w:rsidRPr="005F34D4">
        <w:t>certain criterion</w:t>
      </w:r>
      <w:r w:rsidR="00DA1E5F" w:rsidRPr="005F34D4">
        <w:t xml:space="preserve"> in order for </w:t>
      </w:r>
      <w:r w:rsidR="008F03A5" w:rsidRPr="005F34D4">
        <w:t xml:space="preserve">the defence to stand and reduce certain charges. </w:t>
      </w:r>
    </w:p>
    <w:p w14:paraId="0466E748" w14:textId="181A5DBA" w:rsidR="005F34D4" w:rsidRDefault="004E31C9">
      <w:r w:rsidRPr="005F34D4">
        <w:t>In accordance to s.2 (1)</w:t>
      </w:r>
      <w:r w:rsidR="00CC788F" w:rsidRPr="005F34D4">
        <w:t>, t</w:t>
      </w:r>
      <w:r w:rsidR="008F03A5" w:rsidRPr="005F34D4">
        <w:t xml:space="preserve">he defendant must </w:t>
      </w:r>
      <w:r w:rsidR="006632BE" w:rsidRPr="005F34D4">
        <w:t>be suffering from an abnormality of mind</w:t>
      </w:r>
      <w:r w:rsidR="00BB0F3F" w:rsidRPr="005F34D4">
        <w:t>,</w:t>
      </w:r>
      <w:r w:rsidR="00CC788F" w:rsidRPr="005F34D4">
        <w:t xml:space="preserve"> </w:t>
      </w:r>
      <w:r w:rsidR="0064254A" w:rsidRPr="005F34D4">
        <w:t>s.2 (1) (A) states that an abnormality</w:t>
      </w:r>
      <w:r w:rsidR="00CB0E6D" w:rsidRPr="005F34D4">
        <w:t xml:space="preserve"> can arise from a </w:t>
      </w:r>
      <w:r w:rsidR="00314F28" w:rsidRPr="005F34D4">
        <w:t xml:space="preserve">recognised </w:t>
      </w:r>
      <w:r w:rsidR="00CB0E6D" w:rsidRPr="005F34D4">
        <w:t>medical condition</w:t>
      </w:r>
      <w:r w:rsidR="0000032E" w:rsidRPr="005F34D4">
        <w:t xml:space="preserve">. </w:t>
      </w:r>
      <w:r w:rsidR="001E3F80" w:rsidRPr="005F34D4">
        <w:t xml:space="preserve">s.2 (1) (b) </w:t>
      </w:r>
      <w:r w:rsidR="00AF1053" w:rsidRPr="005F34D4">
        <w:t xml:space="preserve">declare that </w:t>
      </w:r>
      <w:r w:rsidR="00016F90" w:rsidRPr="005F34D4">
        <w:t xml:space="preserve">substantially impaired the </w:t>
      </w:r>
      <w:r w:rsidR="00B84F79" w:rsidRPr="005F34D4">
        <w:t>defendant’s</w:t>
      </w:r>
      <w:r w:rsidR="00016F90" w:rsidRPr="005F34D4">
        <w:t xml:space="preserve"> ability </w:t>
      </w:r>
      <w:r w:rsidR="00F975BF" w:rsidRPr="005F34D4">
        <w:t>to do one or more of the things mentioned and in s.2 (1) (C)</w:t>
      </w:r>
      <w:r w:rsidR="0000032E" w:rsidRPr="005F34D4">
        <w:t xml:space="preserve"> shows</w:t>
      </w:r>
      <w:r w:rsidR="001E3F80" w:rsidRPr="005F34D4">
        <w:t xml:space="preserve"> that the abnormality</w:t>
      </w:r>
      <w:r w:rsidR="00FA0E53" w:rsidRPr="005F34D4">
        <w:t xml:space="preserve"> of mental function</w:t>
      </w:r>
      <w:r w:rsidR="001E3F80" w:rsidRPr="005F34D4">
        <w:t xml:space="preserve"> must</w:t>
      </w:r>
      <w:r w:rsidR="0000032E">
        <w:t xml:space="preserve"> </w:t>
      </w:r>
      <w:r w:rsidR="00FA0E53">
        <w:t xml:space="preserve">provide an explanation of the defendants </w:t>
      </w:r>
      <w:r w:rsidR="00F21CF8">
        <w:t>acts and omissions in being party to the killing (Leg</w:t>
      </w:r>
      <w:r w:rsidR="001301BB">
        <w:t>islation</w:t>
      </w:r>
      <w:r w:rsidR="00F21CF8">
        <w:t>, 2022</w:t>
      </w:r>
      <w:r w:rsidR="001301BB">
        <w:t xml:space="preserve"> </w:t>
      </w:r>
      <w:r w:rsidR="001301BB">
        <w:rPr>
          <w:i/>
          <w:iCs/>
        </w:rPr>
        <w:t>a</w:t>
      </w:r>
      <w:r w:rsidR="00F21CF8">
        <w:t>)</w:t>
      </w:r>
      <w:r w:rsidR="00AD4198">
        <w:t xml:space="preserve">. </w:t>
      </w:r>
    </w:p>
    <w:p w14:paraId="5A6DD530" w14:textId="77777777" w:rsidR="00630B74" w:rsidRDefault="00630B74"/>
    <w:p w14:paraId="6DC382D9" w14:textId="4E66608D" w:rsidR="00630B74" w:rsidRPr="00070E88" w:rsidRDefault="00630B74">
      <w:r>
        <w:t xml:space="preserve">When looking at the definition of murder, both the actus reus and mens rea must be taken into </w:t>
      </w:r>
      <w:r w:rsidR="009F0B6C">
        <w:t>account. The Actus Reus of murder states ‘the unlawful killing of another person in the Queen’s peace’</w:t>
      </w:r>
      <w:r w:rsidR="00176D39">
        <w:t xml:space="preserve"> </w:t>
      </w:r>
      <w:r w:rsidR="00A46E74">
        <w:t xml:space="preserve">and the Mens Rea dictates ‘an intention to cause death </w:t>
      </w:r>
      <w:r w:rsidR="0066626A">
        <w:t xml:space="preserve">or grievously bodily harm to the victim’(Herring, 2020 </w:t>
      </w:r>
      <w:r w:rsidR="0066626A">
        <w:rPr>
          <w:i/>
          <w:iCs/>
        </w:rPr>
        <w:t>b)</w:t>
      </w:r>
      <w:r w:rsidR="0066626A">
        <w:t>.</w:t>
      </w:r>
      <w:r w:rsidR="00176D39">
        <w:t xml:space="preserve"> The Mens Rea definition had been established in the case of </w:t>
      </w:r>
      <w:r w:rsidR="004A1497">
        <w:t>Cunningham</w:t>
      </w:r>
      <w:r w:rsidR="005704DB">
        <w:t xml:space="preserve"> 1957</w:t>
      </w:r>
      <w:r w:rsidR="004A1497">
        <w:t xml:space="preserve"> </w:t>
      </w:r>
      <w:r w:rsidR="003C1B5F">
        <w:t xml:space="preserve">in which the House of Lords </w:t>
      </w:r>
      <w:r w:rsidR="003A794A">
        <w:t>upheld the conviction that the defendant had intended to cause grievous bodily harm</w:t>
      </w:r>
      <w:r w:rsidR="00E725A8">
        <w:t xml:space="preserve"> not intending to kill. Previously the Mens Rea for murder </w:t>
      </w:r>
      <w:r w:rsidR="0064401F">
        <w:t xml:space="preserve">had been described as ‘malice aforethought’ this changed due to the misleading </w:t>
      </w:r>
      <w:r w:rsidR="00435A81">
        <w:t>wording</w:t>
      </w:r>
      <w:r w:rsidR="00070E88">
        <w:t xml:space="preserve">, there is no need to show any kind of malice when it comes to murder (Herring, 2020 </w:t>
      </w:r>
      <w:r w:rsidR="00070E88">
        <w:rPr>
          <w:i/>
          <w:iCs/>
        </w:rPr>
        <w:t>c</w:t>
      </w:r>
      <w:r w:rsidR="00070E88">
        <w:t>)</w:t>
      </w:r>
      <w:r w:rsidR="00000B96">
        <w:t>.</w:t>
      </w:r>
      <w:r w:rsidR="00B91ED5">
        <w:t xml:space="preserve"> Murder carries a mandatory life sentence for the crime.</w:t>
      </w:r>
      <w:r w:rsidR="00000B96">
        <w:t xml:space="preserve"> Thus ensuring that a change was needed with the wording of </w:t>
      </w:r>
      <w:r w:rsidR="00AD7C86">
        <w:t xml:space="preserve">legislation to make the law clearer and more defined in what is considered ‘diminished responsibility’. </w:t>
      </w:r>
    </w:p>
    <w:p w14:paraId="34446F87" w14:textId="77777777" w:rsidR="005F34D4" w:rsidRDefault="005F34D4"/>
    <w:p w14:paraId="4FE45CC0" w14:textId="23AC94ED" w:rsidR="00DA1E5F" w:rsidRPr="00D5239B" w:rsidRDefault="005F34D4">
      <w:r>
        <w:t>When looking at the case of R v Ahluwalia 1992 it shows that the defendant must show an abnormality of mind. In this case the defendant had entered an arranged marriage and had suffered years of abuse and threatening behaviour from her husband. After an argument one night the victim had made threats towards the defendant in regard to her life, she had poured petrol over the victim and set him on fire. The defendant had originally been charged with murder but upon appealing the conviction the long term history of violence and abuse had amounted to provocation and initially stated that the defendant had ‘not been in the right frame of mind’ and had not been the actions justifiable by a ‘normal person’. The judge ruled in favour of the defence and stated that the defendant had been suffering with ‘battered women’s syndrome’ (Lexis</w:t>
      </w:r>
      <w:r w:rsidR="00E96FAB">
        <w:t>Nexis,</w:t>
      </w:r>
      <w:r w:rsidR="009B3A78">
        <w:t xml:space="preserve"> </w:t>
      </w:r>
      <w:r w:rsidR="008169F1">
        <w:t>no date</w:t>
      </w:r>
      <w:r>
        <w:t>)</w:t>
      </w:r>
      <w:r w:rsidR="00FD5BD2">
        <w:t xml:space="preserve">. </w:t>
      </w:r>
    </w:p>
    <w:p w14:paraId="61F29535" w14:textId="77777777" w:rsidR="00A05A63" w:rsidRDefault="00A05A63" w:rsidP="00D5239B"/>
    <w:p w14:paraId="54915A2A" w14:textId="13C83504" w:rsidR="00E646A6" w:rsidRDefault="00776F1D" w:rsidP="00D5239B">
      <w:r>
        <w:t xml:space="preserve">The Coroners and Justice Act </w:t>
      </w:r>
      <w:r w:rsidR="00F25793">
        <w:t xml:space="preserve">2009 came into force in October of 2010. Along with the new act being established it all came with change to the current law </w:t>
      </w:r>
      <w:r w:rsidR="00863D41">
        <w:t xml:space="preserve">under the Homicide Act 1957. Sections 52, 54 to 57 </w:t>
      </w:r>
      <w:r w:rsidR="00590C5E">
        <w:t>of the CJA 2009</w:t>
      </w:r>
      <w:r w:rsidR="00525727">
        <w:t xml:space="preserve">. Section 52 </w:t>
      </w:r>
      <w:r w:rsidR="00924876">
        <w:t xml:space="preserve">establishes the changes made to the defence ‘diminished </w:t>
      </w:r>
      <w:r w:rsidR="00000B96">
        <w:t>responsibility</w:t>
      </w:r>
      <w:r w:rsidR="00924876">
        <w:t>’</w:t>
      </w:r>
      <w:r w:rsidR="00AD7C86">
        <w:t>. I</w:t>
      </w:r>
      <w:r w:rsidR="00924876">
        <w:t xml:space="preserve">t replaces the old definition with a new modern version. It </w:t>
      </w:r>
      <w:r w:rsidR="00023C47">
        <w:t xml:space="preserve">replaces s2 (1) of the Homicide Act 1957 </w:t>
      </w:r>
      <w:r w:rsidR="00A40E6F">
        <w:t xml:space="preserve">with subsection </w:t>
      </w:r>
      <w:r w:rsidR="000809C4">
        <w:t xml:space="preserve">1 to 1B of the CJA 2009. There has been no change made with a successful </w:t>
      </w:r>
      <w:r w:rsidR="00DF040F">
        <w:t xml:space="preserve">plea of the defence, it still stands that a murder charge will be reduce to manslaughter. </w:t>
      </w:r>
      <w:r w:rsidR="00E964C7">
        <w:lastRenderedPageBreak/>
        <w:t xml:space="preserve">Subsection 1 of the CJA 2009 states </w:t>
      </w:r>
      <w:r w:rsidR="00661002">
        <w:t xml:space="preserve">that a person who kills is to not be convicted if they are deemed as suffering from an ‘abnormality of mind’ </w:t>
      </w:r>
      <w:r w:rsidR="00D0225C">
        <w:t xml:space="preserve">this can arise from a </w:t>
      </w:r>
      <w:r w:rsidR="00286C27">
        <w:t>recognised</w:t>
      </w:r>
      <w:r w:rsidR="00D0225C">
        <w:t xml:space="preserve"> medical condition such as paranoia, schizophrenia and</w:t>
      </w:r>
      <w:r w:rsidR="00C13A1C">
        <w:t xml:space="preserve"> battered women’s syndrome (</w:t>
      </w:r>
      <w:r w:rsidR="00286C27">
        <w:t xml:space="preserve">Justice, 2010). </w:t>
      </w:r>
    </w:p>
    <w:p w14:paraId="2B49159E" w14:textId="77777777" w:rsidR="000002D8" w:rsidRDefault="000002D8" w:rsidP="00D5239B"/>
    <w:p w14:paraId="6039E03F" w14:textId="4E71788E" w:rsidR="00D4478D" w:rsidRDefault="000002D8" w:rsidP="00D5239B">
      <w:r>
        <w:t>When looking at the case of Dowds 2012 it is looking at whether voluntary intoxication can be used as a defence to ‘diminished responsibility’. The defendant was a 49 year old college lecturer and had killed his partner of 18 months, both of them were habitual heavy binge drinkers and according to the defendant they were both very physical with one another</w:t>
      </w:r>
      <w:r w:rsidR="002540A6">
        <w:t xml:space="preserve">, the appeal was dismissed and the defendant was charged with murder. By having this case it shows that voluntary intoxication cannot be used as a defence </w:t>
      </w:r>
      <w:r w:rsidR="005325A4">
        <w:t>(</w:t>
      </w:r>
      <w:r w:rsidR="00ED6480">
        <w:t>Court of Appeal 2012)</w:t>
      </w:r>
      <w:r>
        <w:t>.</w:t>
      </w:r>
      <w:r w:rsidR="00ED6480">
        <w:t xml:space="preserve">  </w:t>
      </w:r>
      <w:r>
        <w:t xml:space="preserve"> </w:t>
      </w:r>
      <w:r w:rsidR="00253E90">
        <w:t xml:space="preserve">A person who wants to rely on this defence must prove that there is an ‘abnormality of mind’ regardless of whether the defendant had been drinking or not, </w:t>
      </w:r>
      <w:r w:rsidR="00A44A59">
        <w:t xml:space="preserve">for this to happen the judge and jury must ignore the effects of </w:t>
      </w:r>
      <w:r w:rsidR="00F349C3">
        <w:t xml:space="preserve">alcohol and decide whether or not the defendants mental state would still cause the same outcome (CPS, 2018 </w:t>
      </w:r>
      <w:r w:rsidR="00F349C3">
        <w:rPr>
          <w:i/>
          <w:iCs/>
        </w:rPr>
        <w:t>b</w:t>
      </w:r>
      <w:r w:rsidR="00F349C3">
        <w:t>).</w:t>
      </w:r>
      <w:r w:rsidR="00B82E98">
        <w:t xml:space="preserve"> In the case of </w:t>
      </w:r>
      <w:r w:rsidR="00DD39A0">
        <w:t xml:space="preserve">Dietschmann 2003, it shows that even though the defendant had been heavily intoxicated </w:t>
      </w:r>
      <w:r w:rsidR="0093484A">
        <w:t>when he attacked the victim it also shows by medical records that he was suffering from an ‘abnormality of mind’ in the form of a</w:t>
      </w:r>
      <w:r w:rsidR="005B68A1">
        <w:t xml:space="preserve">n adjustment </w:t>
      </w:r>
      <w:r w:rsidR="00927385">
        <w:t>disorder</w:t>
      </w:r>
      <w:r w:rsidR="0023765C">
        <w:t xml:space="preserve">, the defendant appealed three times and eventually had his conviction dropped from murder to manslaughter, two psychiatrists who had spoken to the defendant on two separate occasions told the court he had in fact been </w:t>
      </w:r>
      <w:r w:rsidR="00645E8A">
        <w:t>suffering with a mental defect at the time</w:t>
      </w:r>
      <w:r w:rsidR="00927385">
        <w:t xml:space="preserve"> (</w:t>
      </w:r>
      <w:r w:rsidR="007D68AC">
        <w:t>Bailii, 2003)</w:t>
      </w:r>
    </w:p>
    <w:p w14:paraId="7F92E46A" w14:textId="74F84B96" w:rsidR="00253E90" w:rsidRDefault="00253E90" w:rsidP="00D5239B"/>
    <w:p w14:paraId="3ED2246B" w14:textId="52AFCB8F" w:rsidR="00C76D2D" w:rsidRPr="007E1ED3" w:rsidRDefault="009C3667" w:rsidP="00D5239B">
      <w:pPr>
        <w:rPr>
          <w:i/>
          <w:iCs/>
        </w:rPr>
      </w:pPr>
      <w:r>
        <w:t xml:space="preserve">There are a range of different </w:t>
      </w:r>
      <w:r w:rsidR="00615FE8">
        <w:t>advantages</w:t>
      </w:r>
      <w:r>
        <w:t xml:space="preserve"> and disadvantages </w:t>
      </w:r>
      <w:r w:rsidR="00615FE8">
        <w:t>associated</w:t>
      </w:r>
      <w:r>
        <w:t xml:space="preserve"> with the defence of ‘diminished </w:t>
      </w:r>
      <w:r w:rsidR="00615FE8">
        <w:t>responsibility</w:t>
      </w:r>
      <w:r w:rsidR="00607D87">
        <w:t>’. For a person to have a successful ple</w:t>
      </w:r>
      <w:r w:rsidR="005C30FB">
        <w:t xml:space="preserve">a </w:t>
      </w:r>
      <w:r w:rsidR="00615FE8">
        <w:t xml:space="preserve">for the partial defence, it must be recognised as a </w:t>
      </w:r>
      <w:r w:rsidR="008C7B46">
        <w:t xml:space="preserve">medical condition which can be found evident within the defendant’s medical records. </w:t>
      </w:r>
      <w:r w:rsidR="00C029A9">
        <w:t>Since the change to s2 of the Homicide Act 1957 it now allows a clear</w:t>
      </w:r>
      <w:r w:rsidR="00C76D2D">
        <w:t>er</w:t>
      </w:r>
      <w:r w:rsidR="00C029A9">
        <w:t xml:space="preserve"> definition</w:t>
      </w:r>
      <w:r w:rsidR="00C76D2D">
        <w:t xml:space="preserve"> of what mental functions need to be taken into account when looking to see if the defendant suffers from ‘abnormality of mind’.  </w:t>
      </w:r>
      <w:r w:rsidR="00D628DA">
        <w:t xml:space="preserve">As society has </w:t>
      </w:r>
      <w:r w:rsidR="005D5B48">
        <w:t>evolved over the years and mental health is more openly spoken about and i</w:t>
      </w:r>
      <w:r w:rsidR="00A9053E">
        <w:t xml:space="preserve">s </w:t>
      </w:r>
      <w:r w:rsidR="00075847">
        <w:t xml:space="preserve">more common within the public by having that deemed as </w:t>
      </w:r>
      <w:r w:rsidR="00DD0D5B">
        <w:t>‘</w:t>
      </w:r>
      <w:r w:rsidR="00BB2BD5">
        <w:t>recognisable</w:t>
      </w:r>
      <w:r w:rsidR="00DD0D5B">
        <w:t xml:space="preserve"> medical conditions’ it allows the law to more flexible when it comes to prosecution (</w:t>
      </w:r>
      <w:r w:rsidR="00BB2BD5">
        <w:t>GetRevising, 2017</w:t>
      </w:r>
      <w:r w:rsidR="007E1ED3">
        <w:t xml:space="preserve"> </w:t>
      </w:r>
      <w:r w:rsidR="007E1ED3">
        <w:rPr>
          <w:i/>
          <w:iCs/>
        </w:rPr>
        <w:t xml:space="preserve">a). </w:t>
      </w:r>
    </w:p>
    <w:p w14:paraId="136822E9" w14:textId="77777777" w:rsidR="00C76D2D" w:rsidRDefault="00C76D2D" w:rsidP="00D5239B"/>
    <w:p w14:paraId="358CBD8D" w14:textId="18172FE4" w:rsidR="009C3667" w:rsidRDefault="00C76D2D" w:rsidP="00D5239B">
      <w:r>
        <w:t xml:space="preserve">The disadvantages are </w:t>
      </w:r>
      <w:r w:rsidR="007D542A">
        <w:t xml:space="preserve">that the burden of proof </w:t>
      </w:r>
      <w:r w:rsidR="00567A00">
        <w:t xml:space="preserve">still lies on the defendant and could breach article 6 of the </w:t>
      </w:r>
      <w:r w:rsidR="00825A36">
        <w:t>European Convention of Human Rights</w:t>
      </w:r>
      <w:r w:rsidR="00BC6DC1">
        <w:t xml:space="preserve"> </w:t>
      </w:r>
      <w:r w:rsidR="00434FC8">
        <w:t xml:space="preserve">1998 </w:t>
      </w:r>
      <w:r w:rsidR="00BC6DC1">
        <w:t>(</w:t>
      </w:r>
      <w:r w:rsidR="00434FC8">
        <w:t>ECHR 1998) which states that everyone is entitled to a fair trial</w:t>
      </w:r>
      <w:r w:rsidR="008067DA">
        <w:t>.</w:t>
      </w:r>
      <w:r w:rsidR="001301BB">
        <w:t xml:space="preserve"> </w:t>
      </w:r>
      <w:r w:rsidR="008067DA">
        <w:t xml:space="preserve">By having medical history read out to the judge and jury during a court date could also infringe on the right to a private life, although it allows the judge and jury a look into what caused the defendant to act the way they did. </w:t>
      </w:r>
      <w:r w:rsidR="001301BB">
        <w:t xml:space="preserve">(Legislation 2022 </w:t>
      </w:r>
      <w:r w:rsidR="001301BB">
        <w:rPr>
          <w:i/>
          <w:iCs/>
        </w:rPr>
        <w:t>b</w:t>
      </w:r>
      <w:r w:rsidR="001301BB">
        <w:t xml:space="preserve">). </w:t>
      </w:r>
      <w:r w:rsidR="002E170F">
        <w:t>There is a difficult overlap with other defences such as insanity and intoxicatio</w:t>
      </w:r>
      <w:r w:rsidR="00C4641B">
        <w:t>n</w:t>
      </w:r>
      <w:r w:rsidR="00DE64F9">
        <w:t xml:space="preserve">. </w:t>
      </w:r>
      <w:r w:rsidR="002C5331">
        <w:t xml:space="preserve">Another disadvantage would be people who suffer with mental disabilities such as </w:t>
      </w:r>
      <w:r w:rsidR="00112A17">
        <w:t>autism,</w:t>
      </w:r>
      <w:r w:rsidR="002C5331">
        <w:t xml:space="preserve"> which is not deemed as a recognisable defence</w:t>
      </w:r>
      <w:r w:rsidR="00E11F3A">
        <w:t xml:space="preserve"> (GetRevising, 2017 </w:t>
      </w:r>
      <w:r w:rsidR="00E11F3A">
        <w:rPr>
          <w:i/>
          <w:iCs/>
        </w:rPr>
        <w:t>b)</w:t>
      </w:r>
      <w:r w:rsidR="00E11F3A">
        <w:t xml:space="preserve">.  </w:t>
      </w:r>
      <w:r w:rsidR="002C5331">
        <w:t xml:space="preserve"> </w:t>
      </w:r>
    </w:p>
    <w:p w14:paraId="3ADDC821" w14:textId="77777777" w:rsidR="002B6267" w:rsidRDefault="002B6267" w:rsidP="00D5239B"/>
    <w:p w14:paraId="5723FB0C" w14:textId="088DEC94" w:rsidR="00854D4D" w:rsidRDefault="00C632EC">
      <w:r>
        <w:t xml:space="preserve">In conclusion a lot has changed in regard to the Homicide Act 1957 and the Coroners Justice </w:t>
      </w:r>
      <w:r w:rsidR="00586FD5">
        <w:t xml:space="preserve">Act 2009, as society has evolved so has the law. It has taken into account a lot more </w:t>
      </w:r>
      <w:r w:rsidR="00C80F3D">
        <w:t>recognised</w:t>
      </w:r>
      <w:r w:rsidR="00586FD5">
        <w:t xml:space="preserve"> medical and mental health conditions</w:t>
      </w:r>
      <w:r w:rsidR="00B15496">
        <w:t xml:space="preserve">, as society is evolving the law will effectively change along with it. Although diminished </w:t>
      </w:r>
      <w:r w:rsidR="00C279CF">
        <w:t>responsibility</w:t>
      </w:r>
      <w:r w:rsidR="00B15496">
        <w:t xml:space="preserve"> </w:t>
      </w:r>
      <w:r w:rsidR="00C279CF">
        <w:t xml:space="preserve">is not a defence to allow the person to commit murder and not face </w:t>
      </w:r>
      <w:r w:rsidR="008169F1">
        <w:t>conviction</w:t>
      </w:r>
      <w:r w:rsidR="00C279CF">
        <w:t xml:space="preserve">, it allows the public to know and learn that </w:t>
      </w:r>
      <w:r w:rsidR="001E346A">
        <w:t xml:space="preserve">somethings happen and that someone who commits murder isn’t always someone who set out to do it </w:t>
      </w:r>
      <w:r w:rsidR="008169F1">
        <w:t>intentionally</w:t>
      </w:r>
      <w:r w:rsidR="001E346A">
        <w:t xml:space="preserve">. It provides a lot of knowledge of different types of mental </w:t>
      </w:r>
      <w:r w:rsidR="008169F1">
        <w:t xml:space="preserve">conditions that are more common in this day and age. </w:t>
      </w:r>
    </w:p>
    <w:p w14:paraId="7A8D9204" w14:textId="77777777" w:rsidR="00B47F9F" w:rsidRDefault="00B47F9F"/>
    <w:p w14:paraId="1C2EFEDA" w14:textId="77777777" w:rsidR="00B47F9F" w:rsidRDefault="00B47F9F"/>
    <w:p w14:paraId="0D543164" w14:textId="77777777" w:rsidR="00B47F9F" w:rsidRDefault="00B47F9F"/>
    <w:p w14:paraId="3D0EACEF" w14:textId="77777777" w:rsidR="00B47F9F" w:rsidRDefault="00B47F9F"/>
    <w:p w14:paraId="4C74B1BE" w14:textId="77777777" w:rsidR="00B47F9F" w:rsidRDefault="00B47F9F"/>
    <w:sdt>
      <w:sdtPr>
        <w:id w:val="-842863697"/>
        <w:docPartObj>
          <w:docPartGallery w:val="Bibliographies"/>
          <w:docPartUnique/>
        </w:docPartObj>
      </w:sdtPr>
      <w:sdtEndPr>
        <w:rPr>
          <w:rFonts w:asciiTheme="minorHAnsi" w:eastAsiaTheme="minorEastAsia" w:hAnsiTheme="minorHAnsi" w:cstheme="minorBidi"/>
          <w:color w:val="auto"/>
          <w:sz w:val="22"/>
          <w:szCs w:val="22"/>
          <w:lang w:val="en-GB" w:eastAsia="en-GB"/>
        </w:rPr>
      </w:sdtEndPr>
      <w:sdtContent>
        <w:p w14:paraId="671675F3" w14:textId="07912914" w:rsidR="00B47F9F" w:rsidRDefault="00B47F9F">
          <w:pPr>
            <w:pStyle w:val="Heading1"/>
          </w:pPr>
          <w:r>
            <w:t>References</w:t>
          </w:r>
        </w:p>
        <w:sdt>
          <w:sdtPr>
            <w:id w:val="-573587230"/>
            <w:bibliography/>
          </w:sdtPr>
          <w:sdtContent>
            <w:p w14:paraId="76A0E179" w14:textId="66C77012" w:rsidR="00B47F9F" w:rsidRDefault="00B47F9F" w:rsidP="00B47F9F">
              <w:pPr>
                <w:pStyle w:val="Bibliography"/>
                <w:rPr>
                  <w:noProof/>
                  <w:sz w:val="24"/>
                  <w:szCs w:val="24"/>
                  <w:lang w:val="en-US"/>
                </w:rPr>
              </w:pPr>
              <w:r>
                <w:fldChar w:fldCharType="begin"/>
              </w:r>
              <w:r>
                <w:instrText xml:space="preserve"> BIBLIOGRAPHY </w:instrText>
              </w:r>
              <w:r>
                <w:fldChar w:fldCharType="separate"/>
              </w:r>
              <w:r>
                <w:rPr>
                  <w:noProof/>
                  <w:lang w:val="en-US"/>
                </w:rPr>
                <w:t>Herring, J., 2020. Homicide (</w:t>
              </w:r>
              <w:r>
                <w:rPr>
                  <w:i/>
                  <w:iCs/>
                  <w:noProof/>
                  <w:lang w:val="en-US"/>
                </w:rPr>
                <w:t>a)</w:t>
              </w:r>
              <w:r>
                <w:rPr>
                  <w:noProof/>
                  <w:lang w:val="en-US"/>
                </w:rPr>
                <w:t xml:space="preserve">. In: </w:t>
              </w:r>
              <w:r>
                <w:rPr>
                  <w:i/>
                  <w:iCs/>
                  <w:noProof/>
                  <w:lang w:val="en-US"/>
                </w:rPr>
                <w:t xml:space="preserve">Criminal Law. </w:t>
              </w:r>
              <w:r>
                <w:rPr>
                  <w:noProof/>
                  <w:lang w:val="en-US"/>
                </w:rPr>
                <w:t>Ninth ed. s.l.:Oxford University Press, p. 254.</w:t>
              </w:r>
            </w:p>
            <w:p w14:paraId="2B270DB3" w14:textId="77777777" w:rsidR="00B47F9F" w:rsidRDefault="00B47F9F" w:rsidP="00B47F9F">
              <w:pPr>
                <w:pStyle w:val="Bibliography"/>
                <w:rPr>
                  <w:noProof/>
                  <w:lang w:val="en-US"/>
                </w:rPr>
              </w:pPr>
            </w:p>
            <w:p w14:paraId="14F6E41C" w14:textId="683A17B0" w:rsidR="00B47F9F" w:rsidRDefault="00B47F9F" w:rsidP="00B47F9F">
              <w:pPr>
                <w:pStyle w:val="Bibliography"/>
                <w:rPr>
                  <w:noProof/>
                  <w:lang w:val="en-US"/>
                </w:rPr>
              </w:pPr>
              <w:r>
                <w:rPr>
                  <w:noProof/>
                  <w:lang w:val="en-US"/>
                </w:rPr>
                <w:t>Herring, J., 2020. Homicide (</w:t>
              </w:r>
              <w:r>
                <w:rPr>
                  <w:i/>
                  <w:iCs/>
                  <w:noProof/>
                  <w:lang w:val="en-US"/>
                </w:rPr>
                <w:t>b)</w:t>
              </w:r>
              <w:r>
                <w:rPr>
                  <w:noProof/>
                  <w:lang w:val="en-US"/>
                </w:rPr>
                <w:t xml:space="preserve">. In: </w:t>
              </w:r>
              <w:r>
                <w:rPr>
                  <w:i/>
                  <w:iCs/>
                  <w:noProof/>
                  <w:lang w:val="en-US"/>
                </w:rPr>
                <w:t xml:space="preserve">Criminal Law. </w:t>
              </w:r>
              <w:r>
                <w:rPr>
                  <w:noProof/>
                  <w:lang w:val="en-US"/>
                </w:rPr>
                <w:t>s.l.:Oxford University Press, p. 233.</w:t>
              </w:r>
            </w:p>
            <w:p w14:paraId="44031719" w14:textId="77777777" w:rsidR="00B47F9F" w:rsidRDefault="00B47F9F" w:rsidP="00B47F9F">
              <w:pPr>
                <w:pStyle w:val="Bibliography"/>
                <w:rPr>
                  <w:noProof/>
                  <w:lang w:val="en-US"/>
                </w:rPr>
              </w:pPr>
            </w:p>
            <w:p w14:paraId="5E99B11B" w14:textId="4C89F8C3" w:rsidR="00B47F9F" w:rsidRDefault="00B47F9F" w:rsidP="00B47F9F">
              <w:pPr>
                <w:pStyle w:val="Bibliography"/>
                <w:rPr>
                  <w:noProof/>
                  <w:lang w:val="en-US"/>
                </w:rPr>
              </w:pPr>
              <w:r>
                <w:rPr>
                  <w:noProof/>
                  <w:lang w:val="en-US"/>
                </w:rPr>
                <w:t>Herring, J., 2020. Homicide (</w:t>
              </w:r>
              <w:r>
                <w:rPr>
                  <w:i/>
                  <w:iCs/>
                  <w:noProof/>
                  <w:lang w:val="en-US"/>
                </w:rPr>
                <w:t>c)</w:t>
              </w:r>
              <w:r>
                <w:rPr>
                  <w:noProof/>
                  <w:lang w:val="en-US"/>
                </w:rPr>
                <w:t xml:space="preserve">. In: </w:t>
              </w:r>
              <w:r>
                <w:rPr>
                  <w:i/>
                  <w:iCs/>
                  <w:noProof/>
                  <w:lang w:val="en-US"/>
                </w:rPr>
                <w:t xml:space="preserve">Criminal Law. </w:t>
              </w:r>
              <w:r>
                <w:rPr>
                  <w:noProof/>
                  <w:lang w:val="en-US"/>
                </w:rPr>
                <w:t>s.l.:Oxford University Press, p. 231.</w:t>
              </w:r>
            </w:p>
            <w:p w14:paraId="2E93CFA7" w14:textId="77777777" w:rsidR="00B47F9F" w:rsidRDefault="00B47F9F" w:rsidP="00B47F9F">
              <w:pPr>
                <w:pStyle w:val="Bibliography"/>
                <w:rPr>
                  <w:noProof/>
                  <w:lang w:val="en-US"/>
                </w:rPr>
              </w:pPr>
            </w:p>
            <w:p w14:paraId="492C35B8" w14:textId="17ABA2DE" w:rsidR="00B47F9F" w:rsidRDefault="00B47F9F" w:rsidP="00B47F9F">
              <w:pPr>
                <w:pStyle w:val="Bibliography"/>
                <w:rPr>
                  <w:noProof/>
                  <w:lang w:val="en-US"/>
                </w:rPr>
              </w:pPr>
              <w:r>
                <w:rPr>
                  <w:noProof/>
                  <w:lang w:val="en-US"/>
                </w:rPr>
                <w:t xml:space="preserve">Justice, M. o., 2010. </w:t>
              </w:r>
              <w:r>
                <w:rPr>
                  <w:i/>
                  <w:iCs/>
                  <w:noProof/>
                  <w:lang w:val="en-US"/>
                </w:rPr>
                <w:t xml:space="preserve">Partial Defence to Murder. </w:t>
              </w:r>
              <w:r>
                <w:rPr>
                  <w:noProof/>
                  <w:lang w:val="en-US"/>
                </w:rPr>
                <w:t xml:space="preserve">[Online] </w:t>
              </w:r>
              <w:r>
                <w:rPr>
                  <w:noProof/>
                  <w:lang w:val="en-US"/>
                </w:rPr>
                <w:br/>
                <w:t xml:space="preserve">Available at: </w:t>
              </w:r>
              <w:r>
                <w:rPr>
                  <w:noProof/>
                  <w:u w:val="single"/>
                  <w:lang w:val="en-US"/>
                </w:rPr>
                <w:t>https://www.justice.gov.uk/downloads/legislation/bills-acts/circulars/moj/2010/circular-12-2010-coroners-justice-act-homicide-provisions.pdf</w:t>
              </w:r>
              <w:r>
                <w:rPr>
                  <w:noProof/>
                  <w:lang w:val="en-US"/>
                </w:rPr>
                <w:br/>
                <w:t>[Accessed 7th March 2023].</w:t>
              </w:r>
            </w:p>
            <w:p w14:paraId="38D2819C" w14:textId="77777777" w:rsidR="00B47F9F" w:rsidRDefault="00B47F9F" w:rsidP="00B47F9F">
              <w:pPr>
                <w:pStyle w:val="Bibliography"/>
                <w:rPr>
                  <w:noProof/>
                  <w:lang w:val="en-US"/>
                </w:rPr>
              </w:pPr>
            </w:p>
            <w:p w14:paraId="4015B6AD" w14:textId="77920B90" w:rsidR="00B47F9F" w:rsidRDefault="00B47F9F" w:rsidP="00B47F9F">
              <w:pPr>
                <w:pStyle w:val="Bibliography"/>
                <w:rPr>
                  <w:noProof/>
                  <w:lang w:val="en-US"/>
                </w:rPr>
              </w:pPr>
              <w:r>
                <w:rPr>
                  <w:noProof/>
                  <w:lang w:val="en-US"/>
                </w:rPr>
                <w:t xml:space="preserve">Legislation, 2022. </w:t>
              </w:r>
              <w:r>
                <w:rPr>
                  <w:i/>
                  <w:iCs/>
                  <w:noProof/>
                  <w:lang w:val="en-US"/>
                </w:rPr>
                <w:t xml:space="preserve">Homicide Act 1957. </w:t>
              </w:r>
              <w:r>
                <w:rPr>
                  <w:noProof/>
                  <w:lang w:val="en-US"/>
                </w:rPr>
                <w:t xml:space="preserve">[Online] </w:t>
              </w:r>
              <w:r>
                <w:rPr>
                  <w:noProof/>
                  <w:lang w:val="en-US"/>
                </w:rPr>
                <w:br/>
                <w:t xml:space="preserve">Available at: </w:t>
              </w:r>
              <w:r>
                <w:rPr>
                  <w:noProof/>
                  <w:u w:val="single"/>
                  <w:lang w:val="en-US"/>
                </w:rPr>
                <w:t>https://www.legislation.gov.uk/ukpga/Eliz2/5-6/11/section/2</w:t>
              </w:r>
              <w:r>
                <w:rPr>
                  <w:noProof/>
                  <w:lang w:val="en-US"/>
                </w:rPr>
                <w:br/>
                <w:t>[Accessed 7th March 2023].</w:t>
              </w:r>
            </w:p>
            <w:p w14:paraId="19D1F7A6" w14:textId="77777777" w:rsidR="00B47F9F" w:rsidRDefault="00B47F9F" w:rsidP="00B47F9F">
              <w:pPr>
                <w:pStyle w:val="Bibliography"/>
                <w:rPr>
                  <w:noProof/>
                  <w:lang w:val="en-US"/>
                </w:rPr>
              </w:pPr>
            </w:p>
            <w:p w14:paraId="1C0DD4BB" w14:textId="7EC2FF88" w:rsidR="00B47F9F" w:rsidRDefault="00B47F9F" w:rsidP="00B47F9F">
              <w:pPr>
                <w:pStyle w:val="Bibliography"/>
                <w:rPr>
                  <w:noProof/>
                  <w:lang w:val="en-US"/>
                </w:rPr>
              </w:pPr>
              <w:r>
                <w:rPr>
                  <w:noProof/>
                  <w:lang w:val="en-US"/>
                </w:rPr>
                <w:t xml:space="preserve">Legislation, 2023. </w:t>
              </w:r>
              <w:r>
                <w:rPr>
                  <w:i/>
                  <w:iCs/>
                  <w:noProof/>
                  <w:lang w:val="en-US"/>
                </w:rPr>
                <w:t xml:space="preserve">Human Rights Act 1998. </w:t>
              </w:r>
              <w:r>
                <w:rPr>
                  <w:noProof/>
                  <w:lang w:val="en-US"/>
                </w:rPr>
                <w:t xml:space="preserve">[Online] </w:t>
              </w:r>
              <w:r>
                <w:rPr>
                  <w:noProof/>
                  <w:lang w:val="en-US"/>
                </w:rPr>
                <w:br/>
                <w:t xml:space="preserve">Available at: </w:t>
              </w:r>
              <w:r>
                <w:rPr>
                  <w:noProof/>
                  <w:u w:val="single"/>
                  <w:lang w:val="en-US"/>
                </w:rPr>
                <w:t>https://www.legislation.gov.uk/ukpga/1998/42/schedule/1/part/I/chapter/5</w:t>
              </w:r>
              <w:r>
                <w:rPr>
                  <w:noProof/>
                  <w:lang w:val="en-US"/>
                </w:rPr>
                <w:br/>
                <w:t>[Accessed 7th March 2023].</w:t>
              </w:r>
            </w:p>
            <w:p w14:paraId="1FF58804" w14:textId="77777777" w:rsidR="00B47F9F" w:rsidRDefault="00B47F9F" w:rsidP="00B47F9F">
              <w:pPr>
                <w:pStyle w:val="Bibliography"/>
                <w:rPr>
                  <w:noProof/>
                  <w:lang w:val="en-US"/>
                </w:rPr>
              </w:pPr>
            </w:p>
            <w:p w14:paraId="59A6C128" w14:textId="27165CDE" w:rsidR="00B47F9F" w:rsidRDefault="00B47F9F" w:rsidP="00B47F9F">
              <w:pPr>
                <w:pStyle w:val="Bibliography"/>
                <w:rPr>
                  <w:noProof/>
                  <w:lang w:val="en-US"/>
                </w:rPr>
              </w:pPr>
              <w:r>
                <w:rPr>
                  <w:noProof/>
                  <w:lang w:val="en-US"/>
                </w:rPr>
                <w:t xml:space="preserve">London, R. C. o., 2012. </w:t>
              </w:r>
              <w:r>
                <w:rPr>
                  <w:i/>
                  <w:iCs/>
                  <w:noProof/>
                  <w:lang w:val="en-US"/>
                </w:rPr>
                <w:t xml:space="preserve">In the Court of Appeal. </w:t>
              </w:r>
              <w:r>
                <w:rPr>
                  <w:noProof/>
                  <w:lang w:val="en-US"/>
                </w:rPr>
                <w:t xml:space="preserve">[Online] </w:t>
              </w:r>
              <w:r>
                <w:rPr>
                  <w:noProof/>
                  <w:lang w:val="en-US"/>
                </w:rPr>
                <w:br/>
                <w:t xml:space="preserve">Available at: </w:t>
              </w:r>
              <w:r>
                <w:rPr>
                  <w:noProof/>
                  <w:u w:val="single"/>
                  <w:lang w:val="en-US"/>
                </w:rPr>
                <w:t>https://www.bailii.org/ew/cases/EWCA/Crim/2012/281.html</w:t>
              </w:r>
              <w:r>
                <w:rPr>
                  <w:noProof/>
                  <w:lang w:val="en-US"/>
                </w:rPr>
                <w:br/>
                <w:t>[Accessed 7th March 2023].</w:t>
              </w:r>
            </w:p>
            <w:p w14:paraId="420BEBA0" w14:textId="77777777" w:rsidR="00B47F9F" w:rsidRDefault="00B47F9F" w:rsidP="00B47F9F">
              <w:pPr>
                <w:pStyle w:val="Bibliography"/>
                <w:rPr>
                  <w:noProof/>
                  <w:lang w:val="en-US"/>
                </w:rPr>
              </w:pPr>
            </w:p>
            <w:p w14:paraId="6D4CF059" w14:textId="296FD35A" w:rsidR="00B47F9F" w:rsidRDefault="00B47F9F" w:rsidP="00B47F9F">
              <w:pPr>
                <w:pStyle w:val="Bibliography"/>
                <w:rPr>
                  <w:noProof/>
                  <w:lang w:val="en-US"/>
                </w:rPr>
              </w:pPr>
              <w:r>
                <w:rPr>
                  <w:noProof/>
                  <w:lang w:val="en-US"/>
                </w:rPr>
                <w:t xml:space="preserve">Lords, H. o., 2003. </w:t>
              </w:r>
              <w:r>
                <w:rPr>
                  <w:i/>
                  <w:iCs/>
                  <w:noProof/>
                  <w:lang w:val="en-US"/>
                </w:rPr>
                <w:t xml:space="preserve">Judgments - Regina v Dietschmann (Appellant) (on appeal from the Court of Appeal (Criminal Division). </w:t>
              </w:r>
              <w:r>
                <w:rPr>
                  <w:noProof/>
                  <w:lang w:val="en-US"/>
                </w:rPr>
                <w:t xml:space="preserve">[Online] </w:t>
              </w:r>
              <w:r>
                <w:rPr>
                  <w:noProof/>
                  <w:lang w:val="en-US"/>
                </w:rPr>
                <w:br/>
                <w:t xml:space="preserve">Available at: </w:t>
              </w:r>
              <w:r>
                <w:rPr>
                  <w:noProof/>
                  <w:u w:val="single"/>
                  <w:lang w:val="en-US"/>
                </w:rPr>
                <w:t>https://www.bailii.org/uk/cases/UKHL/2003/10.html</w:t>
              </w:r>
              <w:r>
                <w:rPr>
                  <w:noProof/>
                  <w:lang w:val="en-US"/>
                </w:rPr>
                <w:br/>
                <w:t>[Accessed 7th March 2023].</w:t>
              </w:r>
            </w:p>
            <w:p w14:paraId="6DE6E692" w14:textId="77777777" w:rsidR="00B47F9F" w:rsidRDefault="00B47F9F" w:rsidP="00B47F9F">
              <w:pPr>
                <w:pStyle w:val="Bibliography"/>
                <w:rPr>
                  <w:noProof/>
                  <w:lang w:val="en-US"/>
                </w:rPr>
              </w:pPr>
            </w:p>
            <w:p w14:paraId="3BAD77D9" w14:textId="5E5B4159" w:rsidR="00B47F9F" w:rsidRDefault="00B47F9F" w:rsidP="00B47F9F">
              <w:pPr>
                <w:pStyle w:val="Bibliography"/>
                <w:rPr>
                  <w:noProof/>
                  <w:lang w:val="en-US"/>
                </w:rPr>
              </w:pPr>
              <w:r>
                <w:rPr>
                  <w:noProof/>
                  <w:lang w:val="en-US"/>
                </w:rPr>
                <w:t xml:space="preserve">Nexus, L., No date. </w:t>
              </w:r>
              <w:r>
                <w:rPr>
                  <w:i/>
                  <w:iCs/>
                  <w:noProof/>
                  <w:lang w:val="en-US"/>
                </w:rPr>
                <w:t xml:space="preserve">R v Alhuwalia 1992. </w:t>
              </w:r>
              <w:r>
                <w:rPr>
                  <w:noProof/>
                  <w:lang w:val="en-US"/>
                </w:rPr>
                <w:t xml:space="preserve">[Online] </w:t>
              </w:r>
              <w:r>
                <w:rPr>
                  <w:noProof/>
                  <w:lang w:val="en-US"/>
                </w:rPr>
                <w:br/>
                <w:t xml:space="preserve">Available at: </w:t>
              </w:r>
              <w:r>
                <w:rPr>
                  <w:noProof/>
                  <w:u w:val="single"/>
                  <w:lang w:val="en-US"/>
                </w:rPr>
                <w:t>plus-lexis-com.ezproxy.uwtsd.ac.uk</w:t>
              </w:r>
              <w:r>
                <w:rPr>
                  <w:noProof/>
                  <w:lang w:val="en-US"/>
                </w:rPr>
                <w:br/>
                <w:t>[Accessed 7th March 2023].</w:t>
              </w:r>
            </w:p>
            <w:p w14:paraId="7C97596D" w14:textId="77777777" w:rsidR="00B47F9F" w:rsidRDefault="00B47F9F" w:rsidP="00B47F9F">
              <w:pPr>
                <w:pStyle w:val="Bibliography"/>
                <w:rPr>
                  <w:noProof/>
                  <w:lang w:val="en-US"/>
                </w:rPr>
              </w:pPr>
            </w:p>
            <w:p w14:paraId="08DBA0DE" w14:textId="4E2856D0" w:rsidR="00B47F9F" w:rsidRDefault="00B47F9F" w:rsidP="00B47F9F">
              <w:pPr>
                <w:pStyle w:val="Bibliography"/>
                <w:rPr>
                  <w:noProof/>
                  <w:lang w:val="en-US"/>
                </w:rPr>
              </w:pPr>
              <w:r>
                <w:rPr>
                  <w:noProof/>
                  <w:lang w:val="en-US"/>
                </w:rPr>
                <w:t xml:space="preserve">Revising, G., 2017. </w:t>
              </w:r>
              <w:r>
                <w:rPr>
                  <w:i/>
                  <w:iCs/>
                  <w:noProof/>
                  <w:lang w:val="en-US"/>
                </w:rPr>
                <w:t xml:space="preserve">New Law on Diminished Responsibility: Advantages and Disadvantages (a). </w:t>
              </w:r>
              <w:r>
                <w:rPr>
                  <w:noProof/>
                  <w:lang w:val="en-US"/>
                </w:rPr>
                <w:t xml:space="preserve">[Online] </w:t>
              </w:r>
              <w:r>
                <w:rPr>
                  <w:noProof/>
                  <w:lang w:val="en-US"/>
                </w:rPr>
                <w:br/>
                <w:t xml:space="preserve">Available at: </w:t>
              </w:r>
              <w:r>
                <w:rPr>
                  <w:noProof/>
                  <w:u w:val="single"/>
                  <w:lang w:val="en-US"/>
                </w:rPr>
                <w:t>https://getrevising.co.uk/grids/new-law-on-dr</w:t>
              </w:r>
              <w:r>
                <w:rPr>
                  <w:noProof/>
                  <w:lang w:val="en-US"/>
                </w:rPr>
                <w:br/>
                <w:t>[Accessed 7th March 2023].</w:t>
              </w:r>
            </w:p>
            <w:p w14:paraId="47121F9A" w14:textId="77777777" w:rsidR="00B47F9F" w:rsidRDefault="00B47F9F" w:rsidP="00B47F9F">
              <w:pPr>
                <w:pStyle w:val="Bibliography"/>
                <w:rPr>
                  <w:noProof/>
                  <w:lang w:val="en-US"/>
                </w:rPr>
              </w:pPr>
            </w:p>
            <w:p w14:paraId="6CB720BD" w14:textId="554EB211" w:rsidR="00B47F9F" w:rsidRDefault="00B47F9F" w:rsidP="00B47F9F">
              <w:pPr>
                <w:pStyle w:val="Bibliography"/>
                <w:rPr>
                  <w:noProof/>
                  <w:lang w:val="en-US"/>
                </w:rPr>
              </w:pPr>
              <w:r>
                <w:rPr>
                  <w:noProof/>
                  <w:lang w:val="en-US"/>
                </w:rPr>
                <w:t xml:space="preserve">Revising, G., 2017. </w:t>
              </w:r>
              <w:r>
                <w:rPr>
                  <w:i/>
                  <w:iCs/>
                  <w:noProof/>
                  <w:lang w:val="en-US"/>
                </w:rPr>
                <w:t xml:space="preserve">New Law on Diminished Responsibility: Advantages and Disadvantages (b). </w:t>
              </w:r>
              <w:r>
                <w:rPr>
                  <w:noProof/>
                  <w:lang w:val="en-US"/>
                </w:rPr>
                <w:t xml:space="preserve">[Online] </w:t>
              </w:r>
              <w:r>
                <w:rPr>
                  <w:noProof/>
                  <w:lang w:val="en-US"/>
                </w:rPr>
                <w:br/>
                <w:t xml:space="preserve">Available at: </w:t>
              </w:r>
              <w:r>
                <w:rPr>
                  <w:noProof/>
                  <w:u w:val="single"/>
                  <w:lang w:val="en-US"/>
                </w:rPr>
                <w:t>https://getrevising.co.uk/grids/new-law-on-dr</w:t>
              </w:r>
              <w:r>
                <w:rPr>
                  <w:noProof/>
                  <w:lang w:val="en-US"/>
                </w:rPr>
                <w:br/>
                <w:t>[Accessed 7th March 2023].</w:t>
              </w:r>
            </w:p>
            <w:p w14:paraId="19081D46" w14:textId="77777777" w:rsidR="00B47F9F" w:rsidRDefault="00B47F9F" w:rsidP="00B47F9F">
              <w:pPr>
                <w:pStyle w:val="Bibliography"/>
                <w:rPr>
                  <w:noProof/>
                  <w:lang w:val="en-US"/>
                </w:rPr>
              </w:pPr>
            </w:p>
            <w:p w14:paraId="486FE66D" w14:textId="1D53203A" w:rsidR="00B47F9F" w:rsidRDefault="00B47F9F" w:rsidP="00B47F9F">
              <w:pPr>
                <w:pStyle w:val="Bibliography"/>
                <w:rPr>
                  <w:noProof/>
                  <w:lang w:val="en-US"/>
                </w:rPr>
              </w:pPr>
              <w:r>
                <w:rPr>
                  <w:noProof/>
                  <w:lang w:val="en-US"/>
                </w:rPr>
                <w:t xml:space="preserve">Service, T. C. P., 2018. </w:t>
              </w:r>
              <w:r>
                <w:rPr>
                  <w:i/>
                  <w:iCs/>
                  <w:noProof/>
                  <w:lang w:val="en-US"/>
                </w:rPr>
                <w:t xml:space="preserve">Homicide: Murder and Manslaughter. </w:t>
              </w:r>
              <w:r>
                <w:rPr>
                  <w:noProof/>
                  <w:lang w:val="en-US"/>
                </w:rPr>
                <w:t xml:space="preserve">[Online] </w:t>
              </w:r>
              <w:r>
                <w:rPr>
                  <w:noProof/>
                  <w:lang w:val="en-US"/>
                </w:rPr>
                <w:br/>
                <w:t xml:space="preserve">Available at: </w:t>
              </w:r>
              <w:r>
                <w:rPr>
                  <w:noProof/>
                  <w:u w:val="single"/>
                  <w:lang w:val="en-US"/>
                </w:rPr>
                <w:t>https://www.cps.gov.uk/legal-guidance/homicide-murder-and-manslaughter</w:t>
              </w:r>
              <w:r>
                <w:rPr>
                  <w:noProof/>
                  <w:lang w:val="en-US"/>
                </w:rPr>
                <w:br/>
                <w:t>[Accessed 7th March 2023].</w:t>
              </w:r>
            </w:p>
            <w:p w14:paraId="63B7E230" w14:textId="090B0A27" w:rsidR="00B47F9F" w:rsidRDefault="00B47F9F" w:rsidP="00B47F9F">
              <w:r>
                <w:rPr>
                  <w:b/>
                  <w:bCs/>
                  <w:noProof/>
                </w:rPr>
                <w:fldChar w:fldCharType="end"/>
              </w:r>
            </w:p>
          </w:sdtContent>
        </w:sdt>
      </w:sdtContent>
    </w:sdt>
    <w:p w14:paraId="59BCA68A" w14:textId="77777777" w:rsidR="00B47F9F" w:rsidRDefault="00B47F9F"/>
    <w:p w14:paraId="36369AC8" w14:textId="77777777" w:rsidR="00D5239B" w:rsidRPr="00854D4D" w:rsidRDefault="00D5239B"/>
    <w:sectPr w:rsidR="00D5239B" w:rsidRPr="00854D4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E1B67" w14:textId="77777777" w:rsidR="003D25D6" w:rsidRDefault="003D25D6" w:rsidP="008F03A5">
      <w:r>
        <w:separator/>
      </w:r>
    </w:p>
  </w:endnote>
  <w:endnote w:type="continuationSeparator" w:id="0">
    <w:p w14:paraId="591FF8A0" w14:textId="77777777" w:rsidR="003D25D6" w:rsidRDefault="003D25D6" w:rsidP="008F03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E7D4E" w14:textId="77777777" w:rsidR="003D25D6" w:rsidRDefault="003D25D6" w:rsidP="008F03A5">
      <w:r>
        <w:separator/>
      </w:r>
    </w:p>
  </w:footnote>
  <w:footnote w:type="continuationSeparator" w:id="0">
    <w:p w14:paraId="455607C2" w14:textId="77777777" w:rsidR="003D25D6" w:rsidRDefault="003D25D6" w:rsidP="008F03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35F58" w14:textId="644AA47E" w:rsidR="008F03A5" w:rsidRDefault="008F03A5">
    <w:pPr>
      <w:pStyle w:val="Header"/>
    </w:pPr>
    <w:r>
      <w:t xml:space="preserve">Shannon Clark </w:t>
    </w:r>
  </w:p>
  <w:p w14:paraId="62F3767F" w14:textId="71368501" w:rsidR="008F03A5" w:rsidRDefault="008F03A5">
    <w:pPr>
      <w:pStyle w:val="Header"/>
    </w:pPr>
    <w:r>
      <w:t>2205377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10345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FE4"/>
    <w:rsid w:val="000002D8"/>
    <w:rsid w:val="0000032E"/>
    <w:rsid w:val="00000B96"/>
    <w:rsid w:val="00016F90"/>
    <w:rsid w:val="00023C47"/>
    <w:rsid w:val="00070E88"/>
    <w:rsid w:val="00075847"/>
    <w:rsid w:val="000809C4"/>
    <w:rsid w:val="000963A9"/>
    <w:rsid w:val="000A042D"/>
    <w:rsid w:val="000A2E24"/>
    <w:rsid w:val="000E7A79"/>
    <w:rsid w:val="00107F8B"/>
    <w:rsid w:val="00112A17"/>
    <w:rsid w:val="00113205"/>
    <w:rsid w:val="001301BB"/>
    <w:rsid w:val="00176D39"/>
    <w:rsid w:val="001841B1"/>
    <w:rsid w:val="001E346A"/>
    <w:rsid w:val="001E3F80"/>
    <w:rsid w:val="001E489E"/>
    <w:rsid w:val="0023765C"/>
    <w:rsid w:val="00253E90"/>
    <w:rsid w:val="002540A6"/>
    <w:rsid w:val="00286C27"/>
    <w:rsid w:val="00291FE4"/>
    <w:rsid w:val="002B6267"/>
    <w:rsid w:val="002C5331"/>
    <w:rsid w:val="002E170F"/>
    <w:rsid w:val="00314F28"/>
    <w:rsid w:val="003352AA"/>
    <w:rsid w:val="003A67DD"/>
    <w:rsid w:val="003A794A"/>
    <w:rsid w:val="003C1B5F"/>
    <w:rsid w:val="003D25D6"/>
    <w:rsid w:val="00434FC8"/>
    <w:rsid w:val="00435A81"/>
    <w:rsid w:val="004A1497"/>
    <w:rsid w:val="004A2CEF"/>
    <w:rsid w:val="004C1864"/>
    <w:rsid w:val="004C3A2A"/>
    <w:rsid w:val="004E31C9"/>
    <w:rsid w:val="00525727"/>
    <w:rsid w:val="00527078"/>
    <w:rsid w:val="005325A4"/>
    <w:rsid w:val="005410F8"/>
    <w:rsid w:val="0054688A"/>
    <w:rsid w:val="00567A00"/>
    <w:rsid w:val="005704DB"/>
    <w:rsid w:val="005767C0"/>
    <w:rsid w:val="00584B75"/>
    <w:rsid w:val="00586FD5"/>
    <w:rsid w:val="00590C5E"/>
    <w:rsid w:val="005B68A1"/>
    <w:rsid w:val="005C30FB"/>
    <w:rsid w:val="005D2015"/>
    <w:rsid w:val="005D5B48"/>
    <w:rsid w:val="005E1747"/>
    <w:rsid w:val="005F185B"/>
    <w:rsid w:val="005F34D4"/>
    <w:rsid w:val="00607D35"/>
    <w:rsid w:val="00607D87"/>
    <w:rsid w:val="00615FE8"/>
    <w:rsid w:val="006172D3"/>
    <w:rsid w:val="00630B74"/>
    <w:rsid w:val="0064254A"/>
    <w:rsid w:val="0064401F"/>
    <w:rsid w:val="00645E8A"/>
    <w:rsid w:val="00646BA8"/>
    <w:rsid w:val="00654606"/>
    <w:rsid w:val="00661002"/>
    <w:rsid w:val="006632BE"/>
    <w:rsid w:val="0066626A"/>
    <w:rsid w:val="00695D17"/>
    <w:rsid w:val="006B7D2C"/>
    <w:rsid w:val="00706BA9"/>
    <w:rsid w:val="00747009"/>
    <w:rsid w:val="00761CF4"/>
    <w:rsid w:val="00776F1D"/>
    <w:rsid w:val="007D542A"/>
    <w:rsid w:val="007D68AC"/>
    <w:rsid w:val="007E1ED3"/>
    <w:rsid w:val="008067DA"/>
    <w:rsid w:val="008169F1"/>
    <w:rsid w:val="0082173B"/>
    <w:rsid w:val="00825A36"/>
    <w:rsid w:val="008266B1"/>
    <w:rsid w:val="00831454"/>
    <w:rsid w:val="0084590C"/>
    <w:rsid w:val="00854D4D"/>
    <w:rsid w:val="00863D41"/>
    <w:rsid w:val="00885071"/>
    <w:rsid w:val="00886B0E"/>
    <w:rsid w:val="00890948"/>
    <w:rsid w:val="008C7B46"/>
    <w:rsid w:val="008F03A5"/>
    <w:rsid w:val="008F08E6"/>
    <w:rsid w:val="008F31A2"/>
    <w:rsid w:val="009142A2"/>
    <w:rsid w:val="00924876"/>
    <w:rsid w:val="009260BC"/>
    <w:rsid w:val="00927385"/>
    <w:rsid w:val="0093484A"/>
    <w:rsid w:val="0097182B"/>
    <w:rsid w:val="009740E7"/>
    <w:rsid w:val="009B3A78"/>
    <w:rsid w:val="009C3667"/>
    <w:rsid w:val="009D7852"/>
    <w:rsid w:val="009F0B6C"/>
    <w:rsid w:val="00A05A63"/>
    <w:rsid w:val="00A40E6F"/>
    <w:rsid w:val="00A44A59"/>
    <w:rsid w:val="00A46E74"/>
    <w:rsid w:val="00A65873"/>
    <w:rsid w:val="00A9053E"/>
    <w:rsid w:val="00AD4198"/>
    <w:rsid w:val="00AD7C86"/>
    <w:rsid w:val="00AE1DA6"/>
    <w:rsid w:val="00AF1053"/>
    <w:rsid w:val="00B04B1C"/>
    <w:rsid w:val="00B063D7"/>
    <w:rsid w:val="00B15496"/>
    <w:rsid w:val="00B2491A"/>
    <w:rsid w:val="00B47F9F"/>
    <w:rsid w:val="00B64C60"/>
    <w:rsid w:val="00B65768"/>
    <w:rsid w:val="00B82E98"/>
    <w:rsid w:val="00B84F79"/>
    <w:rsid w:val="00B91ED5"/>
    <w:rsid w:val="00BB0F3F"/>
    <w:rsid w:val="00BB2BD5"/>
    <w:rsid w:val="00BC6DC1"/>
    <w:rsid w:val="00BE0C39"/>
    <w:rsid w:val="00C029A9"/>
    <w:rsid w:val="00C115DA"/>
    <w:rsid w:val="00C13A1C"/>
    <w:rsid w:val="00C279CF"/>
    <w:rsid w:val="00C4641B"/>
    <w:rsid w:val="00C632EC"/>
    <w:rsid w:val="00C63C65"/>
    <w:rsid w:val="00C76D2D"/>
    <w:rsid w:val="00C80F3D"/>
    <w:rsid w:val="00C91570"/>
    <w:rsid w:val="00CA5140"/>
    <w:rsid w:val="00CB0E6D"/>
    <w:rsid w:val="00CC788F"/>
    <w:rsid w:val="00D0225C"/>
    <w:rsid w:val="00D13A44"/>
    <w:rsid w:val="00D17E04"/>
    <w:rsid w:val="00D210F6"/>
    <w:rsid w:val="00D4478D"/>
    <w:rsid w:val="00D51732"/>
    <w:rsid w:val="00D5239B"/>
    <w:rsid w:val="00D628DA"/>
    <w:rsid w:val="00DA1E5F"/>
    <w:rsid w:val="00DC256D"/>
    <w:rsid w:val="00DD0D5B"/>
    <w:rsid w:val="00DD39A0"/>
    <w:rsid w:val="00DE64F9"/>
    <w:rsid w:val="00DF040F"/>
    <w:rsid w:val="00DF50B5"/>
    <w:rsid w:val="00E11F3A"/>
    <w:rsid w:val="00E60AB0"/>
    <w:rsid w:val="00E646A6"/>
    <w:rsid w:val="00E725A8"/>
    <w:rsid w:val="00E74E4C"/>
    <w:rsid w:val="00E85133"/>
    <w:rsid w:val="00E964C7"/>
    <w:rsid w:val="00E96FAB"/>
    <w:rsid w:val="00ED6480"/>
    <w:rsid w:val="00F21CF8"/>
    <w:rsid w:val="00F25793"/>
    <w:rsid w:val="00F349C3"/>
    <w:rsid w:val="00F7609F"/>
    <w:rsid w:val="00F83666"/>
    <w:rsid w:val="00F975BF"/>
    <w:rsid w:val="00FA0E53"/>
    <w:rsid w:val="00FA6AD7"/>
    <w:rsid w:val="00FD5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78EAD"/>
  <w15:chartTrackingRefBased/>
  <w15:docId w15:val="{983F2FE0-6C19-4B4A-902B-D6B86656F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7F9F"/>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5873"/>
    <w:pPr>
      <w:ind w:left="720"/>
      <w:contextualSpacing/>
    </w:pPr>
    <w:rPr>
      <w:rFonts w:ascii="Times New Roman" w:eastAsia="Times New Roman" w:hAnsi="Times New Roman" w:cs="Times New Roman"/>
      <w:sz w:val="20"/>
      <w:szCs w:val="20"/>
    </w:rPr>
  </w:style>
  <w:style w:type="paragraph" w:styleId="Header">
    <w:name w:val="header"/>
    <w:basedOn w:val="Normal"/>
    <w:link w:val="HeaderChar"/>
    <w:uiPriority w:val="99"/>
    <w:unhideWhenUsed/>
    <w:rsid w:val="008F03A5"/>
    <w:pPr>
      <w:tabs>
        <w:tab w:val="center" w:pos="4513"/>
        <w:tab w:val="right" w:pos="9026"/>
      </w:tabs>
    </w:pPr>
  </w:style>
  <w:style w:type="character" w:customStyle="1" w:styleId="HeaderChar">
    <w:name w:val="Header Char"/>
    <w:basedOn w:val="DefaultParagraphFont"/>
    <w:link w:val="Header"/>
    <w:uiPriority w:val="99"/>
    <w:rsid w:val="008F03A5"/>
  </w:style>
  <w:style w:type="paragraph" w:styleId="Footer">
    <w:name w:val="footer"/>
    <w:basedOn w:val="Normal"/>
    <w:link w:val="FooterChar"/>
    <w:uiPriority w:val="99"/>
    <w:unhideWhenUsed/>
    <w:rsid w:val="008F03A5"/>
    <w:pPr>
      <w:tabs>
        <w:tab w:val="center" w:pos="4513"/>
        <w:tab w:val="right" w:pos="9026"/>
      </w:tabs>
    </w:pPr>
  </w:style>
  <w:style w:type="character" w:customStyle="1" w:styleId="FooterChar">
    <w:name w:val="Footer Char"/>
    <w:basedOn w:val="DefaultParagraphFont"/>
    <w:link w:val="Footer"/>
    <w:uiPriority w:val="99"/>
    <w:rsid w:val="008F03A5"/>
  </w:style>
  <w:style w:type="character" w:customStyle="1" w:styleId="Heading1Char">
    <w:name w:val="Heading 1 Char"/>
    <w:basedOn w:val="DefaultParagraphFont"/>
    <w:link w:val="Heading1"/>
    <w:uiPriority w:val="9"/>
    <w:rsid w:val="00B47F9F"/>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B47F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570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Jon20</b:Tag>
    <b:SourceType>BookSection</b:SourceType>
    <b:Guid>{6A968D48-5D7A-40FB-82CC-135CD067566E}</b:Guid>
    <b:Title>Homicide</b:Title>
    <b:Year>2020</b:Year>
    <b:Author>
      <b:Author>
        <b:NameList>
          <b:Person>
            <b:Last>Herring</b:Last>
            <b:First>Jonathan</b:First>
          </b:Person>
        </b:NameList>
      </b:Author>
    </b:Author>
    <b:Publisher>Oxford University Press</b:Publisher>
    <b:Edition>Ninth</b:Edition>
    <b:BookTitle>Criminal Law</b:BookTitle>
    <b:Pages>254</b:Pages>
    <b:RefOrder>1</b:RefOrder>
  </b:Source>
  <b:Source>
    <b:Tag>Her201</b:Tag>
    <b:SourceType>BookSection</b:SourceType>
    <b:Guid>{C480CF5B-366D-468E-88C7-FBCF3C46DF2C}</b:Guid>
    <b:Author>
      <b:Author>
        <b:NameList>
          <b:Person>
            <b:Last>Herring</b:Last>
            <b:First>Jonathan</b:First>
          </b:Person>
        </b:NameList>
      </b:Author>
    </b:Author>
    <b:Title>Homicide</b:Title>
    <b:BookTitle>Criminal Law</b:BookTitle>
    <b:Year>2020</b:Year>
    <b:Pages>233</b:Pages>
    <b:Publisher>Oxford University Press</b:Publisher>
    <b:RefOrder>2</b:RefOrder>
  </b:Source>
  <b:Source>
    <b:Tag>Her20</b:Tag>
    <b:SourceType>BookSection</b:SourceType>
    <b:Guid>{92D68956-770C-4EA8-9709-27D7EFF83B16}</b:Guid>
    <b:Author>
      <b:Author>
        <b:NameList>
          <b:Person>
            <b:Last>Herring</b:Last>
            <b:First>Jonathan</b:First>
          </b:Person>
        </b:NameList>
      </b:Author>
    </b:Author>
    <b:Title>Homicide</b:Title>
    <b:BookTitle>Criminal Law</b:BookTitle>
    <b:Year>2020</b:Year>
    <b:Pages>231</b:Pages>
    <b:Publisher>Oxford University Press</b:Publisher>
    <b:RefOrder>3</b:RefOrder>
  </b:Source>
  <b:Source>
    <b:Tag>The181</b:Tag>
    <b:SourceType>InternetSite</b:SourceType>
    <b:Guid>{E84EE516-E900-4C9D-B5BF-4E500A9D22EC}</b:Guid>
    <b:Title>Homicide: Murder and Manslaughter</b:Title>
    <b:Year>2018</b:Year>
    <b:YearAccessed>2023</b:YearAccessed>
    <b:MonthAccessed>March</b:MonthAccessed>
    <b:DayAccessed>7th</b:DayAccessed>
    <b:URL>https://www.cps.gov.uk/legal-guidance/homicide-murder-and-manslaughter</b:URL>
    <b:Author>
      <b:Author>
        <b:NameList>
          <b:Person>
            <b:Last>Service</b:Last>
            <b:First>The</b:First>
            <b:Middle>Crown Prosecution</b:Middle>
          </b:Person>
        </b:NameList>
      </b:Author>
    </b:Author>
    <b:RefOrder>4</b:RefOrder>
  </b:Source>
  <b:Source>
    <b:Tag>Get171</b:Tag>
    <b:SourceType>InternetSite</b:SourceType>
    <b:Guid>{FB30F74C-89F8-4EA8-8E61-8525DC817AC3}</b:Guid>
    <b:Author>
      <b:Author>
        <b:NameList>
          <b:Person>
            <b:Last>Revising</b:Last>
            <b:First>Get</b:First>
          </b:Person>
        </b:NameList>
      </b:Author>
    </b:Author>
    <b:Title>New Law on Diminished Responsibility: Advantages and Disadvantages (b)</b:Title>
    <b:Year>2017</b:Year>
    <b:YearAccessed>2023</b:YearAccessed>
    <b:MonthAccessed>March</b:MonthAccessed>
    <b:DayAccessed>7th</b:DayAccessed>
    <b:URL>https://getrevising.co.uk/grids/new-law-on-dr</b:URL>
    <b:RefOrder>5</b:RefOrder>
  </b:Source>
  <b:Source>
    <b:Tag>Get17</b:Tag>
    <b:SourceType>InternetSite</b:SourceType>
    <b:Guid>{E5C2BFC6-E4D4-4BB7-B7B7-34B5A18C3CF4}</b:Guid>
    <b:Author>
      <b:Author>
        <b:NameList>
          <b:Person>
            <b:Last>Revising</b:Last>
            <b:First>Get</b:First>
          </b:Person>
        </b:NameList>
      </b:Author>
    </b:Author>
    <b:Title>New Law on Diminished Responsibility: Advantages and Disadvantages (a)</b:Title>
    <b:Year>2017</b:Year>
    <b:YearAccessed>2023</b:YearAccessed>
    <b:MonthAccessed>March</b:MonthAccessed>
    <b:DayAccessed>7th</b:DayAccessed>
    <b:URL>https://getrevising.co.uk/grids/new-law-on-dr</b:URL>
    <b:RefOrder>6</b:RefOrder>
  </b:Source>
  <b:Source>
    <b:Tag>Lexte</b:Tag>
    <b:SourceType>InternetSite</b:SourceType>
    <b:Guid>{4A177587-C927-4E55-9804-EB003154D11E}</b:Guid>
    <b:Author>
      <b:Author>
        <b:NameList>
          <b:Person>
            <b:Last>Nexus</b:Last>
            <b:First>Lexus</b:First>
          </b:Person>
        </b:NameList>
      </b:Author>
    </b:Author>
    <b:Title>R v Alhuwalia 1992</b:Title>
    <b:Year>No date</b:Year>
    <b:YearAccessed>2023</b:YearAccessed>
    <b:MonthAccessed>March</b:MonthAccessed>
    <b:DayAccessed>7th </b:DayAccessed>
    <b:URL>plus-lexis-com.ezproxy.uwtsd.ac.uk</b:URL>
    <b:RefOrder>7</b:RefOrder>
  </b:Source>
  <b:Source>
    <b:Tag>Hou03</b:Tag>
    <b:SourceType>DocumentFromInternetSite</b:SourceType>
    <b:Guid>{21E6E8FE-22C7-4BC5-9974-028EDDB2B55A}</b:Guid>
    <b:Author>
      <b:Author>
        <b:NameList>
          <b:Person>
            <b:Last>Lords</b:Last>
            <b:First>House</b:First>
            <b:Middle>of</b:Middle>
          </b:Person>
        </b:NameList>
      </b:Author>
    </b:Author>
    <b:Title>Judgments - Regina v Dietschmann (Appellant) (on appeal from the Court of Appeal (Criminal Division)</b:Title>
    <b:Year>2003</b:Year>
    <b:Month>February</b:Month>
    <b:Day>27th</b:Day>
    <b:YearAccessed>2023</b:YearAccessed>
    <b:MonthAccessed>March</b:MonthAccessed>
    <b:DayAccessed>7th</b:DayAccessed>
    <b:URL>https://www.bailii.org/uk/cases/UKHL/2003/10.html</b:URL>
    <b:RefOrder>8</b:RefOrder>
  </b:Source>
  <b:Source>
    <b:Tag>Roy12</b:Tag>
    <b:SourceType>DocumentFromInternetSite</b:SourceType>
    <b:Guid>{1C5E1CF7-6710-45F5-B27B-DFE76A728AA5}</b:Guid>
    <b:Title>In the Court of Appeal </b:Title>
    <b:Year>2012</b:Year>
    <b:YearAccessed>2023</b:YearAccessed>
    <b:MonthAccessed>March</b:MonthAccessed>
    <b:DayAccessed>7th</b:DayAccessed>
    <b:URL>https://www.bailii.org/ew/cases/EWCA/Crim/2012/281.html</b:URL>
    <b:Author>
      <b:Author>
        <b:NameList>
          <b:Person>
            <b:Last>London</b:Last>
            <b:First>Royal</b:First>
            <b:Middle>Courts of</b:Middle>
          </b:Person>
        </b:NameList>
      </b:Author>
    </b:Author>
    <b:Month>February</b:Month>
    <b:Day>22</b:Day>
    <b:RefOrder>9</b:RefOrder>
  </b:Source>
  <b:Source>
    <b:Tag>Leg231</b:Tag>
    <b:SourceType>InternetSite</b:SourceType>
    <b:Guid>{28AEBEC3-B20C-4C96-AA38-346A5358767C}</b:Guid>
    <b:Author>
      <b:Author>
        <b:NameList>
          <b:Person>
            <b:Last>Legislation</b:Last>
          </b:Person>
        </b:NameList>
      </b:Author>
    </b:Author>
    <b:Title>Human Rights Act 1998</b:Title>
    <b:Year>2023</b:Year>
    <b:YearAccessed>2023</b:YearAccessed>
    <b:MonthAccessed>March</b:MonthAccessed>
    <b:DayAccessed>7th</b:DayAccessed>
    <b:URL>https://www.legislation.gov.uk/ukpga/1998/42/schedule/1/part/I/chapter/5</b:URL>
    <b:RefOrder>10</b:RefOrder>
  </b:Source>
  <b:Source>
    <b:Tag>Leg23</b:Tag>
    <b:SourceType>InternetSite</b:SourceType>
    <b:Guid>{E930FBA8-DE2B-4AFB-A157-4F11966BD374}</b:Guid>
    <b:Title>Homicide Act 1957</b:Title>
    <b:Year>2022</b:Year>
    <b:YearAccessed>2023</b:YearAccessed>
    <b:MonthAccessed>March</b:MonthAccessed>
    <b:DayAccessed>7th</b:DayAccessed>
    <b:URL>https://www.legislation.gov.uk/ukpga/Eliz2/5-6/11/section/2</b:URL>
    <b:Author>
      <b:Author>
        <b:NameList>
          <b:Person>
            <b:Last>Legislation</b:Last>
          </b:Person>
        </b:NameList>
      </b:Author>
    </b:Author>
    <b:RefOrder>11</b:RefOrder>
  </b:Source>
  <b:Source>
    <b:Tag>Jus10</b:Tag>
    <b:SourceType>DocumentFromInternetSite</b:SourceType>
    <b:Guid>{168E82EA-21A9-4AA8-BB0E-632B5D25969A}</b:Guid>
    <b:Author>
      <b:Author>
        <b:NameList>
          <b:Person>
            <b:Last>Justice</b:Last>
            <b:First>Ministry</b:First>
            <b:Middle>of</b:Middle>
          </b:Person>
        </b:NameList>
      </b:Author>
    </b:Author>
    <b:Title>Partial Defence to Murder</b:Title>
    <b:Year>2010</b:Year>
    <b:YearAccessed>2023</b:YearAccessed>
    <b:MonthAccessed>March</b:MonthAccessed>
    <b:DayAccessed>7th</b:DayAccessed>
    <b:URL>https://www.justice.gov.uk/downloads/legislation/bills-acts/circulars/moj/2010/circular-12-2010-coroners-justice-act-homicide-provisions.pdf</b:URL>
    <b:Month>October</b:Month>
    <b:Day>4th</b:Day>
    <b:RefOrder>12</b:RefOrder>
  </b:Source>
</b:Sources>
</file>

<file path=customXml/itemProps1.xml><?xml version="1.0" encoding="utf-8"?>
<ds:datastoreItem xmlns:ds="http://schemas.openxmlformats.org/officeDocument/2006/customXml" ds:itemID="{C946A0A9-63AD-46E3-9447-FF2664401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2687</TotalTime>
  <Pages>3</Pages>
  <Words>1481</Words>
  <Characters>8446</Characters>
  <Application>Microsoft Office Word</Application>
  <DocSecurity>0</DocSecurity>
  <Lines>70</Lines>
  <Paragraphs>19</Paragraphs>
  <ScaleCrop>false</ScaleCrop>
  <Company/>
  <LinksUpToDate>false</LinksUpToDate>
  <CharactersWithSpaces>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177</cp:revision>
  <dcterms:created xsi:type="dcterms:W3CDTF">2023-02-02T09:50:00Z</dcterms:created>
  <dcterms:modified xsi:type="dcterms:W3CDTF">2023-03-09T11:20:00Z</dcterms:modified>
</cp:coreProperties>
</file>