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5E7376" w14:textId="77777777" w:rsidR="004A4852" w:rsidRDefault="004A4852" w:rsidP="004A4852">
      <w:pPr>
        <w:spacing w:line="279" w:lineRule="auto"/>
        <w:jc w:val="left"/>
        <w:rPr>
          <w:rFonts w:ascii="Arial Nova" w:eastAsia="Arial Nova" w:hAnsi="Arial Nova" w:cs="Arial Nova"/>
          <w:sz w:val="44"/>
          <w:szCs w:val="44"/>
        </w:rPr>
      </w:pPr>
    </w:p>
    <w:p w14:paraId="680AA49D" w14:textId="77777777" w:rsidR="004A4852" w:rsidRDefault="004A4852" w:rsidP="004A4852">
      <w:pPr>
        <w:spacing w:line="279" w:lineRule="auto"/>
        <w:jc w:val="left"/>
        <w:rPr>
          <w:rFonts w:ascii="Arial Nova" w:eastAsia="Arial Nova" w:hAnsi="Arial Nova" w:cs="Arial Nova"/>
          <w:sz w:val="44"/>
          <w:szCs w:val="44"/>
        </w:rPr>
      </w:pPr>
    </w:p>
    <w:p w14:paraId="45AF4010" w14:textId="77777777" w:rsidR="004A4852" w:rsidRDefault="004A4852" w:rsidP="004A4852">
      <w:pPr>
        <w:spacing w:line="279" w:lineRule="auto"/>
        <w:jc w:val="left"/>
        <w:rPr>
          <w:rFonts w:ascii="Arial Nova" w:eastAsia="Arial Nova" w:hAnsi="Arial Nova" w:cs="Arial Nova"/>
          <w:sz w:val="44"/>
          <w:szCs w:val="44"/>
        </w:rPr>
      </w:pPr>
    </w:p>
    <w:p w14:paraId="0CF6EEEE" w14:textId="77777777" w:rsidR="004A4852" w:rsidRDefault="004A4852" w:rsidP="004A4852">
      <w:pPr>
        <w:spacing w:line="279" w:lineRule="auto"/>
        <w:jc w:val="left"/>
        <w:rPr>
          <w:rFonts w:ascii="Arial Nova" w:eastAsia="Arial Nova" w:hAnsi="Arial Nova" w:cs="Arial Nova"/>
          <w:sz w:val="44"/>
          <w:szCs w:val="44"/>
        </w:rPr>
      </w:pPr>
    </w:p>
    <w:p w14:paraId="0E043F77" w14:textId="6F3986D8" w:rsidR="004A4852" w:rsidRPr="00F7499E" w:rsidRDefault="004A4852" w:rsidP="004A4852">
      <w:pPr>
        <w:spacing w:line="279" w:lineRule="auto"/>
        <w:jc w:val="center"/>
        <w:rPr>
          <w:rFonts w:ascii="Arial Nova" w:eastAsia="Arial Nova" w:hAnsi="Arial Nova" w:cs="Arial Nova"/>
          <w:b/>
          <w:bCs/>
          <w:sz w:val="44"/>
          <w:szCs w:val="44"/>
        </w:rPr>
      </w:pPr>
      <w:r w:rsidRPr="00F7499E">
        <w:rPr>
          <w:rFonts w:ascii="Arial Nova" w:eastAsia="Arial Nova" w:hAnsi="Arial Nova" w:cs="Arial Nova"/>
          <w:b/>
          <w:bCs/>
          <w:sz w:val="44"/>
          <w:szCs w:val="44"/>
        </w:rPr>
        <w:t>Anisa Ali</w:t>
      </w:r>
    </w:p>
    <w:p w14:paraId="54037FC9" w14:textId="5BF3EE50" w:rsidR="004A4852" w:rsidRPr="00F7499E" w:rsidRDefault="004A4852" w:rsidP="004A4852">
      <w:pPr>
        <w:spacing w:line="279" w:lineRule="auto"/>
        <w:jc w:val="center"/>
        <w:rPr>
          <w:rFonts w:ascii="Arial Nova" w:eastAsia="Arial Nova" w:hAnsi="Arial Nova" w:cs="Arial Nova"/>
          <w:b/>
          <w:bCs/>
          <w:sz w:val="44"/>
          <w:szCs w:val="44"/>
        </w:rPr>
      </w:pPr>
      <w:r w:rsidRPr="00F7499E">
        <w:rPr>
          <w:rFonts w:ascii="Arial Nova" w:eastAsia="Arial Nova" w:hAnsi="Arial Nova" w:cs="Arial Nova"/>
          <w:b/>
          <w:bCs/>
          <w:sz w:val="44"/>
          <w:szCs w:val="44"/>
        </w:rPr>
        <w:t xml:space="preserve">Student </w:t>
      </w:r>
      <w:r w:rsidR="00F7499E" w:rsidRPr="00F7499E">
        <w:rPr>
          <w:rFonts w:ascii="Arial Nova" w:eastAsia="Arial Nova" w:hAnsi="Arial Nova" w:cs="Arial Nova"/>
          <w:b/>
          <w:bCs/>
          <w:sz w:val="44"/>
          <w:szCs w:val="44"/>
        </w:rPr>
        <w:t>ID</w:t>
      </w:r>
      <w:r w:rsidRPr="00F7499E">
        <w:rPr>
          <w:rFonts w:ascii="Arial Nova" w:eastAsia="Arial Nova" w:hAnsi="Arial Nova" w:cs="Arial Nova"/>
          <w:b/>
          <w:bCs/>
          <w:sz w:val="44"/>
          <w:szCs w:val="44"/>
        </w:rPr>
        <w:t>: 2427959</w:t>
      </w:r>
    </w:p>
    <w:p w14:paraId="254A2DC5" w14:textId="77777777" w:rsidR="004A4852" w:rsidRPr="00F7499E" w:rsidRDefault="004A4852" w:rsidP="004A4852">
      <w:pPr>
        <w:spacing w:line="279" w:lineRule="auto"/>
        <w:jc w:val="center"/>
        <w:rPr>
          <w:rFonts w:ascii="Arial Nova" w:eastAsia="Arial Nova" w:hAnsi="Arial Nova" w:cs="Arial Nova"/>
          <w:b/>
          <w:bCs/>
          <w:sz w:val="44"/>
          <w:szCs w:val="44"/>
        </w:rPr>
      </w:pPr>
      <w:r w:rsidRPr="00F7499E">
        <w:rPr>
          <w:rFonts w:ascii="Arial Nova" w:eastAsia="Arial Nova" w:hAnsi="Arial Nova" w:cs="Arial Nova"/>
          <w:b/>
          <w:bCs/>
          <w:sz w:val="44"/>
          <w:szCs w:val="44"/>
        </w:rPr>
        <w:t>Module: Changemakers: Building your personal brand for sustainable employment.</w:t>
      </w:r>
    </w:p>
    <w:p w14:paraId="29CA99B0" w14:textId="77777777" w:rsidR="004A4852" w:rsidRPr="00F7499E" w:rsidRDefault="004A4852" w:rsidP="004A4852">
      <w:pPr>
        <w:spacing w:line="279" w:lineRule="auto"/>
        <w:jc w:val="center"/>
        <w:rPr>
          <w:rFonts w:ascii="Arial Nova" w:eastAsia="Arial Nova" w:hAnsi="Arial Nova" w:cs="Arial Nova"/>
          <w:b/>
          <w:bCs/>
          <w:sz w:val="44"/>
          <w:szCs w:val="44"/>
        </w:rPr>
      </w:pPr>
      <w:r w:rsidRPr="00F7499E">
        <w:rPr>
          <w:rFonts w:ascii="Arial Nova" w:eastAsia="Arial Nova" w:hAnsi="Arial Nova" w:cs="Arial Nova"/>
          <w:b/>
          <w:bCs/>
          <w:sz w:val="44"/>
          <w:szCs w:val="44"/>
        </w:rPr>
        <w:t>Module code: BMHP5015</w:t>
      </w:r>
    </w:p>
    <w:p w14:paraId="5C76B47A" w14:textId="77777777" w:rsidR="004A4852" w:rsidRPr="00F7499E" w:rsidRDefault="004A4852" w:rsidP="004A4852">
      <w:pPr>
        <w:spacing w:line="279" w:lineRule="auto"/>
        <w:jc w:val="center"/>
        <w:rPr>
          <w:rFonts w:ascii="Arial Nova" w:eastAsia="Arial Nova" w:hAnsi="Arial Nova" w:cs="Arial Nova"/>
          <w:b/>
          <w:bCs/>
          <w:sz w:val="44"/>
          <w:szCs w:val="44"/>
        </w:rPr>
      </w:pPr>
      <w:r w:rsidRPr="00F7499E">
        <w:rPr>
          <w:rFonts w:ascii="Arial Nova" w:eastAsia="Arial Nova" w:hAnsi="Arial Nova" w:cs="Arial Nova"/>
          <w:b/>
          <w:bCs/>
          <w:sz w:val="44"/>
          <w:szCs w:val="44"/>
        </w:rPr>
        <w:t>Lecturer: Parese Ahmed.</w:t>
      </w:r>
    </w:p>
    <w:p w14:paraId="663760B8" w14:textId="50F6875C" w:rsidR="004A4852" w:rsidRPr="00F7499E" w:rsidRDefault="004A4852" w:rsidP="004A4852">
      <w:pPr>
        <w:spacing w:line="279" w:lineRule="auto"/>
        <w:jc w:val="center"/>
        <w:rPr>
          <w:rFonts w:ascii="Arial Nova" w:eastAsia="Arial Nova" w:hAnsi="Arial Nova" w:cs="Arial Nova"/>
          <w:b/>
          <w:bCs/>
          <w:sz w:val="44"/>
          <w:szCs w:val="44"/>
        </w:rPr>
      </w:pPr>
      <w:r w:rsidRPr="00F7499E">
        <w:rPr>
          <w:rFonts w:ascii="Arial Nova" w:eastAsia="Arial Nova" w:hAnsi="Arial Nova" w:cs="Arial Nova"/>
          <w:b/>
          <w:bCs/>
          <w:sz w:val="44"/>
          <w:szCs w:val="44"/>
        </w:rPr>
        <w:t>Assignment Title: Component 1 online portfolio of set exercises.</w:t>
      </w:r>
    </w:p>
    <w:p w14:paraId="385DE5A5" w14:textId="77777777" w:rsidR="004A4852" w:rsidRDefault="004A4852">
      <w:pPr>
        <w:spacing w:line="279" w:lineRule="auto"/>
        <w:jc w:val="left"/>
        <w:rPr>
          <w:rFonts w:ascii="Arial Nova" w:eastAsia="Arial Nova" w:hAnsi="Arial Nova" w:cs="Arial Nova"/>
          <w:sz w:val="44"/>
          <w:szCs w:val="44"/>
        </w:rPr>
      </w:pPr>
      <w:r>
        <w:rPr>
          <w:rFonts w:ascii="Arial Nova" w:eastAsia="Arial Nova" w:hAnsi="Arial Nova" w:cs="Arial Nova"/>
          <w:sz w:val="44"/>
          <w:szCs w:val="44"/>
        </w:rPr>
        <w:br w:type="page"/>
      </w:r>
    </w:p>
    <w:p w14:paraId="5ED067C8" w14:textId="326DC651" w:rsidR="32ADAAF6" w:rsidRDefault="32ADAAF6" w:rsidP="021F216E">
      <w:pPr>
        <w:rPr>
          <w:rFonts w:ascii="Arial Nova" w:eastAsia="Arial Nova" w:hAnsi="Arial Nova" w:cs="Arial Nova"/>
          <w:sz w:val="72"/>
          <w:szCs w:val="72"/>
        </w:rPr>
      </w:pPr>
      <w:r w:rsidRPr="021F216E">
        <w:rPr>
          <w:rFonts w:ascii="Arial Nova" w:eastAsia="Arial Nova" w:hAnsi="Arial Nova" w:cs="Arial Nova"/>
          <w:sz w:val="44"/>
          <w:szCs w:val="44"/>
        </w:rPr>
        <w:lastRenderedPageBreak/>
        <w:t xml:space="preserve">Task 1 – </w:t>
      </w:r>
      <w:r w:rsidR="00B7418E">
        <w:rPr>
          <w:rFonts w:ascii="Arial Nova" w:eastAsia="Arial Nova" w:hAnsi="Arial Nova" w:cs="Arial Nova"/>
          <w:sz w:val="44"/>
          <w:szCs w:val="44"/>
        </w:rPr>
        <w:t>Personal Brand</w:t>
      </w:r>
    </w:p>
    <w:p w14:paraId="7DA08BFD" w14:textId="77777777" w:rsidR="00FE0C73" w:rsidRPr="00FE0C73" w:rsidRDefault="00FE0C73" w:rsidP="00FE0C73">
      <w:pPr>
        <w:rPr>
          <w:rFonts w:ascii="Arial Nova" w:eastAsia="Arial Nova" w:hAnsi="Arial Nova" w:cs="Arial Nova"/>
          <w:color w:val="000000" w:themeColor="text1"/>
        </w:rPr>
      </w:pPr>
      <w:r w:rsidRPr="00FE0C73">
        <w:rPr>
          <w:rFonts w:ascii="Arial Nova" w:eastAsia="Arial Nova" w:hAnsi="Arial Nova" w:cs="Arial Nova"/>
          <w:color w:val="000000" w:themeColor="text1"/>
        </w:rPr>
        <w:t>Personal branding is the process of establishing and sharing a clear professional image to let others know what an individual is good at, what he/she stands for and what his/her career is about. It is more than self-promotion as it is a process of molding the meaning of skills and professional identity over time (</w:t>
      </w:r>
      <w:proofErr w:type="spellStart"/>
      <w:r w:rsidRPr="00FE0C73">
        <w:rPr>
          <w:rFonts w:ascii="Arial Nova" w:eastAsia="Arial Nova" w:hAnsi="Arial Nova" w:cs="Arial Nova"/>
          <w:color w:val="000000" w:themeColor="text1"/>
        </w:rPr>
        <w:t>Gorbatov</w:t>
      </w:r>
      <w:proofErr w:type="spellEnd"/>
      <w:r w:rsidRPr="00FE0C73">
        <w:rPr>
          <w:rFonts w:ascii="Arial Nova" w:eastAsia="Arial Nova" w:hAnsi="Arial Nova" w:cs="Arial Nova"/>
          <w:color w:val="000000" w:themeColor="text1"/>
        </w:rPr>
        <w:t xml:space="preserve">, </w:t>
      </w:r>
      <w:proofErr w:type="spellStart"/>
      <w:r w:rsidRPr="00FE0C73">
        <w:rPr>
          <w:rFonts w:ascii="Arial Nova" w:eastAsia="Arial Nova" w:hAnsi="Arial Nova" w:cs="Arial Nova"/>
          <w:color w:val="000000" w:themeColor="text1"/>
        </w:rPr>
        <w:t>Khapova</w:t>
      </w:r>
      <w:proofErr w:type="spellEnd"/>
      <w:r w:rsidRPr="00FE0C73">
        <w:rPr>
          <w:rFonts w:ascii="Arial Nova" w:eastAsia="Arial Nova" w:hAnsi="Arial Nova" w:cs="Arial Nova"/>
          <w:color w:val="000000" w:themeColor="text1"/>
        </w:rPr>
        <w:t xml:space="preserve"> and </w:t>
      </w:r>
      <w:proofErr w:type="spellStart"/>
      <w:r w:rsidRPr="00FE0C73">
        <w:rPr>
          <w:rFonts w:ascii="Arial Nova" w:eastAsia="Arial Nova" w:hAnsi="Arial Nova" w:cs="Arial Nova"/>
          <w:color w:val="000000" w:themeColor="text1"/>
        </w:rPr>
        <w:t>Lysova</w:t>
      </w:r>
      <w:proofErr w:type="spellEnd"/>
      <w:r w:rsidRPr="00FE0C73">
        <w:rPr>
          <w:rFonts w:ascii="Arial Nova" w:eastAsia="Arial Nova" w:hAnsi="Arial Nova" w:cs="Arial Nova"/>
          <w:color w:val="000000" w:themeColor="text1"/>
        </w:rPr>
        <w:t>, 2018).</w:t>
      </w:r>
    </w:p>
    <w:p w14:paraId="13275A81" w14:textId="77777777" w:rsidR="00FE0C73" w:rsidRPr="00FE0C73" w:rsidRDefault="00FE0C73" w:rsidP="00FE0C73">
      <w:pPr>
        <w:rPr>
          <w:rFonts w:ascii="Arial Nova" w:eastAsia="Arial Nova" w:hAnsi="Arial Nova" w:cs="Arial Nova"/>
          <w:color w:val="000000" w:themeColor="text1"/>
        </w:rPr>
      </w:pPr>
      <w:r w:rsidRPr="00FE0C73">
        <w:rPr>
          <w:rFonts w:ascii="Arial Nova" w:eastAsia="Arial Nova" w:hAnsi="Arial Nova" w:cs="Arial Nova"/>
          <w:color w:val="000000" w:themeColor="text1"/>
        </w:rPr>
        <w:t xml:space="preserve">Empathy, person </w:t>
      </w:r>
      <w:proofErr w:type="spellStart"/>
      <w:r w:rsidRPr="00FE0C73">
        <w:rPr>
          <w:rFonts w:ascii="Arial Nova" w:eastAsia="Arial Nova" w:hAnsi="Arial Nova" w:cs="Arial Nova"/>
          <w:color w:val="000000" w:themeColor="text1"/>
        </w:rPr>
        <w:t>centred</w:t>
      </w:r>
      <w:proofErr w:type="spellEnd"/>
      <w:r w:rsidRPr="00FE0C73">
        <w:rPr>
          <w:rFonts w:ascii="Arial Nova" w:eastAsia="Arial Nova" w:hAnsi="Arial Nova" w:cs="Arial Nova"/>
          <w:color w:val="000000" w:themeColor="text1"/>
        </w:rPr>
        <w:t xml:space="preserve"> communication, </w:t>
      </w:r>
      <w:proofErr w:type="spellStart"/>
      <w:r w:rsidRPr="00FE0C73">
        <w:rPr>
          <w:rFonts w:ascii="Arial Nova" w:eastAsia="Arial Nova" w:hAnsi="Arial Nova" w:cs="Arial Nova"/>
          <w:color w:val="000000" w:themeColor="text1"/>
        </w:rPr>
        <w:t>organisation</w:t>
      </w:r>
      <w:proofErr w:type="spellEnd"/>
      <w:r w:rsidRPr="00FE0C73">
        <w:rPr>
          <w:rFonts w:ascii="Arial Nova" w:eastAsia="Arial Nova" w:hAnsi="Arial Nova" w:cs="Arial Nova"/>
          <w:color w:val="000000" w:themeColor="text1"/>
        </w:rPr>
        <w:t xml:space="preserve"> and reflection are the focus of my professional brand. The identity activity helped me understand that there are different roles as they relate to different contexts and that my awareness of myself can impact my interactions with others. The strengths I have are relevant to my aim of becoming a Care Coordinator as communication, relationships, </w:t>
      </w:r>
      <w:proofErr w:type="spellStart"/>
      <w:r w:rsidRPr="00FE0C73">
        <w:rPr>
          <w:rFonts w:ascii="Arial Nova" w:eastAsia="Arial Nova" w:hAnsi="Arial Nova" w:cs="Arial Nova"/>
          <w:color w:val="000000" w:themeColor="text1"/>
        </w:rPr>
        <w:t>personalised</w:t>
      </w:r>
      <w:proofErr w:type="spellEnd"/>
      <w:r w:rsidRPr="00FE0C73">
        <w:rPr>
          <w:rFonts w:ascii="Arial Nova" w:eastAsia="Arial Nova" w:hAnsi="Arial Nova" w:cs="Arial Nova"/>
          <w:color w:val="000000" w:themeColor="text1"/>
        </w:rPr>
        <w:t xml:space="preserve"> care and continuous learning are all key strengths identified by NHS England (2026) for a Care Coordinator. My community learning has also helped build my understanding of the need for people to access multiple services and not one service.</w:t>
      </w:r>
    </w:p>
    <w:p w14:paraId="67C7C86C" w14:textId="77777777" w:rsidR="00FE0C73" w:rsidRPr="00FE0C73" w:rsidRDefault="00FE0C73" w:rsidP="00FE0C73">
      <w:pPr>
        <w:rPr>
          <w:rFonts w:ascii="Arial Nova" w:eastAsia="Arial Nova" w:hAnsi="Arial Nova" w:cs="Arial Nova"/>
          <w:color w:val="000000" w:themeColor="text1"/>
        </w:rPr>
      </w:pPr>
      <w:r w:rsidRPr="00FE0C73">
        <w:rPr>
          <w:rFonts w:ascii="Arial Nova" w:eastAsia="Arial Nova" w:hAnsi="Arial Nova" w:cs="Arial Nova"/>
          <w:color w:val="000000" w:themeColor="text1"/>
        </w:rPr>
        <w:t xml:space="preserve">There are still areas that I would like to build up my professional networks, learning more about the health and social care systems in the UK and being more confident in multidisciplinary </w:t>
      </w:r>
      <w:proofErr w:type="gramStart"/>
      <w:r w:rsidRPr="00FE0C73">
        <w:rPr>
          <w:rFonts w:ascii="Arial Nova" w:eastAsia="Arial Nova" w:hAnsi="Arial Nova" w:cs="Arial Nova"/>
          <w:color w:val="000000" w:themeColor="text1"/>
        </w:rPr>
        <w:t>working</w:t>
      </w:r>
      <w:proofErr w:type="gramEnd"/>
      <w:r w:rsidRPr="00FE0C73">
        <w:rPr>
          <w:rFonts w:ascii="Arial Nova" w:eastAsia="Arial Nova" w:hAnsi="Arial Nova" w:cs="Arial Nova"/>
          <w:color w:val="000000" w:themeColor="text1"/>
        </w:rPr>
        <w:t>. I will tackle these gaps by placement or relevant experience, CPD, professional events and taking time to reflect on feedback regularly. This is crucial as a professional brand needs to be backed by proof and not claims.</w:t>
      </w:r>
    </w:p>
    <w:p w14:paraId="0BC7D9FC" w14:textId="32DD7A0B" w:rsidR="00FE0C73" w:rsidRDefault="00FE0C73" w:rsidP="00FE0C73">
      <w:pPr>
        <w:rPr>
          <w:rFonts w:ascii="Arial Nova" w:eastAsia="Arial Nova" w:hAnsi="Arial Nova" w:cs="Arial Nova"/>
          <w:color w:val="000000" w:themeColor="text1"/>
        </w:rPr>
      </w:pPr>
      <w:r w:rsidRPr="00FE0C73">
        <w:rPr>
          <w:rFonts w:ascii="Arial Nova" w:eastAsia="Arial Nova" w:hAnsi="Arial Nova" w:cs="Arial Nova"/>
          <w:color w:val="000000" w:themeColor="text1"/>
        </w:rPr>
        <w:t xml:space="preserve">I will present my brand in a targeted CV, LinkedIn profile, and through appropriate work experience and evidence of learning. My goal is to have a clear professional image within applications and professional communication. My emerging brand </w:t>
      </w:r>
      <w:proofErr w:type="gramStart"/>
      <w:r w:rsidRPr="00FE0C73">
        <w:rPr>
          <w:rFonts w:ascii="Arial Nova" w:eastAsia="Arial Nova" w:hAnsi="Arial Nova" w:cs="Arial Nova"/>
          <w:color w:val="000000" w:themeColor="text1"/>
        </w:rPr>
        <w:t>is:</w:t>
      </w:r>
      <w:proofErr w:type="gramEnd"/>
      <w:r w:rsidRPr="00FE0C73">
        <w:rPr>
          <w:rFonts w:ascii="Arial Nova" w:eastAsia="Arial Nova" w:hAnsi="Arial Nova" w:cs="Arial Nova"/>
          <w:color w:val="000000" w:themeColor="text1"/>
        </w:rPr>
        <w:t xml:space="preserve"> Health and social care practitioner who is person-</w:t>
      </w:r>
      <w:proofErr w:type="spellStart"/>
      <w:r w:rsidRPr="00FE0C73">
        <w:rPr>
          <w:rFonts w:ascii="Arial Nova" w:eastAsia="Arial Nova" w:hAnsi="Arial Nova" w:cs="Arial Nova"/>
          <w:color w:val="000000" w:themeColor="text1"/>
        </w:rPr>
        <w:t>centred</w:t>
      </w:r>
      <w:proofErr w:type="spellEnd"/>
      <w:r w:rsidRPr="00FE0C73">
        <w:rPr>
          <w:rFonts w:ascii="Arial Nova" w:eastAsia="Arial Nova" w:hAnsi="Arial Nova" w:cs="Arial Nova"/>
          <w:color w:val="000000" w:themeColor="text1"/>
        </w:rPr>
        <w:t>, inclusive, communicates effectively, and is a life-long learner.</w:t>
      </w:r>
    </w:p>
    <w:p w14:paraId="759FC7CB" w14:textId="77777777" w:rsidR="00FE0C73" w:rsidRDefault="00FE0C73">
      <w:pPr>
        <w:spacing w:line="279" w:lineRule="auto"/>
        <w:jc w:val="left"/>
        <w:rPr>
          <w:rFonts w:ascii="Arial Nova" w:eastAsia="Arial Nova" w:hAnsi="Arial Nova" w:cs="Arial Nova"/>
          <w:color w:val="000000" w:themeColor="text1"/>
        </w:rPr>
      </w:pPr>
      <w:r>
        <w:rPr>
          <w:rFonts w:ascii="Arial Nova" w:eastAsia="Arial Nova" w:hAnsi="Arial Nova" w:cs="Arial Nova"/>
          <w:color w:val="000000" w:themeColor="text1"/>
        </w:rPr>
        <w:br w:type="page"/>
      </w:r>
    </w:p>
    <w:p w14:paraId="78587690" w14:textId="3EB6BFB2" w:rsidR="32ADAAF6" w:rsidRDefault="00B7418E" w:rsidP="021F216E">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lastRenderedPageBreak/>
        <w:t xml:space="preserve">Task 2 - </w:t>
      </w:r>
      <w:r w:rsidRPr="00B7418E">
        <w:rPr>
          <w:rFonts w:ascii="Arial Nova" w:eastAsia="Arial Nova" w:hAnsi="Arial Nova" w:cs="Arial Nova"/>
          <w:color w:val="000000" w:themeColor="text1"/>
          <w:sz w:val="44"/>
          <w:szCs w:val="44"/>
        </w:rPr>
        <w:t>Network Map and Rationale</w:t>
      </w:r>
    </w:p>
    <w:p w14:paraId="0FE39BA5" w14:textId="3BF047CB" w:rsidR="021F216E" w:rsidRDefault="00F65835" w:rsidP="021F216E">
      <w:pPr>
        <w:rPr>
          <w:rFonts w:ascii="Arial Nova" w:eastAsia="Arial Nova" w:hAnsi="Arial Nova" w:cs="Arial Nova"/>
          <w:color w:val="000000" w:themeColor="text1"/>
        </w:rPr>
      </w:pPr>
      <w:r>
        <w:rPr>
          <w:rFonts w:ascii="Arial Nova" w:eastAsia="Arial Nova" w:hAnsi="Arial Nova" w:cs="Arial Nova"/>
          <w:noProof/>
          <w:color w:val="000000" w:themeColor="text1"/>
        </w:rPr>
        <w:drawing>
          <wp:inline distT="0" distB="0" distL="0" distR="0" wp14:anchorId="55D61FBB" wp14:editId="57BD889A">
            <wp:extent cx="5486400" cy="3200400"/>
            <wp:effectExtent l="19050" t="0" r="19050" b="19050"/>
            <wp:docPr id="94999023"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01F2B715" w14:textId="623F513A" w:rsidR="00F65835" w:rsidRPr="00F65835" w:rsidRDefault="00F65835" w:rsidP="00F65835">
      <w:pPr>
        <w:pStyle w:val="Heading1"/>
      </w:pPr>
      <w:r w:rsidRPr="00F65835">
        <w:t>Rationale</w:t>
      </w:r>
    </w:p>
    <w:p w14:paraId="7F8DF2C1" w14:textId="77777777" w:rsidR="00741083" w:rsidRPr="00741083" w:rsidRDefault="00741083" w:rsidP="00741083">
      <w:pPr>
        <w:rPr>
          <w:lang w:val="en-PK"/>
        </w:rPr>
      </w:pPr>
      <w:r w:rsidRPr="00741083">
        <w:rPr>
          <w:lang w:val="en-PK"/>
        </w:rPr>
        <w:t>In my network map, I am the centre in the network as a future care coordinator. Four areas to focus on are: career, support, social and community networks. My University Network is made of lecturers and classmates, my Support Network of family and close friends, my Peer Network of peers and my Community Network of charities, community organisations and people connected to local services. I also require connections with NHS and care practitioners.</w:t>
      </w:r>
    </w:p>
    <w:p w14:paraId="03A6DDBD" w14:textId="77777777" w:rsidR="00741083" w:rsidRPr="00741083" w:rsidRDefault="00741083" w:rsidP="00741083">
      <w:pPr>
        <w:rPr>
          <w:lang w:val="en-PK"/>
        </w:rPr>
      </w:pPr>
      <w:r w:rsidRPr="00741083">
        <w:rPr>
          <w:lang w:val="en-PK"/>
        </w:rPr>
        <w:t>The Greenfield Well-Being Project was helpful to me in understanding bonding, bridging and linking social capital. Bonding capital is provided by family and close friends because these relationships provide encouragement, emotional support and practical assistance. But good relationships may not be strong enough to allow a detailed knowledge of health and social care opportunities or expectations of work. As a result, a personal network cannot be a substitute for business networks.</w:t>
      </w:r>
    </w:p>
    <w:p w14:paraId="33954672" w14:textId="77777777" w:rsidR="00741083" w:rsidRPr="00741083" w:rsidRDefault="00741083" w:rsidP="00741083">
      <w:pPr>
        <w:rPr>
          <w:lang w:val="en-PK"/>
        </w:rPr>
      </w:pPr>
      <w:r w:rsidRPr="00741083">
        <w:rPr>
          <w:lang w:val="en-PK"/>
        </w:rPr>
        <w:t xml:space="preserve">A study with graduating students suggested that stronger ties can be a source of social and emotional support, whereas weaker ties can be a source of information that is more practical or job specific (De </w:t>
      </w:r>
      <w:proofErr w:type="spellStart"/>
      <w:r w:rsidRPr="00741083">
        <w:rPr>
          <w:lang w:val="en-PK"/>
        </w:rPr>
        <w:t>Weerdt</w:t>
      </w:r>
      <w:proofErr w:type="spellEnd"/>
      <w:r w:rsidRPr="00741083">
        <w:rPr>
          <w:lang w:val="en-PK"/>
        </w:rPr>
        <w:t xml:space="preserve"> et al., 2024). This helps me to establish links with other students, practitioners and those I meet through placements, volunteering and professional events. There </w:t>
      </w:r>
      <w:r w:rsidRPr="00741083">
        <w:rPr>
          <w:lang w:val="en-PK"/>
        </w:rPr>
        <w:lastRenderedPageBreak/>
        <w:t>is also evidence that social capital is associated with career outcomes, though this evidence is not necessarily directly transferable to the UK context (</w:t>
      </w:r>
      <w:proofErr w:type="spellStart"/>
      <w:r w:rsidRPr="00741083">
        <w:rPr>
          <w:lang w:val="en-PK"/>
        </w:rPr>
        <w:t>Rungo</w:t>
      </w:r>
      <w:proofErr w:type="spellEnd"/>
      <w:r w:rsidRPr="00741083">
        <w:rPr>
          <w:lang w:val="en-PK"/>
        </w:rPr>
        <w:t xml:space="preserve"> et al., 2024).</w:t>
      </w:r>
    </w:p>
    <w:p w14:paraId="59DD20DF" w14:textId="00BC5265" w:rsidR="00F65835" w:rsidRPr="0093332E" w:rsidRDefault="00741083" w:rsidP="00741083">
      <w:pPr>
        <w:rPr>
          <w:lang w:val="en-PK"/>
        </w:rPr>
      </w:pPr>
      <w:r w:rsidRPr="00741083">
        <w:rPr>
          <w:lang w:val="en-PK"/>
        </w:rPr>
        <w:t xml:space="preserve">The one thing I really miss on my map are direct relationships between employers and practitioners. I will do this by attending professional events, talking to practitioners, joining online professional communities and maintaining contact with interested practitioners. I will also participate by sharing learning and supporting colleagues in my role as a peer, not just </w:t>
      </w:r>
      <w:proofErr w:type="gramStart"/>
      <w:r w:rsidRPr="00741083">
        <w:rPr>
          <w:lang w:val="en-PK"/>
        </w:rPr>
        <w:t>as a means to</w:t>
      </w:r>
      <w:proofErr w:type="gramEnd"/>
      <w:r w:rsidRPr="00741083">
        <w:rPr>
          <w:lang w:val="en-PK"/>
        </w:rPr>
        <w:t xml:space="preserve"> access opportunities.</w:t>
      </w:r>
    </w:p>
    <w:p w14:paraId="05127EC9" w14:textId="77777777" w:rsidR="0055632B" w:rsidRDefault="0055632B">
      <w:pPr>
        <w:spacing w:line="279" w:lineRule="auto"/>
        <w:jc w:val="left"/>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br w:type="page"/>
      </w:r>
    </w:p>
    <w:p w14:paraId="3D8E9ECA" w14:textId="5C8C151A" w:rsidR="32ADAAF6" w:rsidRDefault="00B7418E" w:rsidP="021F216E">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lastRenderedPageBreak/>
        <w:t>Task 3- Blog</w:t>
      </w:r>
    </w:p>
    <w:p w14:paraId="467066D2" w14:textId="77777777" w:rsidR="006005E4" w:rsidRDefault="006005E4" w:rsidP="006005E4">
      <w:pPr>
        <w:rPr>
          <w:b/>
          <w:bCs/>
          <w:lang w:val="en-PK"/>
        </w:rPr>
      </w:pPr>
      <w:r w:rsidRPr="006005E4">
        <w:rPr>
          <w:b/>
          <w:bCs/>
          <w:lang w:val="en-PK"/>
        </w:rPr>
        <w:t>Digital Healthcare: Progress for Everyone, or Another Barrier for Some?</w:t>
      </w:r>
    </w:p>
    <w:p w14:paraId="6F7AB8FB" w14:textId="3B8049D7" w:rsidR="003E16FE" w:rsidRDefault="00517B5A" w:rsidP="003E16FE">
      <w:pPr>
        <w:keepNext/>
        <w:jc w:val="center"/>
      </w:pPr>
      <w:r>
        <w:rPr>
          <w:noProof/>
        </w:rPr>
        <w:drawing>
          <wp:inline distT="0" distB="0" distL="0" distR="0" wp14:anchorId="1D2D2521" wp14:editId="7AF2019A">
            <wp:extent cx="5509846" cy="3305908"/>
            <wp:effectExtent l="0" t="0" r="0" b="8890"/>
            <wp:docPr id="15080280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534129" cy="3320478"/>
                    </a:xfrm>
                    <a:prstGeom prst="rect">
                      <a:avLst/>
                    </a:prstGeom>
                    <a:noFill/>
                  </pic:spPr>
                </pic:pic>
              </a:graphicData>
            </a:graphic>
          </wp:inline>
        </w:drawing>
      </w:r>
    </w:p>
    <w:p w14:paraId="795B5263" w14:textId="556B2A35" w:rsidR="003E16FE" w:rsidRPr="00517B5A" w:rsidRDefault="003E16FE" w:rsidP="00517B5A">
      <w:pPr>
        <w:pStyle w:val="Caption"/>
        <w:jc w:val="center"/>
        <w:rPr>
          <w:lang w:val="en-PK"/>
        </w:rPr>
      </w:pPr>
      <w:r>
        <w:t xml:space="preserve">Figure </w:t>
      </w:r>
      <w:fldSimple w:instr=" SEQ Figure \* ARABIC ">
        <w:r w:rsidR="00990D83">
          <w:rPr>
            <w:noProof/>
          </w:rPr>
          <w:t>1</w:t>
        </w:r>
      </w:fldSimple>
      <w:r>
        <w:t xml:space="preserve"> </w:t>
      </w:r>
      <w:r w:rsidRPr="00A27891">
        <w:t>Digital technology can improve access to healthcare, but only when people have the resources and support to use it.</w:t>
      </w:r>
      <w:r w:rsidR="00517B5A">
        <w:t xml:space="preserve"> </w:t>
      </w:r>
      <w:r w:rsidR="00517B5A" w:rsidRPr="00517B5A">
        <w:rPr>
          <w:lang w:val="en-PK"/>
        </w:rPr>
        <w:t>(Healey, 2020)</w:t>
      </w:r>
    </w:p>
    <w:p w14:paraId="01636897" w14:textId="77777777" w:rsidR="003E16FE" w:rsidRPr="003E16FE" w:rsidRDefault="003E16FE" w:rsidP="003E16FE">
      <w:pPr>
        <w:rPr>
          <w:lang w:val="en-PK"/>
        </w:rPr>
      </w:pPr>
      <w:r w:rsidRPr="003E16FE">
        <w:rPr>
          <w:b/>
          <w:bCs/>
          <w:lang w:val="en-PK"/>
        </w:rPr>
        <w:t>For Health and Social Care Students and Emerging Practitioners in the UK</w:t>
      </w:r>
    </w:p>
    <w:p w14:paraId="51E5B898" w14:textId="77777777" w:rsidR="00673846" w:rsidRPr="00673846" w:rsidRDefault="00673846" w:rsidP="00673846">
      <w:pPr>
        <w:rPr>
          <w:lang w:val="en-PK"/>
        </w:rPr>
      </w:pPr>
      <w:r w:rsidRPr="00673846">
        <w:rPr>
          <w:lang w:val="en-PK"/>
        </w:rPr>
        <w:t>Consider an older person who wants to book an appointment with a GP online, wants a prescription, or uses a health app with an inadequate device and/or internet connection. This is not a technology issue for Health and Social Care students or those who are to become practitioners. It is also an issue of access, equality and inclusion.</w:t>
      </w:r>
    </w:p>
    <w:p w14:paraId="74E784D2" w14:textId="77777777" w:rsidR="00673846" w:rsidRPr="00673846" w:rsidRDefault="00673846" w:rsidP="00673846">
      <w:pPr>
        <w:rPr>
          <w:b/>
          <w:bCs/>
          <w:lang w:val="en-PK"/>
        </w:rPr>
      </w:pPr>
      <w:r w:rsidRPr="00673846">
        <w:rPr>
          <w:b/>
          <w:bCs/>
          <w:lang w:val="en-PK"/>
        </w:rPr>
        <w:t>What is digital exclusion?</w:t>
      </w:r>
    </w:p>
    <w:p w14:paraId="04F280C6" w14:textId="70DF51D0" w:rsidR="003E16FE" w:rsidRDefault="00673846" w:rsidP="00673846">
      <w:pPr>
        <w:rPr>
          <w:lang w:val="en-PK"/>
        </w:rPr>
      </w:pPr>
      <w:r w:rsidRPr="00673846">
        <w:rPr>
          <w:lang w:val="en-PK"/>
        </w:rPr>
        <w:t>Digital exclusion involves barriers to accessing or confidently using digital services, including lack of devices, affordability, connectivity, digital skills and support. The UK Government lists older people, disabled people and those of low income as being among those that are likely to be digitally excluded (Department for Science, Innovation and Technology et al., 2025). Others may also want to receive face-to-face assistance instead of online dialogue.</w:t>
      </w:r>
    </w:p>
    <w:p w14:paraId="7BA49A14" w14:textId="6D984EFD" w:rsidR="00990D83" w:rsidRDefault="00517B5A" w:rsidP="00990D83">
      <w:pPr>
        <w:keepNext/>
        <w:jc w:val="center"/>
      </w:pPr>
      <w:r>
        <w:rPr>
          <w:noProof/>
        </w:rPr>
        <w:lastRenderedPageBreak/>
        <w:drawing>
          <wp:inline distT="0" distB="0" distL="0" distR="0" wp14:anchorId="071B3913" wp14:editId="7415FE63">
            <wp:extent cx="5486400" cy="3200400"/>
            <wp:effectExtent l="0" t="0" r="0" b="19050"/>
            <wp:docPr id="1364839153"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46F6BD64" w14:textId="43176A8A" w:rsidR="00990D83" w:rsidRPr="003E16FE" w:rsidRDefault="00990D83" w:rsidP="00990D83">
      <w:pPr>
        <w:pStyle w:val="Caption"/>
        <w:jc w:val="center"/>
        <w:rPr>
          <w:lang w:val="en-PK"/>
        </w:rPr>
      </w:pPr>
      <w:r>
        <w:t xml:space="preserve">Figure </w:t>
      </w:r>
      <w:fldSimple w:instr=" SEQ Figure \* ARABIC ">
        <w:r>
          <w:rPr>
            <w:noProof/>
          </w:rPr>
          <w:t>2</w:t>
        </w:r>
      </w:fldSimple>
      <w:r>
        <w:t xml:space="preserve"> </w:t>
      </w:r>
      <w:r w:rsidRPr="00FC657A">
        <w:t>Common barriers associated with digital exclusion in health and social care. Source: Adapted from Department for Science, Innovation and Technology et al. (2026).</w:t>
      </w:r>
    </w:p>
    <w:p w14:paraId="34A54C4B" w14:textId="77777777" w:rsidR="00673846" w:rsidRPr="00673846" w:rsidRDefault="00673846" w:rsidP="00673846">
      <w:pPr>
        <w:rPr>
          <w:lang w:val="en-PK"/>
        </w:rPr>
      </w:pPr>
      <w:r w:rsidRPr="00673846">
        <w:rPr>
          <w:lang w:val="en-PK"/>
        </w:rPr>
        <w:t xml:space="preserve">These barriers became more evident in the case study of Mr David Jones that was completed in this module. Mr Jones lived in a rural community in a poor broadband </w:t>
      </w:r>
      <w:proofErr w:type="gramStart"/>
      <w:r w:rsidRPr="00673846">
        <w:rPr>
          <w:lang w:val="en-PK"/>
        </w:rPr>
        <w:t>area, and</w:t>
      </w:r>
      <w:proofErr w:type="gramEnd"/>
      <w:r w:rsidRPr="00673846">
        <w:rPr>
          <w:lang w:val="en-PK"/>
        </w:rPr>
        <w:t xml:space="preserve"> didn't like having to travel to see his healthcare provider. The use of online services made scheduling appointments and taking medications a challenge. It was a learning case rather than evidence of research, but it demonstrated the potential of a service which is designed for convenience to become a constraint if individual circumstances are not </w:t>
      </w:r>
      <w:proofErr w:type="gramStart"/>
      <w:r w:rsidRPr="00673846">
        <w:rPr>
          <w:lang w:val="en-PK"/>
        </w:rPr>
        <w:t>taken into account</w:t>
      </w:r>
      <w:proofErr w:type="gramEnd"/>
      <w:r w:rsidRPr="00673846">
        <w:rPr>
          <w:lang w:val="en-PK"/>
        </w:rPr>
        <w:t>.</w:t>
      </w:r>
    </w:p>
    <w:p w14:paraId="446CB987" w14:textId="77777777" w:rsidR="00673846" w:rsidRPr="00673846" w:rsidRDefault="00673846" w:rsidP="00673846">
      <w:pPr>
        <w:rPr>
          <w:b/>
          <w:bCs/>
          <w:lang w:val="en-PK"/>
        </w:rPr>
      </w:pPr>
      <w:r w:rsidRPr="00673846">
        <w:rPr>
          <w:b/>
          <w:bCs/>
          <w:lang w:val="en-PK"/>
        </w:rPr>
        <w:t>Why does it matter?</w:t>
      </w:r>
    </w:p>
    <w:p w14:paraId="1A16598B" w14:textId="77777777" w:rsidR="00673846" w:rsidRPr="00673846" w:rsidRDefault="00673846" w:rsidP="00673846">
      <w:pPr>
        <w:rPr>
          <w:lang w:val="en-PK"/>
        </w:rPr>
      </w:pPr>
      <w:r w:rsidRPr="00673846">
        <w:rPr>
          <w:lang w:val="en-PK"/>
        </w:rPr>
        <w:t xml:space="preserve">Digital transformation can enhance convenience and </w:t>
      </w:r>
      <w:proofErr w:type="gramStart"/>
      <w:r w:rsidRPr="00673846">
        <w:rPr>
          <w:lang w:val="en-PK"/>
        </w:rPr>
        <w:t>communications, but</w:t>
      </w:r>
      <w:proofErr w:type="gramEnd"/>
      <w:r w:rsidRPr="00673846">
        <w:rPr>
          <w:lang w:val="en-PK"/>
        </w:rPr>
        <w:t xml:space="preserve"> can also exacerbate inequalities if people don't have access to or confidence in technology. As health and social care services continue to become more digital, digital infrastructure, connectivity and equipment is also an increasingly vital aspect, according to digital infrastructure expert The Health Foundation (2025). According to the Government's 2026 progress report, there are 1.6 million people that have no internet connection at all and many more that do not have appropriate devices or Digital skills (Department for Science, Innovation and Technology et al., 2026).</w:t>
      </w:r>
    </w:p>
    <w:p w14:paraId="6675F9BE" w14:textId="77777777" w:rsidR="00673846" w:rsidRPr="00673846" w:rsidRDefault="00673846" w:rsidP="00673846">
      <w:pPr>
        <w:rPr>
          <w:b/>
          <w:bCs/>
          <w:lang w:val="en-PK"/>
        </w:rPr>
      </w:pPr>
      <w:r w:rsidRPr="00673846">
        <w:rPr>
          <w:b/>
          <w:bCs/>
          <w:lang w:val="en-PK"/>
        </w:rPr>
        <w:t>What can practitioners do?</w:t>
      </w:r>
    </w:p>
    <w:p w14:paraId="56FADC77" w14:textId="77777777" w:rsidR="00673846" w:rsidRPr="00673846" w:rsidRDefault="00673846" w:rsidP="00673846">
      <w:pPr>
        <w:rPr>
          <w:lang w:val="en-PK"/>
        </w:rPr>
      </w:pPr>
      <w:r w:rsidRPr="00673846">
        <w:rPr>
          <w:lang w:val="en-PK"/>
        </w:rPr>
        <w:t xml:space="preserve">Digital does not equal </w:t>
      </w:r>
      <w:proofErr w:type="spellStart"/>
      <w:r w:rsidRPr="00673846">
        <w:rPr>
          <w:lang w:val="en-PK"/>
        </w:rPr>
        <w:t>equal</w:t>
      </w:r>
      <w:proofErr w:type="spellEnd"/>
      <w:r w:rsidRPr="00673846">
        <w:rPr>
          <w:lang w:val="en-PK"/>
        </w:rPr>
        <w:t xml:space="preserve">. Health and Social Care professionals can provide digital and non-digital access points, offer a basic level of digital support and liaise with community organisations </w:t>
      </w:r>
      <w:r w:rsidRPr="00673846">
        <w:rPr>
          <w:lang w:val="en-PK"/>
        </w:rPr>
        <w:lastRenderedPageBreak/>
        <w:t>to connect with people who are excluded. Staff should also find out how an individual would like to communicate and think about being accessible when planning support.</w:t>
      </w:r>
    </w:p>
    <w:p w14:paraId="70E8B764" w14:textId="77777777" w:rsidR="00673846" w:rsidRPr="00673846" w:rsidRDefault="00673846" w:rsidP="00673846">
      <w:pPr>
        <w:rPr>
          <w:b/>
          <w:bCs/>
          <w:lang w:val="en-PK"/>
        </w:rPr>
      </w:pPr>
      <w:r w:rsidRPr="00673846">
        <w:rPr>
          <w:b/>
          <w:bCs/>
          <w:lang w:val="en-PK"/>
        </w:rPr>
        <w:t>Conclusion</w:t>
      </w:r>
    </w:p>
    <w:p w14:paraId="5AE7CDF8" w14:textId="2AD06254" w:rsidR="003E16FE" w:rsidRPr="003E16FE" w:rsidRDefault="00673846" w:rsidP="00673846">
      <w:pPr>
        <w:rPr>
          <w:lang w:val="en-PK"/>
        </w:rPr>
      </w:pPr>
      <w:r w:rsidRPr="00673846">
        <w:rPr>
          <w:lang w:val="en-PK"/>
        </w:rPr>
        <w:t xml:space="preserve">Digital health should not equal Digital health only. Services should be accessible, flexible and person-centred and technology should increase the choice of people, not restrict it. Inclusion must be </w:t>
      </w:r>
      <w:proofErr w:type="gramStart"/>
      <w:r w:rsidRPr="00673846">
        <w:rPr>
          <w:lang w:val="en-PK"/>
        </w:rPr>
        <w:t>taken into account</w:t>
      </w:r>
      <w:proofErr w:type="gramEnd"/>
      <w:r w:rsidRPr="00673846">
        <w:rPr>
          <w:lang w:val="en-PK"/>
        </w:rPr>
        <w:t xml:space="preserve"> at every stage of a service's design and delivery for future practitioners.</w:t>
      </w:r>
    </w:p>
    <w:p w14:paraId="0016718A" w14:textId="32D63550" w:rsidR="006005E4" w:rsidRPr="006005E4" w:rsidRDefault="006005E4" w:rsidP="00741083">
      <w:pPr>
        <w:rPr>
          <w:lang w:val="en-PK"/>
        </w:rPr>
      </w:pPr>
    </w:p>
    <w:p w14:paraId="668F8137" w14:textId="26D5D683" w:rsidR="021F216E" w:rsidRPr="006005E4" w:rsidRDefault="021F216E" w:rsidP="006005E4">
      <w:pPr>
        <w:rPr>
          <w:lang w:val="en-GB"/>
        </w:rPr>
      </w:pPr>
    </w:p>
    <w:p w14:paraId="1422809C" w14:textId="03B10199" w:rsidR="021F216E" w:rsidRDefault="021F216E" w:rsidP="021F216E">
      <w:pPr>
        <w:rPr>
          <w:rFonts w:ascii="Arial Nova" w:eastAsia="Arial Nova" w:hAnsi="Arial Nova" w:cs="Arial Nova"/>
          <w:color w:val="000000" w:themeColor="text1"/>
        </w:rPr>
      </w:pPr>
    </w:p>
    <w:p w14:paraId="6E711477" w14:textId="48F753F6" w:rsidR="021F216E" w:rsidRDefault="021F216E" w:rsidP="021F216E">
      <w:pPr>
        <w:rPr>
          <w:rFonts w:ascii="Arial Nova" w:eastAsia="Arial Nova" w:hAnsi="Arial Nova" w:cs="Arial Nova"/>
          <w:color w:val="000000" w:themeColor="text1"/>
        </w:rPr>
      </w:pPr>
    </w:p>
    <w:p w14:paraId="5D3DC063" w14:textId="34CA2969" w:rsidR="021F216E" w:rsidRDefault="021F216E" w:rsidP="021F216E">
      <w:pPr>
        <w:rPr>
          <w:rFonts w:ascii="Arial Nova" w:eastAsia="Arial Nova" w:hAnsi="Arial Nova" w:cs="Arial Nova"/>
          <w:color w:val="000000" w:themeColor="text1"/>
        </w:rPr>
      </w:pPr>
    </w:p>
    <w:p w14:paraId="6F1DB268" w14:textId="7AC6542B" w:rsidR="021F216E" w:rsidRDefault="021F216E" w:rsidP="021F216E">
      <w:pPr>
        <w:rPr>
          <w:rFonts w:ascii="Arial Nova" w:eastAsia="Arial Nova" w:hAnsi="Arial Nova" w:cs="Arial Nova"/>
          <w:color w:val="000000" w:themeColor="text1"/>
        </w:rPr>
      </w:pPr>
    </w:p>
    <w:p w14:paraId="3182567B" w14:textId="27697724" w:rsidR="021F216E" w:rsidRDefault="021F216E" w:rsidP="021F216E">
      <w:pPr>
        <w:rPr>
          <w:rFonts w:ascii="Arial Nova" w:eastAsia="Arial Nova" w:hAnsi="Arial Nova" w:cs="Arial Nova"/>
          <w:color w:val="000000" w:themeColor="text1"/>
        </w:rPr>
      </w:pPr>
    </w:p>
    <w:p w14:paraId="042FCC6C" w14:textId="2381BBC7" w:rsidR="021F216E" w:rsidRDefault="021F216E" w:rsidP="021F216E">
      <w:pPr>
        <w:rPr>
          <w:rFonts w:ascii="Arial Nova" w:eastAsia="Arial Nova" w:hAnsi="Arial Nova" w:cs="Arial Nova"/>
          <w:color w:val="000000" w:themeColor="text1"/>
        </w:rPr>
      </w:pPr>
    </w:p>
    <w:p w14:paraId="19317592" w14:textId="71E4F099" w:rsidR="021F216E" w:rsidRDefault="021F216E" w:rsidP="021F216E">
      <w:pPr>
        <w:rPr>
          <w:rFonts w:ascii="Arial Nova" w:eastAsia="Arial Nova" w:hAnsi="Arial Nova" w:cs="Arial Nova"/>
          <w:color w:val="000000" w:themeColor="text1"/>
        </w:rPr>
      </w:pPr>
    </w:p>
    <w:p w14:paraId="38F76B4A" w14:textId="768C8884" w:rsidR="021F216E" w:rsidRDefault="021F216E" w:rsidP="021F216E">
      <w:pPr>
        <w:rPr>
          <w:rFonts w:ascii="Arial Nova" w:eastAsia="Arial Nova" w:hAnsi="Arial Nova" w:cs="Arial Nova"/>
          <w:color w:val="000000" w:themeColor="text1"/>
        </w:rPr>
      </w:pPr>
    </w:p>
    <w:p w14:paraId="31627761" w14:textId="1C1F17DA" w:rsidR="021F216E" w:rsidRDefault="021F216E" w:rsidP="021F216E">
      <w:pPr>
        <w:rPr>
          <w:rFonts w:ascii="Arial Nova" w:eastAsia="Arial Nova" w:hAnsi="Arial Nova" w:cs="Arial Nova"/>
          <w:color w:val="000000" w:themeColor="text1"/>
        </w:rPr>
      </w:pPr>
    </w:p>
    <w:p w14:paraId="26322215" w14:textId="4386F5A6" w:rsidR="021F216E" w:rsidRDefault="021F216E" w:rsidP="021F216E">
      <w:pPr>
        <w:rPr>
          <w:rFonts w:ascii="Arial Nova" w:eastAsia="Arial Nova" w:hAnsi="Arial Nova" w:cs="Arial Nova"/>
          <w:color w:val="000000" w:themeColor="text1"/>
        </w:rPr>
      </w:pPr>
    </w:p>
    <w:p w14:paraId="4CBA6D98" w14:textId="000AD8C6" w:rsidR="021F216E" w:rsidRDefault="021F216E" w:rsidP="021F216E">
      <w:pPr>
        <w:rPr>
          <w:rFonts w:ascii="Arial Nova" w:eastAsia="Arial Nova" w:hAnsi="Arial Nova" w:cs="Arial Nova"/>
          <w:color w:val="000000" w:themeColor="text1"/>
        </w:rPr>
      </w:pPr>
    </w:p>
    <w:p w14:paraId="39FF8B78" w14:textId="6B01FD94" w:rsidR="021F216E" w:rsidRDefault="021F216E" w:rsidP="021F216E">
      <w:pPr>
        <w:rPr>
          <w:rFonts w:ascii="Arial Nova" w:eastAsia="Arial Nova" w:hAnsi="Arial Nova" w:cs="Arial Nova"/>
          <w:color w:val="000000" w:themeColor="text1"/>
        </w:rPr>
      </w:pPr>
    </w:p>
    <w:p w14:paraId="512C6B50" w14:textId="3F8C2BA4" w:rsidR="021F216E" w:rsidRDefault="021F216E" w:rsidP="021F216E">
      <w:pPr>
        <w:rPr>
          <w:rFonts w:ascii="Arial Nova" w:eastAsia="Arial Nova" w:hAnsi="Arial Nova" w:cs="Arial Nova"/>
          <w:color w:val="000000" w:themeColor="text1"/>
        </w:rPr>
      </w:pPr>
    </w:p>
    <w:p w14:paraId="2CDF689B" w14:textId="30728786" w:rsidR="021F216E" w:rsidRDefault="021F216E" w:rsidP="021F216E">
      <w:pPr>
        <w:rPr>
          <w:rFonts w:ascii="Arial Nova" w:eastAsia="Arial Nova" w:hAnsi="Arial Nova" w:cs="Arial Nova"/>
          <w:color w:val="000000" w:themeColor="text1"/>
        </w:rPr>
      </w:pPr>
    </w:p>
    <w:p w14:paraId="36D41CEB" w14:textId="39F9A2DE" w:rsidR="021F216E" w:rsidRDefault="021F216E" w:rsidP="021F216E">
      <w:pPr>
        <w:rPr>
          <w:rFonts w:ascii="Arial Nova" w:eastAsia="Arial Nova" w:hAnsi="Arial Nova" w:cs="Arial Nova"/>
          <w:color w:val="000000" w:themeColor="text1"/>
        </w:rPr>
      </w:pPr>
    </w:p>
    <w:p w14:paraId="07D3EE38" w14:textId="6F69F39D" w:rsidR="021F216E" w:rsidRDefault="021F216E" w:rsidP="021F216E">
      <w:pPr>
        <w:rPr>
          <w:rFonts w:ascii="Arial Nova" w:eastAsia="Arial Nova" w:hAnsi="Arial Nova" w:cs="Arial Nova"/>
          <w:color w:val="000000" w:themeColor="text1"/>
        </w:rPr>
      </w:pPr>
    </w:p>
    <w:p w14:paraId="3C2A448A" w14:textId="73187FCF" w:rsidR="021F216E" w:rsidRDefault="021F216E" w:rsidP="021F216E">
      <w:pPr>
        <w:rPr>
          <w:rFonts w:ascii="Arial Nova" w:eastAsia="Arial Nova" w:hAnsi="Arial Nova" w:cs="Arial Nova"/>
          <w:color w:val="000000" w:themeColor="text1"/>
        </w:rPr>
      </w:pPr>
    </w:p>
    <w:p w14:paraId="7E7EEBF1" w14:textId="2C63D11C" w:rsidR="79E626CA" w:rsidRDefault="79E626CA" w:rsidP="021F216E">
      <w:pPr>
        <w:rPr>
          <w:rFonts w:ascii="Arial Nova" w:eastAsia="Arial Nova" w:hAnsi="Arial Nova" w:cs="Arial Nova"/>
          <w:color w:val="000000" w:themeColor="text1"/>
          <w:sz w:val="44"/>
          <w:szCs w:val="44"/>
        </w:rPr>
      </w:pPr>
      <w:r w:rsidRPr="021F216E">
        <w:rPr>
          <w:rFonts w:ascii="Arial Nova" w:eastAsia="Arial Nova" w:hAnsi="Arial Nova" w:cs="Arial Nova"/>
          <w:color w:val="000000" w:themeColor="text1"/>
          <w:sz w:val="44"/>
          <w:szCs w:val="44"/>
        </w:rPr>
        <w:t>Task</w:t>
      </w:r>
      <w:r w:rsidR="00B7418E">
        <w:rPr>
          <w:rFonts w:ascii="Arial Nova" w:eastAsia="Arial Nova" w:hAnsi="Arial Nova" w:cs="Arial Nova"/>
          <w:color w:val="000000" w:themeColor="text1"/>
          <w:sz w:val="44"/>
          <w:szCs w:val="44"/>
        </w:rPr>
        <w:t xml:space="preserve"> 4- </w:t>
      </w:r>
      <w:r w:rsidR="00B7418E" w:rsidRPr="00B7418E">
        <w:rPr>
          <w:rFonts w:ascii="Arial Nova" w:eastAsia="Arial Nova" w:hAnsi="Arial Nova" w:cs="Arial Nova"/>
          <w:color w:val="000000" w:themeColor="text1"/>
          <w:sz w:val="44"/>
          <w:szCs w:val="44"/>
        </w:rPr>
        <w:t>NHS Equality, Diversity and Inclusion Quiz</w:t>
      </w:r>
      <w:r w:rsidR="003D2038">
        <w:rPr>
          <w:rFonts w:ascii="Arial Nova" w:eastAsia="Arial Nova" w:hAnsi="Arial Nova" w:cs="Arial Nova"/>
          <w:color w:val="000000" w:themeColor="text1"/>
          <w:sz w:val="44"/>
          <w:szCs w:val="44"/>
        </w:rPr>
        <w:t xml:space="preserve"> </w:t>
      </w:r>
      <w:r w:rsidR="003D2038" w:rsidRPr="003D2038">
        <w:rPr>
          <w:rFonts w:ascii="Arial Nova" w:eastAsia="Arial Nova" w:hAnsi="Arial Nova" w:cs="Arial Nova"/>
          <w:color w:val="000000" w:themeColor="text1"/>
          <w:sz w:val="32"/>
          <w:szCs w:val="32"/>
        </w:rPr>
        <w:t>(250 words equivalent)</w:t>
      </w:r>
    </w:p>
    <w:p w14:paraId="6E044059" w14:textId="6AA9823E" w:rsidR="006005E4" w:rsidRPr="006005E4" w:rsidRDefault="006005E4" w:rsidP="006005E4">
      <w:pPr>
        <w:pStyle w:val="ListParagraph"/>
        <w:numPr>
          <w:ilvl w:val="0"/>
          <w:numId w:val="6"/>
        </w:numPr>
        <w:rPr>
          <w:b/>
          <w:bCs/>
          <w:lang w:val="en-PK"/>
        </w:rPr>
      </w:pPr>
      <w:r w:rsidRPr="006005E4">
        <w:rPr>
          <w:b/>
          <w:bCs/>
          <w:lang w:val="en-PK"/>
        </w:rPr>
        <w:t>What is the primary goal of the NHS Equality, Diversity and Inclusion Improvement Plan?</w:t>
      </w:r>
    </w:p>
    <w:p w14:paraId="34258082" w14:textId="77777777" w:rsidR="006005E4" w:rsidRPr="006005E4" w:rsidRDefault="006005E4" w:rsidP="006005E4">
      <w:pPr>
        <w:rPr>
          <w:lang w:val="en-PK"/>
        </w:rPr>
      </w:pPr>
      <w:r w:rsidRPr="006005E4">
        <w:rPr>
          <w:lang w:val="en-PK"/>
        </w:rPr>
        <w:t>It aims to improve equality, diversity and belonging by addressing discrimination, bias and barriers across the NHS workforce (NHS England, 2023).</w:t>
      </w:r>
    </w:p>
    <w:p w14:paraId="1DBFBD8A" w14:textId="328D40EE" w:rsidR="006005E4" w:rsidRPr="006005E4" w:rsidRDefault="006005E4" w:rsidP="006005E4">
      <w:pPr>
        <w:pStyle w:val="ListParagraph"/>
        <w:numPr>
          <w:ilvl w:val="0"/>
          <w:numId w:val="6"/>
        </w:numPr>
        <w:rPr>
          <w:b/>
          <w:bCs/>
          <w:lang w:val="en-PK"/>
        </w:rPr>
      </w:pPr>
      <w:r w:rsidRPr="006005E4">
        <w:rPr>
          <w:b/>
          <w:bCs/>
          <w:lang w:val="en-PK"/>
        </w:rPr>
        <w:t>How does the NHS EDI Improvement Plan propose to tackle the gender pay gap?</w:t>
      </w:r>
    </w:p>
    <w:p w14:paraId="5FD72774" w14:textId="77777777" w:rsidR="006005E4" w:rsidRPr="006005E4" w:rsidRDefault="006005E4" w:rsidP="006005E4">
      <w:pPr>
        <w:rPr>
          <w:lang w:val="en-PK"/>
        </w:rPr>
      </w:pPr>
      <w:r w:rsidRPr="006005E4">
        <w:rPr>
          <w:lang w:val="en-PK"/>
        </w:rPr>
        <w:t>NHS organisations should analyse pay gaps by protected characteristic and develop improvement plans to reduce them (NHS England, 2023).</w:t>
      </w:r>
    </w:p>
    <w:p w14:paraId="5C11828D" w14:textId="3CC481A1" w:rsidR="006005E4" w:rsidRPr="006005E4" w:rsidRDefault="006005E4" w:rsidP="006005E4">
      <w:pPr>
        <w:pStyle w:val="ListParagraph"/>
        <w:numPr>
          <w:ilvl w:val="0"/>
          <w:numId w:val="6"/>
        </w:numPr>
        <w:rPr>
          <w:b/>
          <w:bCs/>
          <w:lang w:val="en-PK"/>
        </w:rPr>
      </w:pPr>
      <w:r w:rsidRPr="006005E4">
        <w:rPr>
          <w:b/>
          <w:bCs/>
          <w:lang w:val="en-PK"/>
        </w:rPr>
        <w:t>What is meant by the term ‘intersectionality’?</w:t>
      </w:r>
    </w:p>
    <w:p w14:paraId="26CA4D44" w14:textId="77777777" w:rsidR="006005E4" w:rsidRPr="006005E4" w:rsidRDefault="006005E4" w:rsidP="006005E4">
      <w:pPr>
        <w:rPr>
          <w:lang w:val="en-PK"/>
        </w:rPr>
      </w:pPr>
      <w:r w:rsidRPr="006005E4">
        <w:rPr>
          <w:lang w:val="en-PK"/>
        </w:rPr>
        <w:t>It recognises that people have multiple identities and may experience overlapping inequalities that cannot be understood through one characteristic alone (NHS England, 2023).</w:t>
      </w:r>
    </w:p>
    <w:p w14:paraId="3A02EEB6" w14:textId="5347E490" w:rsidR="006005E4" w:rsidRPr="006005E4" w:rsidRDefault="006005E4" w:rsidP="006005E4">
      <w:pPr>
        <w:pStyle w:val="ListParagraph"/>
        <w:numPr>
          <w:ilvl w:val="0"/>
          <w:numId w:val="6"/>
        </w:numPr>
        <w:rPr>
          <w:b/>
          <w:bCs/>
          <w:lang w:val="en-PK"/>
        </w:rPr>
      </w:pPr>
      <w:r w:rsidRPr="006005E4">
        <w:rPr>
          <w:b/>
          <w:bCs/>
          <w:lang w:val="en-PK"/>
        </w:rPr>
        <w:t>Why is it important for the NHS to create a psychologically safe work environment?</w:t>
      </w:r>
    </w:p>
    <w:p w14:paraId="1D8CA11F" w14:textId="10109B5C" w:rsidR="006005E4" w:rsidRPr="006005E4" w:rsidRDefault="00673846" w:rsidP="006005E4">
      <w:pPr>
        <w:rPr>
          <w:lang w:val="en-PK"/>
        </w:rPr>
      </w:pPr>
      <w:r w:rsidRPr="00673846">
        <w:rPr>
          <w:lang w:val="en-PK"/>
        </w:rPr>
        <w:t>Helps staff to speak up and raise concerns without fear and supports team working and safer care (NHS England, 2023).</w:t>
      </w:r>
    </w:p>
    <w:p w14:paraId="370DF668" w14:textId="192E9068" w:rsidR="006005E4" w:rsidRPr="006005E4" w:rsidRDefault="006005E4" w:rsidP="006005E4">
      <w:pPr>
        <w:pStyle w:val="ListParagraph"/>
        <w:numPr>
          <w:ilvl w:val="0"/>
          <w:numId w:val="6"/>
        </w:numPr>
        <w:rPr>
          <w:b/>
          <w:bCs/>
          <w:lang w:val="en-PK"/>
        </w:rPr>
      </w:pPr>
      <w:r w:rsidRPr="006005E4">
        <w:rPr>
          <w:b/>
          <w:bCs/>
          <w:lang w:val="en-PK"/>
        </w:rPr>
        <w:t>How does the NHS EDI Improvement Plan suggest improving the experience of internationally recruited staff?</w:t>
      </w:r>
    </w:p>
    <w:p w14:paraId="2DB2CCF3" w14:textId="1A9CCA93" w:rsidR="006005E4" w:rsidRPr="006005E4" w:rsidRDefault="00673846" w:rsidP="006005E4">
      <w:pPr>
        <w:rPr>
          <w:lang w:val="en-PK"/>
        </w:rPr>
      </w:pPr>
      <w:r w:rsidRPr="00673846">
        <w:rPr>
          <w:lang w:val="en-PK"/>
        </w:rPr>
        <w:t>Clear information, good induction, pastoral support, cultural awareness and equal access to development (NHS England, 2023).</w:t>
      </w:r>
    </w:p>
    <w:p w14:paraId="3F6D3F99" w14:textId="5B2C5203" w:rsidR="006005E4" w:rsidRPr="006005E4" w:rsidRDefault="006005E4" w:rsidP="006005E4">
      <w:pPr>
        <w:pStyle w:val="ListParagraph"/>
        <w:numPr>
          <w:ilvl w:val="0"/>
          <w:numId w:val="6"/>
        </w:numPr>
        <w:rPr>
          <w:b/>
          <w:bCs/>
          <w:lang w:val="en-PK"/>
        </w:rPr>
      </w:pPr>
      <w:r w:rsidRPr="006005E4">
        <w:rPr>
          <w:b/>
          <w:bCs/>
          <w:lang w:val="en-PK"/>
        </w:rPr>
        <w:t>What role does leadership play in advancing EDI objectives?</w:t>
      </w:r>
    </w:p>
    <w:p w14:paraId="5D2DA8B2" w14:textId="10B35154" w:rsidR="006005E4" w:rsidRPr="006005E4" w:rsidRDefault="00673846" w:rsidP="006005E4">
      <w:pPr>
        <w:rPr>
          <w:lang w:val="en-PK"/>
        </w:rPr>
      </w:pPr>
      <w:r w:rsidRPr="00673846">
        <w:rPr>
          <w:lang w:val="en-PK"/>
        </w:rPr>
        <w:t>Leaders should establish measurable goals for EDI, demonstrate inclusive behaviour within the workplace and demonstrate evidence-based practice (NHS England, 2023).</w:t>
      </w:r>
    </w:p>
    <w:p w14:paraId="3BADA5E2" w14:textId="645F4A3D" w:rsidR="006005E4" w:rsidRPr="006005E4" w:rsidRDefault="006005E4" w:rsidP="006005E4">
      <w:pPr>
        <w:pStyle w:val="ListParagraph"/>
        <w:numPr>
          <w:ilvl w:val="0"/>
          <w:numId w:val="6"/>
        </w:numPr>
        <w:rPr>
          <w:b/>
          <w:bCs/>
          <w:lang w:val="en-PK"/>
        </w:rPr>
      </w:pPr>
      <w:r w:rsidRPr="006005E4">
        <w:rPr>
          <w:b/>
          <w:bCs/>
          <w:lang w:val="en-PK"/>
        </w:rPr>
        <w:t>Identify one way the NHS EDI Improvement Plan aims to reduce health inequalities within the workforce.</w:t>
      </w:r>
    </w:p>
    <w:p w14:paraId="0FC19430" w14:textId="35FBBEDC" w:rsidR="006005E4" w:rsidRPr="006005E4" w:rsidRDefault="00673846" w:rsidP="006005E4">
      <w:pPr>
        <w:rPr>
          <w:lang w:val="en-PK"/>
        </w:rPr>
      </w:pPr>
      <w:r w:rsidRPr="00673846">
        <w:rPr>
          <w:lang w:val="en-PK"/>
        </w:rPr>
        <w:lastRenderedPageBreak/>
        <w:t>NHS organisations should plan for improvement, focusing on inequalities in the workforce, and staff health and wellbeing (NHS England, 2023).</w:t>
      </w:r>
    </w:p>
    <w:p w14:paraId="105EBB0D" w14:textId="5B6D8155" w:rsidR="006005E4" w:rsidRPr="006005E4" w:rsidRDefault="006005E4" w:rsidP="006005E4">
      <w:pPr>
        <w:pStyle w:val="ListParagraph"/>
        <w:numPr>
          <w:ilvl w:val="0"/>
          <w:numId w:val="6"/>
        </w:numPr>
        <w:rPr>
          <w:b/>
          <w:bCs/>
          <w:lang w:val="en-PK"/>
        </w:rPr>
      </w:pPr>
      <w:r w:rsidRPr="006005E4">
        <w:rPr>
          <w:b/>
          <w:bCs/>
          <w:lang w:val="en-PK"/>
        </w:rPr>
        <w:t>Why does the NHS EDI Improvement Plan emphasise collecting and analysing data on protected characteristics?</w:t>
      </w:r>
    </w:p>
    <w:p w14:paraId="1D3A8B63" w14:textId="328BC638" w:rsidR="006005E4" w:rsidRPr="006005E4" w:rsidRDefault="00673846" w:rsidP="006005E4">
      <w:pPr>
        <w:rPr>
          <w:lang w:val="en-PK"/>
        </w:rPr>
      </w:pPr>
      <w:r w:rsidRPr="00673846">
        <w:rPr>
          <w:lang w:val="en-PK"/>
        </w:rPr>
        <w:t>Data enables the identification of inequalities, track progress and focus action where improvements are needed because groups are facing poorer outcomes or treatment (NHS England, 2023).</w:t>
      </w:r>
    </w:p>
    <w:p w14:paraId="6A020823" w14:textId="6134E43D" w:rsidR="006005E4" w:rsidRPr="006005E4" w:rsidRDefault="006005E4" w:rsidP="006005E4">
      <w:pPr>
        <w:pStyle w:val="ListParagraph"/>
        <w:numPr>
          <w:ilvl w:val="0"/>
          <w:numId w:val="6"/>
        </w:numPr>
        <w:rPr>
          <w:b/>
          <w:bCs/>
          <w:lang w:val="en-PK"/>
        </w:rPr>
      </w:pPr>
      <w:r w:rsidRPr="006005E4">
        <w:rPr>
          <w:b/>
          <w:bCs/>
          <w:lang w:val="en-PK"/>
        </w:rPr>
        <w:t>Explain how flexible working policies can contribute to equality and inclusion.</w:t>
      </w:r>
    </w:p>
    <w:p w14:paraId="6AFF293D" w14:textId="17EE545A" w:rsidR="006005E4" w:rsidRPr="006005E4" w:rsidRDefault="00673846" w:rsidP="006005E4">
      <w:pPr>
        <w:rPr>
          <w:lang w:val="en-PK"/>
        </w:rPr>
      </w:pPr>
      <w:r w:rsidRPr="00673846">
        <w:rPr>
          <w:lang w:val="en-PK"/>
        </w:rPr>
        <w:t>Flexible working may assist to recruit, retain and attract workers with varying circumstances and needs (NHS England, 2023).</w:t>
      </w:r>
    </w:p>
    <w:p w14:paraId="59DDF308" w14:textId="11E09318" w:rsidR="006005E4" w:rsidRPr="006005E4" w:rsidRDefault="006005E4" w:rsidP="006005E4">
      <w:pPr>
        <w:pStyle w:val="ListParagraph"/>
        <w:numPr>
          <w:ilvl w:val="0"/>
          <w:numId w:val="6"/>
        </w:numPr>
        <w:rPr>
          <w:b/>
          <w:bCs/>
          <w:lang w:val="en-PK"/>
        </w:rPr>
      </w:pPr>
      <w:r w:rsidRPr="006005E4">
        <w:rPr>
          <w:b/>
          <w:bCs/>
          <w:lang w:val="en-PK"/>
        </w:rPr>
        <w:t>What is one strategy mentioned in the NHS EDI Improvement Plan to combat bullying and harassment?</w:t>
      </w:r>
    </w:p>
    <w:p w14:paraId="32C16D12" w14:textId="087DA821" w:rsidR="006005E4" w:rsidRPr="006005E4" w:rsidRDefault="00673846" w:rsidP="006005E4">
      <w:pPr>
        <w:rPr>
          <w:lang w:val="en-PK"/>
        </w:rPr>
      </w:pPr>
      <w:r w:rsidRPr="00673846">
        <w:rPr>
          <w:lang w:val="en-PK"/>
        </w:rPr>
        <w:t>Organisations should review the data for evidence of inequalities, agree reduction targets and audit processes where inequalities are found (NHS England, 2023).</w:t>
      </w:r>
    </w:p>
    <w:p w14:paraId="477E362C" w14:textId="4D230BBE" w:rsidR="021F216E" w:rsidRPr="006005E4" w:rsidRDefault="021F216E" w:rsidP="006005E4"/>
    <w:p w14:paraId="6D06A932" w14:textId="07F5A2E7" w:rsidR="021F216E" w:rsidRDefault="021F216E" w:rsidP="021F216E">
      <w:pPr>
        <w:rPr>
          <w:rFonts w:ascii="Arial Nova" w:eastAsia="Arial Nova" w:hAnsi="Arial Nova" w:cs="Arial Nova"/>
          <w:i/>
          <w:iCs/>
          <w:color w:val="000000" w:themeColor="text1"/>
        </w:rPr>
      </w:pPr>
    </w:p>
    <w:p w14:paraId="446F5468" w14:textId="2B9D42DA" w:rsidR="021F216E" w:rsidRDefault="021F216E" w:rsidP="021F216E">
      <w:pPr>
        <w:rPr>
          <w:rFonts w:ascii="Arial Nova" w:eastAsia="Arial Nova" w:hAnsi="Arial Nova" w:cs="Arial Nova"/>
          <w:i/>
          <w:iCs/>
          <w:color w:val="000000" w:themeColor="text1"/>
        </w:rPr>
      </w:pPr>
    </w:p>
    <w:p w14:paraId="1979C454" w14:textId="0E4820B2" w:rsidR="021F216E" w:rsidRDefault="021F216E" w:rsidP="021F216E">
      <w:pPr>
        <w:rPr>
          <w:rFonts w:ascii="Arial Nova" w:eastAsia="Arial Nova" w:hAnsi="Arial Nova" w:cs="Arial Nova"/>
          <w:i/>
          <w:iCs/>
          <w:color w:val="000000" w:themeColor="text1"/>
        </w:rPr>
      </w:pPr>
    </w:p>
    <w:p w14:paraId="00A94F28" w14:textId="4ED23128" w:rsidR="021F216E" w:rsidRDefault="021F216E" w:rsidP="021F216E">
      <w:pPr>
        <w:rPr>
          <w:rFonts w:ascii="Arial Nova" w:eastAsia="Arial Nova" w:hAnsi="Arial Nova" w:cs="Arial Nova"/>
          <w:i/>
          <w:iCs/>
          <w:color w:val="000000" w:themeColor="text1"/>
        </w:rPr>
      </w:pPr>
    </w:p>
    <w:p w14:paraId="5BA9CBE3" w14:textId="77777777" w:rsidR="006005E4" w:rsidRDefault="006005E4">
      <w:pPr>
        <w:spacing w:line="279" w:lineRule="auto"/>
        <w:jc w:val="left"/>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br w:type="page"/>
      </w:r>
    </w:p>
    <w:p w14:paraId="2BCA736C" w14:textId="35997853" w:rsidR="79E626CA" w:rsidRDefault="0074551A" w:rsidP="021F216E">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lastRenderedPageBreak/>
        <w:t>Task 5- A Letter to Yourself</w:t>
      </w:r>
    </w:p>
    <w:p w14:paraId="076AE6EB" w14:textId="77777777" w:rsidR="006D4A77" w:rsidRPr="006D4A77" w:rsidRDefault="006D4A77" w:rsidP="006D4A77">
      <w:pPr>
        <w:rPr>
          <w:b/>
          <w:bCs/>
          <w:lang w:val="en-PK"/>
        </w:rPr>
      </w:pPr>
      <w:r w:rsidRPr="006D4A77">
        <w:rPr>
          <w:b/>
          <w:bCs/>
          <w:lang w:val="en-PK"/>
        </w:rPr>
        <w:t>A Reflection to My Younger Self</w:t>
      </w:r>
    </w:p>
    <w:p w14:paraId="458D3A06" w14:textId="77777777" w:rsidR="006D4A77" w:rsidRPr="006D4A77" w:rsidRDefault="006D4A77" w:rsidP="006D4A77">
      <w:pPr>
        <w:rPr>
          <w:lang w:val="en-PK"/>
        </w:rPr>
      </w:pPr>
      <w:r w:rsidRPr="006D4A77">
        <w:rPr>
          <w:lang w:val="en-PK"/>
        </w:rPr>
        <w:t xml:space="preserve">It used to be challenging to balance family and school. You wanted to meet everyone's expectations, continue your studies and make it seem as though everything was fine. </w:t>
      </w:r>
      <w:proofErr w:type="gramStart"/>
      <w:r w:rsidRPr="006D4A77">
        <w:rPr>
          <w:lang w:val="en-PK"/>
        </w:rPr>
        <w:t>Often</w:t>
      </w:r>
      <w:proofErr w:type="gramEnd"/>
      <w:r w:rsidRPr="006D4A77">
        <w:rPr>
          <w:lang w:val="en-PK"/>
        </w:rPr>
        <w:t xml:space="preserve"> you worked on what should be done without realizing that you were tired, concerned or frustrated.</w:t>
      </w:r>
    </w:p>
    <w:p w14:paraId="55F7D996" w14:textId="77777777" w:rsidR="006D4A77" w:rsidRPr="006D4A77" w:rsidRDefault="006D4A77" w:rsidP="006D4A77">
      <w:pPr>
        <w:rPr>
          <w:lang w:val="en-PK"/>
        </w:rPr>
      </w:pPr>
      <w:r w:rsidRPr="006D4A77">
        <w:rPr>
          <w:lang w:val="en-PK"/>
        </w:rPr>
        <w:t>Hindsight 20/20, I know that if I had known how to deal with my emotions, I could have dealt with these situations better. Emotional intelligence is about awareness and understanding of emotions and how we respond to them accordingly. Healthcare practitioners have been the subject of emotional intelligence research, as has emotional intelligence's influence on professional performance and stress resistance, but emotional intelligence cannot prevent stress (Hashmi et al., 2024). Had I known this earlier, perhaps I could have noticed my emotions and understood what they were and then made it known rather than just bottled them up.</w:t>
      </w:r>
    </w:p>
    <w:p w14:paraId="20632E6E" w14:textId="77777777" w:rsidR="006D4A77" w:rsidRPr="006D4A77" w:rsidRDefault="006D4A77" w:rsidP="006D4A77">
      <w:pPr>
        <w:rPr>
          <w:lang w:val="en-PK"/>
        </w:rPr>
      </w:pPr>
      <w:r w:rsidRPr="006D4A77">
        <w:rPr>
          <w:lang w:val="en-PK"/>
        </w:rPr>
        <w:t xml:space="preserve">Resilience is not about ignoring problems or simply going through them without seeking assistance. It's about learning to cope with difficulties, to learn from life's experiences and to deal with situations appropriately. This is significant as every person </w:t>
      </w:r>
      <w:proofErr w:type="gramStart"/>
      <w:r w:rsidRPr="006D4A77">
        <w:rPr>
          <w:lang w:val="en-PK"/>
        </w:rPr>
        <w:t>is in a position to</w:t>
      </w:r>
      <w:proofErr w:type="gramEnd"/>
      <w:r w:rsidRPr="006D4A77">
        <w:rPr>
          <w:lang w:val="en-PK"/>
        </w:rPr>
        <w:t xml:space="preserve"> come across situations which can impact their emotional wellness. I would have done things differently in my own life if I had followed the steps to make tasks easier and to get help from trusted individuals and give myself time to rest. These things would not have translated to failure on my part. They would have helped me to be healthier in handling my responsibilities.</w:t>
      </w:r>
    </w:p>
    <w:p w14:paraId="17F8EAC2" w14:textId="77777777" w:rsidR="006D4A77" w:rsidRPr="006D4A77" w:rsidRDefault="006D4A77" w:rsidP="006D4A77">
      <w:pPr>
        <w:rPr>
          <w:lang w:val="en-PK"/>
        </w:rPr>
      </w:pPr>
      <w:r w:rsidRPr="006D4A77">
        <w:rPr>
          <w:lang w:val="en-PK"/>
        </w:rPr>
        <w:t>This learning has also been a paradigm shift in my sense of personal responsibility. I can't change all situations, but I can do something to manage my responses and know when I need help. For my future practice in health and social care, I want to be able to remember to recognise emotions, keep boundaries appropriate and be aware of other people's potentially unseen pressures.</w:t>
      </w:r>
    </w:p>
    <w:p w14:paraId="6BB764D0" w14:textId="4352E22D" w:rsidR="006D4A77" w:rsidRPr="006D4A77" w:rsidRDefault="006D4A77" w:rsidP="006D4A77">
      <w:pPr>
        <w:rPr>
          <w:lang w:val="en-PK"/>
        </w:rPr>
      </w:pPr>
      <w:r w:rsidRPr="006D4A77">
        <w:rPr>
          <w:lang w:val="en-PK"/>
        </w:rPr>
        <w:t>Most of all, I want to remind myself, if I am having trouble with a difficult situation, then I am not incapable. It's a chance to get to know myself better, gain insight from what happened and to be more effective going forward.</w:t>
      </w:r>
    </w:p>
    <w:p w14:paraId="75A3769F" w14:textId="77777777" w:rsidR="006D4A77" w:rsidRPr="006D4A77" w:rsidRDefault="006D4A77" w:rsidP="006D4A77">
      <w:pPr>
        <w:rPr>
          <w:lang w:val="en-PK"/>
        </w:rPr>
      </w:pPr>
      <w:r w:rsidRPr="006D4A77">
        <w:rPr>
          <w:lang w:val="en-PK"/>
        </w:rPr>
        <w:t>With understanding,</w:t>
      </w:r>
    </w:p>
    <w:p w14:paraId="1B0AA3BB" w14:textId="77777777" w:rsidR="006D4A77" w:rsidRPr="006D4A77" w:rsidRDefault="006D4A77" w:rsidP="006D4A77">
      <w:pPr>
        <w:rPr>
          <w:lang w:val="en-PK"/>
        </w:rPr>
      </w:pPr>
      <w:r w:rsidRPr="006D4A77">
        <w:rPr>
          <w:lang w:val="en-PK"/>
        </w:rPr>
        <w:t>Your future self</w:t>
      </w:r>
    </w:p>
    <w:p w14:paraId="003E3923" w14:textId="65D087B2" w:rsidR="006D4A77" w:rsidRDefault="006D4A77">
      <w:pPr>
        <w:spacing w:line="279" w:lineRule="auto"/>
        <w:jc w:val="left"/>
        <w:rPr>
          <w:lang w:val="en-PK"/>
        </w:rPr>
      </w:pPr>
      <w:r>
        <w:rPr>
          <w:lang w:val="en-PK"/>
        </w:rPr>
        <w:br w:type="page"/>
      </w:r>
    </w:p>
    <w:p w14:paraId="405FAE50" w14:textId="1E9D05EE" w:rsidR="00D17D41" w:rsidRDefault="0074551A" w:rsidP="00D17D41">
      <w:pPr>
        <w:rPr>
          <w:rFonts w:ascii="Arial Nova" w:eastAsia="Arial Nova" w:hAnsi="Arial Nova" w:cs="Arial Nova"/>
          <w:i/>
          <w:iCs/>
          <w:color w:val="FF0000"/>
        </w:rPr>
      </w:pPr>
      <w:r>
        <w:rPr>
          <w:rFonts w:ascii="Arial Nova" w:eastAsia="Arial Nova" w:hAnsi="Arial Nova" w:cs="Arial Nova"/>
          <w:color w:val="000000" w:themeColor="text1"/>
          <w:sz w:val="44"/>
          <w:szCs w:val="44"/>
        </w:rPr>
        <w:lastRenderedPageBreak/>
        <w:t>Task 6- GANTT Chart</w:t>
      </w:r>
      <w:r w:rsidR="00D17D41">
        <w:rPr>
          <w:rFonts w:ascii="Arial Nova" w:eastAsia="Arial Nova" w:hAnsi="Arial Nova" w:cs="Arial Nova"/>
          <w:color w:val="000000" w:themeColor="text1"/>
          <w:sz w:val="44"/>
          <w:szCs w:val="44"/>
        </w:rPr>
        <w:t xml:space="preserve"> (200 words equivalent)</w:t>
      </w:r>
    </w:p>
    <w:p w14:paraId="0D0443BA" w14:textId="6DDE8191" w:rsidR="021F216E" w:rsidRPr="00BE5190" w:rsidRDefault="00BE5190" w:rsidP="00BE5190">
      <w:r w:rsidRPr="00BE5190">
        <w:rPr>
          <w:noProof/>
        </w:rPr>
        <w:drawing>
          <wp:inline distT="0" distB="0" distL="0" distR="0" wp14:anchorId="6B219376" wp14:editId="4156C468">
            <wp:extent cx="5943600" cy="2303780"/>
            <wp:effectExtent l="0" t="0" r="0" b="1270"/>
            <wp:docPr id="82897647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943600" cy="2303780"/>
                    </a:xfrm>
                    <a:prstGeom prst="rect">
                      <a:avLst/>
                    </a:prstGeom>
                    <a:noFill/>
                    <a:ln>
                      <a:noFill/>
                    </a:ln>
                  </pic:spPr>
                </pic:pic>
              </a:graphicData>
            </a:graphic>
          </wp:inline>
        </w:drawing>
      </w:r>
    </w:p>
    <w:p w14:paraId="4442A55C" w14:textId="77777777" w:rsidR="0093332E" w:rsidRDefault="0093332E">
      <w:pPr>
        <w:spacing w:line="279" w:lineRule="auto"/>
        <w:jc w:val="left"/>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br w:type="page"/>
      </w:r>
    </w:p>
    <w:p w14:paraId="4AE2467A" w14:textId="7C2F7905" w:rsidR="021F216E" w:rsidRDefault="0074551A" w:rsidP="021F216E">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lastRenderedPageBreak/>
        <w:t>Task 7- Making Changes- Report</w:t>
      </w:r>
    </w:p>
    <w:p w14:paraId="0D61FC75" w14:textId="77777777" w:rsidR="00CF6401" w:rsidRPr="00CF6401" w:rsidRDefault="00CF6401" w:rsidP="00CF6401">
      <w:pPr>
        <w:rPr>
          <w:b/>
          <w:bCs/>
          <w:lang w:val="en-PK"/>
        </w:rPr>
      </w:pPr>
      <w:r w:rsidRPr="00CF6401">
        <w:rPr>
          <w:b/>
          <w:bCs/>
          <w:lang w:val="en-PK"/>
        </w:rPr>
        <w:t>Making Changes: Digital Inclusion and Communication Support in a Care Home</w:t>
      </w:r>
    </w:p>
    <w:p w14:paraId="031EC13D" w14:textId="77777777" w:rsidR="00CF6401" w:rsidRPr="00CF6401" w:rsidRDefault="00CF6401" w:rsidP="00CF6401">
      <w:pPr>
        <w:rPr>
          <w:b/>
          <w:bCs/>
          <w:lang w:val="en-PK"/>
        </w:rPr>
      </w:pPr>
      <w:r w:rsidRPr="00CF6401">
        <w:rPr>
          <w:b/>
          <w:bCs/>
          <w:lang w:val="en-PK"/>
        </w:rPr>
        <w:t>Introduction</w:t>
      </w:r>
    </w:p>
    <w:p w14:paraId="15A104BB" w14:textId="77777777" w:rsidR="00DD34BB" w:rsidRPr="00DD34BB" w:rsidRDefault="00DD34BB" w:rsidP="00DD34BB">
      <w:pPr>
        <w:rPr>
          <w:lang w:val="en-PK"/>
        </w:rPr>
      </w:pPr>
      <w:r w:rsidRPr="00DD34BB">
        <w:rPr>
          <w:lang w:val="en-PK"/>
        </w:rPr>
        <w:t xml:space="preserve">As a care home manager I would put in place a structured communication and digital inclusion support programme as some residents may find it difficult to access digital communication, health information or contact with family members. The change would help </w:t>
      </w:r>
      <w:proofErr w:type="gramStart"/>
      <w:r w:rsidRPr="00DD34BB">
        <w:rPr>
          <w:lang w:val="en-PK"/>
        </w:rPr>
        <w:t>inclusion, but</w:t>
      </w:r>
      <w:proofErr w:type="gramEnd"/>
      <w:r w:rsidRPr="00DD34BB">
        <w:rPr>
          <w:lang w:val="en-PK"/>
        </w:rPr>
        <w:t xml:space="preserve"> not eliminate the preference for face-to-face and/or non-digital options for residents.</w:t>
      </w:r>
    </w:p>
    <w:p w14:paraId="5D3F2E02" w14:textId="77777777" w:rsidR="00DD34BB" w:rsidRPr="00DD34BB" w:rsidRDefault="00DD34BB" w:rsidP="00DD34BB">
      <w:pPr>
        <w:rPr>
          <w:b/>
          <w:bCs/>
          <w:lang w:val="en-PK"/>
        </w:rPr>
      </w:pPr>
      <w:r w:rsidRPr="00DD34BB">
        <w:rPr>
          <w:b/>
          <w:bCs/>
          <w:lang w:val="en-PK"/>
        </w:rPr>
        <w:t>Proposed change and implementation</w:t>
      </w:r>
    </w:p>
    <w:p w14:paraId="5BD4E5C8" w14:textId="77777777" w:rsidR="00DD34BB" w:rsidRPr="00DD34BB" w:rsidRDefault="00DD34BB" w:rsidP="00DD34BB">
      <w:pPr>
        <w:rPr>
          <w:lang w:val="en-PK"/>
        </w:rPr>
      </w:pPr>
      <w:r w:rsidRPr="00DD34BB">
        <w:rPr>
          <w:lang w:val="en-PK"/>
        </w:rPr>
        <w:t>First, there would be an opportunity for each citizen to talk about their preferences, skills, and communication needs in the digital realm. Those who wish to get help would be given brief sessions on a weekly basis with the support of staff members or trained volunteers presented via simple devices. Staff will also be given some basic guidance to ensure consistency of support. Any support would be documented within care plans and convened with residents as person centred care would always require individual preferences and choices to be central (Social Care Institute for Excellence, 2024).</w:t>
      </w:r>
    </w:p>
    <w:p w14:paraId="11800872" w14:textId="77777777" w:rsidR="00DD34BB" w:rsidRPr="00DD34BB" w:rsidRDefault="00DD34BB" w:rsidP="00DD34BB">
      <w:pPr>
        <w:rPr>
          <w:lang w:val="en-PK"/>
        </w:rPr>
      </w:pPr>
      <w:r w:rsidRPr="00DD34BB">
        <w:rPr>
          <w:lang w:val="en-PK"/>
        </w:rPr>
        <w:t xml:space="preserve">The NHS Change Model is a helpful framework as it brings together the elements of shared purpose, leadership, motivation, measurement and spread of successful practice (NHS England, 2018). I would firstly agree the purpose with residents and staff and then engage staff in planning and testing the programme. If you want to roll it out more broadly, you could introduce a small pilot for six </w:t>
      </w:r>
      <w:proofErr w:type="gramStart"/>
      <w:r w:rsidRPr="00DD34BB">
        <w:rPr>
          <w:lang w:val="en-PK"/>
        </w:rPr>
        <w:t>weeks, and</w:t>
      </w:r>
      <w:proofErr w:type="gramEnd"/>
      <w:r w:rsidRPr="00DD34BB">
        <w:rPr>
          <w:lang w:val="en-PK"/>
        </w:rPr>
        <w:t xml:space="preserve"> follow it up with a broader rollout. Changes would be based on resident feedback and staff observations prior to expansion.</w:t>
      </w:r>
    </w:p>
    <w:p w14:paraId="77D0A845" w14:textId="77777777" w:rsidR="00DD34BB" w:rsidRPr="00DD34BB" w:rsidRDefault="00DD34BB" w:rsidP="00DD34BB">
      <w:pPr>
        <w:rPr>
          <w:b/>
          <w:bCs/>
          <w:lang w:val="en-PK"/>
        </w:rPr>
      </w:pPr>
      <w:r w:rsidRPr="00DD34BB">
        <w:rPr>
          <w:b/>
          <w:bCs/>
          <w:lang w:val="en-PK"/>
        </w:rPr>
        <w:t>Skills and barriers</w:t>
      </w:r>
    </w:p>
    <w:p w14:paraId="1AD45B60" w14:textId="77777777" w:rsidR="00DD34BB" w:rsidRPr="00DD34BB" w:rsidRDefault="00DD34BB" w:rsidP="00DD34BB">
      <w:pPr>
        <w:rPr>
          <w:lang w:val="en-PK"/>
        </w:rPr>
      </w:pPr>
      <w:r w:rsidRPr="00DD34BB">
        <w:rPr>
          <w:lang w:val="en-PK"/>
        </w:rPr>
        <w:t>Communication and delegation, emotions and problem-solving are needed to effect the change. I would clearly explain my reasons for the programme, provide responsibilities based on staff strengths and be calm when dealing with concerns. Emotional intelligence is applicable because it was identified that there is some evidence of the relationship between emotional intelligence and stress management and resilience with healthcare practitioners but with limitations of this being evidence of emotional intelligence only contributing to better outcomes (Hashmi et al., 2024).</w:t>
      </w:r>
    </w:p>
    <w:p w14:paraId="5FC23289" w14:textId="77777777" w:rsidR="00DD34BB" w:rsidRPr="00DD34BB" w:rsidRDefault="00DD34BB" w:rsidP="00DD34BB">
      <w:pPr>
        <w:rPr>
          <w:lang w:val="en-PK"/>
        </w:rPr>
      </w:pPr>
      <w:r w:rsidRPr="00DD34BB">
        <w:rPr>
          <w:lang w:val="en-PK"/>
        </w:rPr>
        <w:lastRenderedPageBreak/>
        <w:t>These may be issues related to staff workload, limited confidence with technology, anxiety and residents lack of appropriate devices. These may be minimised by means of brief training, staggered implementation, provision of shared equipment and personal support. The programme would also adopt the principle of digital change not taking away other routes to care/communication.</w:t>
      </w:r>
    </w:p>
    <w:p w14:paraId="3819A89B" w14:textId="77777777" w:rsidR="00DD34BB" w:rsidRPr="00DD34BB" w:rsidRDefault="00DD34BB" w:rsidP="00DD34BB">
      <w:pPr>
        <w:rPr>
          <w:b/>
          <w:bCs/>
          <w:lang w:val="en-PK"/>
        </w:rPr>
      </w:pPr>
      <w:r w:rsidRPr="00DD34BB">
        <w:rPr>
          <w:b/>
          <w:bCs/>
          <w:lang w:val="en-PK"/>
        </w:rPr>
        <w:t>Evaluation</w:t>
      </w:r>
    </w:p>
    <w:p w14:paraId="70888EDD" w14:textId="4B661F4B" w:rsidR="00CF6401" w:rsidRPr="00CF6401" w:rsidRDefault="00DD34BB" w:rsidP="00DD34BB">
      <w:pPr>
        <w:rPr>
          <w:lang w:val="en-PK"/>
        </w:rPr>
      </w:pPr>
      <w:r w:rsidRPr="00DD34BB">
        <w:rPr>
          <w:lang w:val="en-PK"/>
        </w:rPr>
        <w:t>They will be judged based on participation, residents feedback, digital confidence changes and successful communication examples. I would check on results every three months and after the pilot. If changes are made, they will be continued only when they provide an enhancement of residents' choice and access without imposing new barriers.</w:t>
      </w:r>
    </w:p>
    <w:p w14:paraId="44BDB8CE" w14:textId="77777777" w:rsidR="0093332E" w:rsidRDefault="0093332E">
      <w:pPr>
        <w:spacing w:line="279" w:lineRule="auto"/>
        <w:jc w:val="left"/>
        <w:rPr>
          <w:rFonts w:ascii="Arial Nova" w:eastAsia="Arial Nova" w:hAnsi="Arial Nova" w:cs="Arial Nova"/>
          <w:color w:val="000000" w:themeColor="text1"/>
          <w:sz w:val="48"/>
          <w:szCs w:val="48"/>
        </w:rPr>
      </w:pPr>
      <w:r>
        <w:rPr>
          <w:rFonts w:ascii="Arial Nova" w:eastAsia="Arial Nova" w:hAnsi="Arial Nova" w:cs="Arial Nova"/>
          <w:color w:val="000000" w:themeColor="text1"/>
          <w:sz w:val="48"/>
          <w:szCs w:val="48"/>
        </w:rPr>
        <w:br w:type="page"/>
      </w:r>
    </w:p>
    <w:p w14:paraId="5E2803DD" w14:textId="60AC1565" w:rsidR="3EA1690F" w:rsidRDefault="3EA1690F" w:rsidP="021F216E">
      <w:pPr>
        <w:rPr>
          <w:rFonts w:ascii="Arial Nova" w:eastAsia="Arial Nova" w:hAnsi="Arial Nova" w:cs="Arial Nova"/>
          <w:color w:val="000000" w:themeColor="text1"/>
          <w:sz w:val="48"/>
          <w:szCs w:val="48"/>
        </w:rPr>
      </w:pPr>
      <w:r w:rsidRPr="021F216E">
        <w:rPr>
          <w:rFonts w:ascii="Arial Nova" w:eastAsia="Arial Nova" w:hAnsi="Arial Nova" w:cs="Arial Nova"/>
          <w:color w:val="000000" w:themeColor="text1"/>
          <w:sz w:val="48"/>
          <w:szCs w:val="48"/>
        </w:rPr>
        <w:lastRenderedPageBreak/>
        <w:t>Reference List</w:t>
      </w:r>
    </w:p>
    <w:p w14:paraId="46E16F2F" w14:textId="77777777" w:rsidR="0093332E" w:rsidRPr="0093332E" w:rsidRDefault="0093332E" w:rsidP="0093332E">
      <w:pPr>
        <w:rPr>
          <w:lang w:val="en-PK"/>
        </w:rPr>
      </w:pPr>
      <w:r w:rsidRPr="0093332E">
        <w:rPr>
          <w:lang w:val="en-PK"/>
        </w:rPr>
        <w:t xml:space="preserve">De Weerdt, D., De Schepper, A., Kyndt, E. and </w:t>
      </w:r>
      <w:proofErr w:type="spellStart"/>
      <w:r w:rsidRPr="0093332E">
        <w:rPr>
          <w:lang w:val="en-PK"/>
        </w:rPr>
        <w:t>Gijbels</w:t>
      </w:r>
      <w:proofErr w:type="spellEnd"/>
      <w:r w:rsidRPr="0093332E">
        <w:rPr>
          <w:lang w:val="en-PK"/>
        </w:rPr>
        <w:t xml:space="preserve">, D. (2024). Entering the </w:t>
      </w:r>
      <w:proofErr w:type="spellStart"/>
      <w:r w:rsidRPr="0093332E">
        <w:rPr>
          <w:lang w:val="en-PK"/>
        </w:rPr>
        <w:t>labor</w:t>
      </w:r>
      <w:proofErr w:type="spellEnd"/>
      <w:r w:rsidRPr="0093332E">
        <w:rPr>
          <w:lang w:val="en-PK"/>
        </w:rPr>
        <w:t xml:space="preserve"> market: Networks and networking </w:t>
      </w:r>
      <w:proofErr w:type="spellStart"/>
      <w:r w:rsidRPr="0093332E">
        <w:rPr>
          <w:lang w:val="en-PK"/>
        </w:rPr>
        <w:t>behavior</w:t>
      </w:r>
      <w:proofErr w:type="spellEnd"/>
      <w:r w:rsidRPr="0093332E">
        <w:rPr>
          <w:lang w:val="en-PK"/>
        </w:rPr>
        <w:t xml:space="preserve"> in the school-to-work transition. </w:t>
      </w:r>
      <w:r w:rsidRPr="0093332E">
        <w:rPr>
          <w:i/>
          <w:iCs/>
          <w:lang w:val="en-PK"/>
        </w:rPr>
        <w:t>Vocations and learning (Print)</w:t>
      </w:r>
      <w:r w:rsidRPr="0093332E">
        <w:rPr>
          <w:lang w:val="en-PK"/>
        </w:rPr>
        <w:t>, 17. doi:10.1007/s12186-024-09343-4.</w:t>
      </w:r>
    </w:p>
    <w:p w14:paraId="5173378A" w14:textId="77777777" w:rsidR="0093332E" w:rsidRPr="0093332E" w:rsidRDefault="0093332E" w:rsidP="0093332E">
      <w:pPr>
        <w:rPr>
          <w:lang w:val="en-PK"/>
        </w:rPr>
      </w:pPr>
      <w:r w:rsidRPr="0093332E">
        <w:rPr>
          <w:lang w:val="en-PK"/>
        </w:rPr>
        <w:t xml:space="preserve">Department for Science, Innovation and Technology (2025). </w:t>
      </w:r>
      <w:r w:rsidRPr="0093332E">
        <w:rPr>
          <w:i/>
          <w:iCs/>
          <w:lang w:val="en-PK"/>
        </w:rPr>
        <w:t>Digital inclusion action plan: First steps</w:t>
      </w:r>
      <w:r w:rsidRPr="0093332E">
        <w:rPr>
          <w:lang w:val="en-PK"/>
        </w:rPr>
        <w:t>. [online] GOV.UK. Available at: https://www.gov.uk/government/publications/digital-inclusion-action-plan-first-steps [Accessed 30 Sept. 2026].</w:t>
      </w:r>
    </w:p>
    <w:p w14:paraId="4C267E53" w14:textId="77777777" w:rsidR="0093332E" w:rsidRPr="0093332E" w:rsidRDefault="0093332E" w:rsidP="0093332E">
      <w:pPr>
        <w:rPr>
          <w:lang w:val="en-PK"/>
        </w:rPr>
      </w:pPr>
      <w:r w:rsidRPr="0093332E">
        <w:rPr>
          <w:lang w:val="en-PK"/>
        </w:rPr>
        <w:t xml:space="preserve">Department for Science, Innovation and Technology (2026). </w:t>
      </w:r>
      <w:r w:rsidRPr="0093332E">
        <w:rPr>
          <w:i/>
          <w:iCs/>
          <w:lang w:val="en-PK"/>
        </w:rPr>
        <w:t>Digital inclusion action plan: One year on</w:t>
      </w:r>
      <w:r w:rsidRPr="0093332E">
        <w:rPr>
          <w:lang w:val="en-PK"/>
        </w:rPr>
        <w:t>. [online] GOV.UK. Available at: https://www.gov.uk/government/publications/digital-inclusion-action-plan-one-year-on [Accessed 30 Sept. 2026].</w:t>
      </w:r>
    </w:p>
    <w:p w14:paraId="7BC92425" w14:textId="77777777" w:rsidR="0093332E" w:rsidRPr="0093332E" w:rsidRDefault="0093332E" w:rsidP="0093332E">
      <w:pPr>
        <w:rPr>
          <w:lang w:val="en-PK"/>
        </w:rPr>
      </w:pPr>
      <w:r w:rsidRPr="0093332E">
        <w:rPr>
          <w:lang w:val="en-PK"/>
        </w:rPr>
        <w:t xml:space="preserve">England, N. (2026). </w:t>
      </w:r>
      <w:r w:rsidRPr="0093332E">
        <w:rPr>
          <w:i/>
          <w:iCs/>
          <w:lang w:val="en-PK"/>
        </w:rPr>
        <w:t>NHS England » Workforce development framework for care co-ordinators</w:t>
      </w:r>
      <w:r w:rsidRPr="0093332E">
        <w:rPr>
          <w:lang w:val="en-PK"/>
        </w:rPr>
        <w:t>. [online] England.nhs.uk. Available at: https://www.england.nhs.uk/long-read/workforce-development-framework-for-care-co-ordinators-2/ [Accessed 30 Sept. 2026].</w:t>
      </w:r>
    </w:p>
    <w:p w14:paraId="6E7C9227" w14:textId="77777777" w:rsidR="0093332E" w:rsidRPr="0093332E" w:rsidRDefault="0093332E" w:rsidP="0093332E">
      <w:pPr>
        <w:rPr>
          <w:lang w:val="en-PK"/>
        </w:rPr>
      </w:pPr>
      <w:r w:rsidRPr="0093332E">
        <w:rPr>
          <w:lang w:val="en-PK"/>
        </w:rPr>
        <w:t xml:space="preserve">Gorbatov, S., </w:t>
      </w:r>
      <w:proofErr w:type="spellStart"/>
      <w:r w:rsidRPr="0093332E">
        <w:rPr>
          <w:lang w:val="en-PK"/>
        </w:rPr>
        <w:t>Khapova</w:t>
      </w:r>
      <w:proofErr w:type="spellEnd"/>
      <w:r w:rsidRPr="0093332E">
        <w:rPr>
          <w:lang w:val="en-PK"/>
        </w:rPr>
        <w:t xml:space="preserve">, S.N. and </w:t>
      </w:r>
      <w:proofErr w:type="spellStart"/>
      <w:r w:rsidRPr="0093332E">
        <w:rPr>
          <w:lang w:val="en-PK"/>
        </w:rPr>
        <w:t>Lysova</w:t>
      </w:r>
      <w:proofErr w:type="spellEnd"/>
      <w:r w:rsidRPr="0093332E">
        <w:rPr>
          <w:lang w:val="en-PK"/>
        </w:rPr>
        <w:t xml:space="preserve">, E.I. (2018). Personal branding: Interdisciplinary systematic review and research agenda. </w:t>
      </w:r>
      <w:r w:rsidRPr="0093332E">
        <w:rPr>
          <w:i/>
          <w:iCs/>
          <w:lang w:val="en-PK"/>
        </w:rPr>
        <w:t>Frontiers in Psychology</w:t>
      </w:r>
      <w:r w:rsidRPr="0093332E">
        <w:rPr>
          <w:lang w:val="en-PK"/>
        </w:rPr>
        <w:t>, [online] 9(9), pp.1–17. doi:10.3389/fpsyg.2018.02238.</w:t>
      </w:r>
    </w:p>
    <w:p w14:paraId="3BFFE5F8" w14:textId="77777777" w:rsidR="0093332E" w:rsidRDefault="0093332E" w:rsidP="0093332E">
      <w:pPr>
        <w:rPr>
          <w:lang w:val="en-PK"/>
        </w:rPr>
      </w:pPr>
      <w:r w:rsidRPr="0093332E">
        <w:rPr>
          <w:lang w:val="en-PK"/>
        </w:rPr>
        <w:t xml:space="preserve">Hashmi, S., Tahir, O., Nasir, Z., Hasnain, H., Ullah Riaz, R.S., Ali Khan, H.M., Ramza, R., </w:t>
      </w:r>
      <w:proofErr w:type="spellStart"/>
      <w:r w:rsidRPr="0093332E">
        <w:rPr>
          <w:lang w:val="en-PK"/>
        </w:rPr>
        <w:t>Alghzawi</w:t>
      </w:r>
      <w:proofErr w:type="spellEnd"/>
      <w:r w:rsidRPr="0093332E">
        <w:rPr>
          <w:lang w:val="en-PK"/>
        </w:rPr>
        <w:t xml:space="preserve">, H.M., Mukherjee, J. and Palav, A. (2024). Impact of emotional intelligence on professional performance and stress resilience among healthcare practitioners. </w:t>
      </w:r>
      <w:r w:rsidRPr="0093332E">
        <w:rPr>
          <w:i/>
          <w:iCs/>
          <w:lang w:val="en-PK"/>
        </w:rPr>
        <w:t>Cureus</w:t>
      </w:r>
      <w:r w:rsidRPr="0093332E">
        <w:rPr>
          <w:lang w:val="en-PK"/>
        </w:rPr>
        <w:t>, [online] 6(11). doi:10.7759/cureus.74113.</w:t>
      </w:r>
    </w:p>
    <w:p w14:paraId="51998911" w14:textId="77777777" w:rsidR="008836C2" w:rsidRPr="008836C2" w:rsidRDefault="008836C2" w:rsidP="008836C2">
      <w:pPr>
        <w:rPr>
          <w:lang w:val="en-PK"/>
        </w:rPr>
      </w:pPr>
      <w:r w:rsidRPr="008836C2">
        <w:rPr>
          <w:lang w:val="en-PK"/>
        </w:rPr>
        <w:t xml:space="preserve">Healey, N. (2020). </w:t>
      </w:r>
      <w:r w:rsidRPr="008836C2">
        <w:rPr>
          <w:i/>
          <w:iCs/>
          <w:lang w:val="en-PK"/>
        </w:rPr>
        <w:t>How older people can have a successful video GP appointment</w:t>
      </w:r>
      <w:r w:rsidRPr="008836C2">
        <w:rPr>
          <w:lang w:val="en-PK"/>
        </w:rPr>
        <w:t>. [online] Which? Available at: https://www.which.co.uk/news/article/how-older-people-can-have-a-successful-video-gp-appointment-aw3eQ4X502YJ [Accessed 30 Sept. 2026].</w:t>
      </w:r>
    </w:p>
    <w:p w14:paraId="6326220D" w14:textId="77777777" w:rsidR="0093332E" w:rsidRPr="0093332E" w:rsidRDefault="0093332E" w:rsidP="0093332E">
      <w:pPr>
        <w:rPr>
          <w:lang w:val="en-PK"/>
        </w:rPr>
      </w:pPr>
      <w:r w:rsidRPr="0093332E">
        <w:rPr>
          <w:lang w:val="en-PK"/>
        </w:rPr>
        <w:t xml:space="preserve">NHS England (2018). </w:t>
      </w:r>
      <w:r w:rsidRPr="0093332E">
        <w:rPr>
          <w:i/>
          <w:iCs/>
          <w:lang w:val="en-PK"/>
        </w:rPr>
        <w:t>The change model guide</w:t>
      </w:r>
      <w:r w:rsidRPr="0093332E">
        <w:rPr>
          <w:lang w:val="en-PK"/>
        </w:rPr>
        <w:t>. [online] NHS England. Available at: https://www.england.nhs.uk/publication/the-change-model-guide/ [Accessed 30 Sept. 2026].</w:t>
      </w:r>
    </w:p>
    <w:p w14:paraId="48F52716" w14:textId="77777777" w:rsidR="0093332E" w:rsidRPr="0093332E" w:rsidRDefault="0093332E" w:rsidP="0093332E">
      <w:pPr>
        <w:rPr>
          <w:lang w:val="en-PK"/>
        </w:rPr>
      </w:pPr>
      <w:r w:rsidRPr="0093332E">
        <w:rPr>
          <w:lang w:val="en-PK"/>
        </w:rPr>
        <w:t xml:space="preserve">NHS England (2023). </w:t>
      </w:r>
      <w:r w:rsidRPr="0093332E">
        <w:rPr>
          <w:i/>
          <w:iCs/>
          <w:lang w:val="en-PK"/>
        </w:rPr>
        <w:t>NHS England » NHS equality, diversity and inclusion (EDI) improvement plan</w:t>
      </w:r>
      <w:r w:rsidRPr="0093332E">
        <w:rPr>
          <w:lang w:val="en-PK"/>
        </w:rPr>
        <w:t>. [online] www.england.nhs.uk. Available at: https://www.england.nhs.uk/publication/nhs-edi-improvement-plan/ [Accessed 30 Sept. 2026].</w:t>
      </w:r>
    </w:p>
    <w:p w14:paraId="7FE95313" w14:textId="77777777" w:rsidR="0093332E" w:rsidRPr="0093332E" w:rsidRDefault="0093332E" w:rsidP="0093332E">
      <w:pPr>
        <w:rPr>
          <w:lang w:val="en-PK"/>
        </w:rPr>
      </w:pPr>
      <w:proofErr w:type="spellStart"/>
      <w:r w:rsidRPr="0093332E">
        <w:rPr>
          <w:lang w:val="en-PK"/>
        </w:rPr>
        <w:lastRenderedPageBreak/>
        <w:t>Rungo</w:t>
      </w:r>
      <w:proofErr w:type="spellEnd"/>
      <w:r w:rsidRPr="0093332E">
        <w:rPr>
          <w:lang w:val="en-PK"/>
        </w:rPr>
        <w:t xml:space="preserve">, P., Sánchez-Santos, J.M. and Pena-López, A. (2024). Individual social capital and expectations of career advancement. </w:t>
      </w:r>
      <w:r w:rsidRPr="0093332E">
        <w:rPr>
          <w:i/>
          <w:iCs/>
          <w:lang w:val="en-PK"/>
        </w:rPr>
        <w:t>Economic and Labour Relations Review</w:t>
      </w:r>
      <w:r w:rsidRPr="0093332E">
        <w:rPr>
          <w:lang w:val="en-PK"/>
        </w:rPr>
        <w:t>, 35(1), pp.1–22. doi:10.1017/elr.2024.3.</w:t>
      </w:r>
    </w:p>
    <w:p w14:paraId="3525092C" w14:textId="77777777" w:rsidR="0093332E" w:rsidRPr="0093332E" w:rsidRDefault="0093332E" w:rsidP="0093332E">
      <w:pPr>
        <w:rPr>
          <w:lang w:val="en-PK"/>
        </w:rPr>
      </w:pPr>
      <w:r w:rsidRPr="0093332E">
        <w:rPr>
          <w:lang w:val="en-PK"/>
        </w:rPr>
        <w:t xml:space="preserve">Social Care Institute for Excellence (2024). </w:t>
      </w:r>
      <w:r w:rsidRPr="0093332E">
        <w:rPr>
          <w:i/>
          <w:iCs/>
          <w:lang w:val="en-PK"/>
        </w:rPr>
        <w:t>MCA: Care planning, involvement and person-centred care</w:t>
      </w:r>
      <w:r w:rsidRPr="0093332E">
        <w:rPr>
          <w:lang w:val="en-PK"/>
        </w:rPr>
        <w:t>. [online] Social Care Institute for Excellence. Available at: https://www.scie.org.uk/mca/practice/care-planning/person-centred-care/ [Accessed 30 Sept. 2026].</w:t>
      </w:r>
    </w:p>
    <w:p w14:paraId="68DDADD4" w14:textId="77777777" w:rsidR="0093332E" w:rsidRPr="0093332E" w:rsidRDefault="0093332E" w:rsidP="0093332E">
      <w:pPr>
        <w:rPr>
          <w:lang w:val="en-PK"/>
        </w:rPr>
      </w:pPr>
      <w:r w:rsidRPr="0093332E">
        <w:rPr>
          <w:lang w:val="en-PK"/>
        </w:rPr>
        <w:t xml:space="preserve">The Health Foundation (2025). </w:t>
      </w:r>
      <w:r w:rsidRPr="0093332E">
        <w:rPr>
          <w:i/>
          <w:iCs/>
          <w:lang w:val="en-PK"/>
        </w:rPr>
        <w:t>Digitising the NHS and adult social care</w:t>
      </w:r>
      <w:r w:rsidRPr="0093332E">
        <w:rPr>
          <w:lang w:val="en-PK"/>
        </w:rPr>
        <w:t>. [online] The Health Foundation. Available at: https://www.health.org.uk/reports-and-analysis/analysis/digitising-the-nhs-and-adult-social-care-what-could-it-cost [Accessed 30 Sept. 2026].</w:t>
      </w:r>
    </w:p>
    <w:p w14:paraId="2B35DD0C" w14:textId="77777777" w:rsidR="0093332E" w:rsidRPr="0093332E" w:rsidRDefault="0093332E" w:rsidP="0093332E"/>
    <w:sectPr w:rsidR="0093332E" w:rsidRPr="0093332E">
      <w:footerReference w:type="default" r:id="rId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DA3291" w14:textId="77777777" w:rsidR="00E94EEC" w:rsidRDefault="00E94EEC">
      <w:pPr>
        <w:spacing w:after="0" w:line="240" w:lineRule="auto"/>
      </w:pPr>
    </w:p>
  </w:endnote>
  <w:endnote w:type="continuationSeparator" w:id="0">
    <w:p w14:paraId="5192F7BC" w14:textId="77777777" w:rsidR="00E94EEC" w:rsidRDefault="00E94EE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3873086"/>
      <w:docPartObj>
        <w:docPartGallery w:val="Page Numbers (Bottom of Page)"/>
        <w:docPartUnique/>
      </w:docPartObj>
    </w:sdtPr>
    <w:sdtEndPr>
      <w:rPr>
        <w:noProof/>
      </w:rPr>
    </w:sdtEndPr>
    <w:sdtContent>
      <w:p w14:paraId="257C81CA" w14:textId="207A55AC" w:rsidR="00B7418E" w:rsidRDefault="00B7418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C650156" w14:textId="77777777" w:rsidR="00B7418E" w:rsidRDefault="00B741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D07381" w14:textId="77777777" w:rsidR="00E94EEC" w:rsidRDefault="00E94EEC">
      <w:pPr>
        <w:spacing w:after="0" w:line="240" w:lineRule="auto"/>
      </w:pPr>
    </w:p>
  </w:footnote>
  <w:footnote w:type="continuationSeparator" w:id="0">
    <w:p w14:paraId="3163D86C" w14:textId="77777777" w:rsidR="00E94EEC" w:rsidRDefault="00E94EEC">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7F8716"/>
    <w:multiLevelType w:val="hybridMultilevel"/>
    <w:tmpl w:val="4D4CB528"/>
    <w:lvl w:ilvl="0" w:tplc="460481EC">
      <w:start w:val="1"/>
      <w:numFmt w:val="decimal"/>
      <w:lvlText w:val="%1."/>
      <w:lvlJc w:val="left"/>
      <w:pPr>
        <w:ind w:left="720" w:hanging="360"/>
      </w:pPr>
    </w:lvl>
    <w:lvl w:ilvl="1" w:tplc="B87C1B4A">
      <w:start w:val="1"/>
      <w:numFmt w:val="lowerLetter"/>
      <w:lvlText w:val="%2."/>
      <w:lvlJc w:val="left"/>
      <w:pPr>
        <w:ind w:left="1440" w:hanging="360"/>
      </w:pPr>
    </w:lvl>
    <w:lvl w:ilvl="2" w:tplc="29F61A6A">
      <w:start w:val="1"/>
      <w:numFmt w:val="lowerRoman"/>
      <w:lvlText w:val="%3."/>
      <w:lvlJc w:val="right"/>
      <w:pPr>
        <w:ind w:left="2160" w:hanging="180"/>
      </w:pPr>
    </w:lvl>
    <w:lvl w:ilvl="3" w:tplc="978A1554">
      <w:start w:val="1"/>
      <w:numFmt w:val="decimal"/>
      <w:lvlText w:val="%4."/>
      <w:lvlJc w:val="left"/>
      <w:pPr>
        <w:ind w:left="2880" w:hanging="360"/>
      </w:pPr>
    </w:lvl>
    <w:lvl w:ilvl="4" w:tplc="BC8A9942">
      <w:start w:val="1"/>
      <w:numFmt w:val="lowerLetter"/>
      <w:lvlText w:val="%5."/>
      <w:lvlJc w:val="left"/>
      <w:pPr>
        <w:ind w:left="3600" w:hanging="360"/>
      </w:pPr>
    </w:lvl>
    <w:lvl w:ilvl="5" w:tplc="F1DC1F2C">
      <w:start w:val="1"/>
      <w:numFmt w:val="lowerRoman"/>
      <w:lvlText w:val="%6."/>
      <w:lvlJc w:val="right"/>
      <w:pPr>
        <w:ind w:left="4320" w:hanging="180"/>
      </w:pPr>
    </w:lvl>
    <w:lvl w:ilvl="6" w:tplc="5832F766">
      <w:start w:val="1"/>
      <w:numFmt w:val="decimal"/>
      <w:lvlText w:val="%7."/>
      <w:lvlJc w:val="left"/>
      <w:pPr>
        <w:ind w:left="5040" w:hanging="360"/>
      </w:pPr>
    </w:lvl>
    <w:lvl w:ilvl="7" w:tplc="CCEE4C46">
      <w:start w:val="1"/>
      <w:numFmt w:val="lowerLetter"/>
      <w:lvlText w:val="%8."/>
      <w:lvlJc w:val="left"/>
      <w:pPr>
        <w:ind w:left="5760" w:hanging="360"/>
      </w:pPr>
    </w:lvl>
    <w:lvl w:ilvl="8" w:tplc="B2F28774">
      <w:start w:val="1"/>
      <w:numFmt w:val="lowerRoman"/>
      <w:lvlText w:val="%9."/>
      <w:lvlJc w:val="right"/>
      <w:pPr>
        <w:ind w:left="6480" w:hanging="180"/>
      </w:pPr>
    </w:lvl>
  </w:abstractNum>
  <w:abstractNum w:abstractNumId="1" w15:restartNumberingAfterBreak="0">
    <w:nsid w:val="325944A3"/>
    <w:multiLevelType w:val="hybridMultilevel"/>
    <w:tmpl w:val="C8641A16"/>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2" w15:restartNumberingAfterBreak="0">
    <w:nsid w:val="47623C76"/>
    <w:multiLevelType w:val="hybridMultilevel"/>
    <w:tmpl w:val="34086D2A"/>
    <w:lvl w:ilvl="0" w:tplc="BBFC3A4E">
      <w:start w:val="1"/>
      <w:numFmt w:val="decimal"/>
      <w:lvlText w:val="%1."/>
      <w:lvlJc w:val="left"/>
      <w:pPr>
        <w:ind w:left="720" w:hanging="360"/>
      </w:pPr>
      <w:rPr>
        <w:rFonts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3907651"/>
    <w:multiLevelType w:val="hybridMultilevel"/>
    <w:tmpl w:val="8526A058"/>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69F40C5F"/>
    <w:multiLevelType w:val="hybridMultilevel"/>
    <w:tmpl w:val="96FA88D0"/>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5" w15:restartNumberingAfterBreak="0">
    <w:nsid w:val="7DA33289"/>
    <w:multiLevelType w:val="hybridMultilevel"/>
    <w:tmpl w:val="CEE84DB8"/>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num w:numId="1" w16cid:durableId="717359789">
    <w:abstractNumId w:val="0"/>
  </w:num>
  <w:num w:numId="2" w16cid:durableId="1670451385">
    <w:abstractNumId w:val="3"/>
  </w:num>
  <w:num w:numId="3" w16cid:durableId="1418599781">
    <w:abstractNumId w:val="2"/>
  </w:num>
  <w:num w:numId="4" w16cid:durableId="1238131014">
    <w:abstractNumId w:val="5"/>
  </w:num>
  <w:num w:numId="5" w16cid:durableId="740298793">
    <w:abstractNumId w:val="1"/>
  </w:num>
  <w:num w:numId="6" w16cid:durableId="154602433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128C7"/>
    <w:rsid w:val="001E6F1E"/>
    <w:rsid w:val="00304206"/>
    <w:rsid w:val="003D2038"/>
    <w:rsid w:val="003E16FE"/>
    <w:rsid w:val="00435405"/>
    <w:rsid w:val="004A4852"/>
    <w:rsid w:val="004C01D9"/>
    <w:rsid w:val="00517B5A"/>
    <w:rsid w:val="00553897"/>
    <w:rsid w:val="0055632B"/>
    <w:rsid w:val="00577423"/>
    <w:rsid w:val="005D12DF"/>
    <w:rsid w:val="005F6B7C"/>
    <w:rsid w:val="006005E4"/>
    <w:rsid w:val="00632F8B"/>
    <w:rsid w:val="00673846"/>
    <w:rsid w:val="00684488"/>
    <w:rsid w:val="006D4A77"/>
    <w:rsid w:val="006E6679"/>
    <w:rsid w:val="0073759C"/>
    <w:rsid w:val="00741083"/>
    <w:rsid w:val="0074551A"/>
    <w:rsid w:val="007D3AD0"/>
    <w:rsid w:val="00835193"/>
    <w:rsid w:val="008836C2"/>
    <w:rsid w:val="00903517"/>
    <w:rsid w:val="0093332E"/>
    <w:rsid w:val="00950D96"/>
    <w:rsid w:val="00990D83"/>
    <w:rsid w:val="00B16A18"/>
    <w:rsid w:val="00B6224E"/>
    <w:rsid w:val="00B7418E"/>
    <w:rsid w:val="00BE5190"/>
    <w:rsid w:val="00C4691E"/>
    <w:rsid w:val="00C838DF"/>
    <w:rsid w:val="00C96CFC"/>
    <w:rsid w:val="00CF6401"/>
    <w:rsid w:val="00D05C7C"/>
    <w:rsid w:val="00D17D41"/>
    <w:rsid w:val="00D618AB"/>
    <w:rsid w:val="00DC1EAD"/>
    <w:rsid w:val="00DD34BB"/>
    <w:rsid w:val="00E94EEC"/>
    <w:rsid w:val="00EF5579"/>
    <w:rsid w:val="00F65835"/>
    <w:rsid w:val="00F7499E"/>
    <w:rsid w:val="00FB7F84"/>
    <w:rsid w:val="00FC23CB"/>
    <w:rsid w:val="00FE0C73"/>
    <w:rsid w:val="021F216E"/>
    <w:rsid w:val="02449CD0"/>
    <w:rsid w:val="0301BA44"/>
    <w:rsid w:val="04D995C7"/>
    <w:rsid w:val="073417F5"/>
    <w:rsid w:val="081F19E1"/>
    <w:rsid w:val="14410AF1"/>
    <w:rsid w:val="16AAC293"/>
    <w:rsid w:val="1751A648"/>
    <w:rsid w:val="17E92B46"/>
    <w:rsid w:val="1AD7CC6F"/>
    <w:rsid w:val="22567C85"/>
    <w:rsid w:val="251C0B80"/>
    <w:rsid w:val="27053207"/>
    <w:rsid w:val="284520E4"/>
    <w:rsid w:val="284F49DD"/>
    <w:rsid w:val="2A23208A"/>
    <w:rsid w:val="2B7DCDE6"/>
    <w:rsid w:val="3299FD2E"/>
    <w:rsid w:val="32ADAAF6"/>
    <w:rsid w:val="3622B505"/>
    <w:rsid w:val="36FBD366"/>
    <w:rsid w:val="387BE15F"/>
    <w:rsid w:val="39E5AD7F"/>
    <w:rsid w:val="3EA1690F"/>
    <w:rsid w:val="3EF52F69"/>
    <w:rsid w:val="47F71378"/>
    <w:rsid w:val="4CDDFD23"/>
    <w:rsid w:val="4D842DEF"/>
    <w:rsid w:val="50F1DE52"/>
    <w:rsid w:val="5137FA03"/>
    <w:rsid w:val="5790A825"/>
    <w:rsid w:val="5C25A517"/>
    <w:rsid w:val="5D1B1139"/>
    <w:rsid w:val="648C21D4"/>
    <w:rsid w:val="6D60DCDE"/>
    <w:rsid w:val="6D65878B"/>
    <w:rsid w:val="6F4F07BE"/>
    <w:rsid w:val="6FE7966A"/>
    <w:rsid w:val="7016E409"/>
    <w:rsid w:val="723804E2"/>
    <w:rsid w:val="74CF99F4"/>
    <w:rsid w:val="761B3D0B"/>
    <w:rsid w:val="776AEF63"/>
    <w:rsid w:val="78EB0FE3"/>
    <w:rsid w:val="79E626C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65835"/>
    <w:pPr>
      <w:spacing w:line="360" w:lineRule="auto"/>
      <w:jc w:val="both"/>
    </w:pPr>
    <w:rPr>
      <w:rFonts w:ascii="Arial" w:hAnsi="Arial"/>
      <w:sz w:val="22"/>
    </w:rPr>
  </w:style>
  <w:style w:type="paragraph" w:styleId="Heading1">
    <w:name w:val="heading 1"/>
    <w:basedOn w:val="Normal"/>
    <w:next w:val="Normal"/>
    <w:link w:val="Heading1Char"/>
    <w:uiPriority w:val="9"/>
    <w:qFormat/>
    <w:rsid w:val="00F65835"/>
    <w:pPr>
      <w:keepNext/>
      <w:keepLines/>
      <w:spacing w:before="360" w:after="80"/>
      <w:outlineLvl w:val="0"/>
    </w:pPr>
    <w:rPr>
      <w:rFonts w:eastAsiaTheme="majorEastAsia" w:cstheme="majorBidi"/>
      <w:b/>
      <w:sz w:val="24"/>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5835"/>
    <w:rPr>
      <w:rFonts w:ascii="Arial" w:eastAsiaTheme="majorEastAsia" w:hAnsi="Arial" w:cstheme="majorBidi"/>
      <w:b/>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D618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18AB"/>
  </w:style>
  <w:style w:type="paragraph" w:styleId="Footer">
    <w:name w:val="footer"/>
    <w:basedOn w:val="Normal"/>
    <w:link w:val="FooterChar"/>
    <w:uiPriority w:val="99"/>
    <w:unhideWhenUsed/>
    <w:rsid w:val="00D618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18AB"/>
  </w:style>
  <w:style w:type="paragraph" w:customStyle="1" w:styleId="isselectedend">
    <w:name w:val="isselectedend"/>
    <w:basedOn w:val="Normal"/>
    <w:rsid w:val="006005E4"/>
    <w:pPr>
      <w:spacing w:before="100" w:beforeAutospacing="1" w:after="100" w:afterAutospacing="1" w:line="240" w:lineRule="auto"/>
      <w:jc w:val="left"/>
    </w:pPr>
    <w:rPr>
      <w:rFonts w:ascii="Times New Roman" w:eastAsia="Times New Roman" w:hAnsi="Times New Roman" w:cs="Times New Roman"/>
      <w:sz w:val="24"/>
      <w:lang w:val="en-PK" w:eastAsia="en-PK"/>
    </w:rPr>
  </w:style>
  <w:style w:type="paragraph" w:styleId="Caption">
    <w:name w:val="caption"/>
    <w:basedOn w:val="Normal"/>
    <w:next w:val="Normal"/>
    <w:uiPriority w:val="35"/>
    <w:unhideWhenUsed/>
    <w:qFormat/>
    <w:rsid w:val="003E16FE"/>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diagramData" Target="diagrams/data2.xml"/><Relationship Id="rId18" Type="http://schemas.openxmlformats.org/officeDocument/2006/relationships/image" Target="media/image2.emf"/><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diagramData" Target="diagrams/data1.xml"/><Relationship Id="rId12" Type="http://schemas.openxmlformats.org/officeDocument/2006/relationships/image" Target="media/image1.jpeg"/><Relationship Id="rId17" Type="http://schemas.microsoft.com/office/2007/relationships/diagramDrawing" Target="diagrams/drawing2.xml"/><Relationship Id="rId2" Type="http://schemas.openxmlformats.org/officeDocument/2006/relationships/styles" Target="styles.xml"/><Relationship Id="rId16" Type="http://schemas.openxmlformats.org/officeDocument/2006/relationships/diagramColors" Target="diagrams/colors2.xm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microsoft.com/office/2007/relationships/diagramDrawing" Target="diagrams/drawing1.xml"/><Relationship Id="rId5" Type="http://schemas.openxmlformats.org/officeDocument/2006/relationships/footnotes" Target="footnotes.xml"/><Relationship Id="rId15" Type="http://schemas.openxmlformats.org/officeDocument/2006/relationships/diagramQuickStyle" Target="diagrams/quickStyle2.xml"/><Relationship Id="rId10" Type="http://schemas.openxmlformats.org/officeDocument/2006/relationships/diagramColors" Target="diagrams/colors1.xm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diagramLayout" Target="diagrams/layout2.xml"/></Relationships>
</file>

<file path=word/diagrams/colors1.xml><?xml version="1.0" encoding="utf-8"?>
<dgm:colorsDef xmlns:dgm="http://schemas.openxmlformats.org/drawingml/2006/diagram" xmlns:a="http://schemas.openxmlformats.org/drawingml/2006/main" uniqueId="urn:microsoft.com/office/officeart/2005/8/colors/accent1_2#1">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node0NoLn">
    <dgm:fillClrLst meth="repeat">
      <a:schemeClr val="accent1"/>
    </dgm:fillClrLst>
    <dgm:linClrLst meth="repeat">
      <a:schemeClr val="lt1">
        <a:alpha val="0"/>
      </a:schemeClr>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node1NoLn">
    <dgm:fillClrLst meth="repeat">
      <a:schemeClr val="accent1"/>
    </dgm:fillClrLst>
    <dgm:linClrLst meth="repeat">
      <a:schemeClr val="lt1">
        <a:alpha val="0"/>
      </a:schemeClr>
    </dgm:linClrLst>
    <dgm:effectClrLst/>
    <dgm:txLinClrLst/>
    <dgm:txFillClrLst/>
    <dgm:txEffectClrLst/>
  </dgm:styleLbl>
  <dgm:styleLbl name="ltNode1NoLn">
    <dgm:fillClrLst meth="repeat">
      <a:schemeClr val="accent1">
        <a:tint val="75000"/>
      </a:schemeClr>
    </dgm:fillClrLst>
    <dgm:linClrLst meth="repeat">
      <a:schemeClr val="lt1">
        <a:alpha val="0"/>
      </a:schemeClr>
    </dgm:linClrLst>
    <dgm:effectClrLst/>
    <dgm:txLinClrLst/>
    <dgm:txFillClrLst meth="repeat">
      <a:schemeClr val="dk1"/>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2NoLn">
    <dgm:fillClrLst meth="repeat">
      <a:schemeClr val="accent1"/>
    </dgm:fillClrLst>
    <dgm:linClrLst meth="repeat">
      <a:schemeClr val="lt1">
        <a:alpha val="0"/>
      </a:schemeClr>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3NoLn">
    <dgm:fillClrLst meth="repeat">
      <a:schemeClr val="accent1"/>
    </dgm:fillClrLst>
    <dgm:linClrLst meth="repeat">
      <a:schemeClr val="lt1">
        <a:alpha val="0"/>
      </a:schemeClr>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node4NoLn">
    <dgm:fillClrLst meth="repeat">
      <a:schemeClr val="accent1"/>
    </dgm:fillClrLst>
    <dgm:linClrLst meth="repeat">
      <a:schemeClr val="lt1">
        <a:alpha val="0"/>
      </a:schemeClr>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styleLbl name="revTxLt">
    <dgm:fillClrLst meth="repeat">
      <a:schemeClr val="lt1">
        <a:alpha val="0"/>
      </a:schemeClr>
    </dgm:fillClrLst>
    <dgm:linClrLst meth="repeat">
      <a:schemeClr val="dk1">
        <a:alpha val="0"/>
      </a:schemeClr>
    </dgm:linClrLst>
    <dgm:effectClrLst/>
    <dgm:txLinClrLst/>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1#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0NoLn">
    <dgm:fillClrLst meth="repeat">
      <a:schemeClr val="accent1"/>
    </dgm:fillClrLst>
    <dgm:linClrLst meth="repeat">
      <a:schemeClr val="lt1">
        <a:alpha val="0"/>
      </a:schemeClr>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node1NoLn">
    <dgm:fillClrLst meth="repeat">
      <a:schemeClr val="accent2"/>
      <a:schemeClr val="accent3"/>
      <a:schemeClr val="accent4"/>
      <a:schemeClr val="accent5"/>
      <a:schemeClr val="accent6"/>
    </dgm:fillClrLst>
    <dgm:linClrLst meth="repeat">
      <a:schemeClr val="lt1">
        <a:alpha val="0"/>
      </a:schemeClr>
    </dgm:linClrLst>
    <dgm:effectClrLst/>
    <dgm:txLinClrLst/>
    <dgm:txFillClrLst/>
    <dgm:txEffectClrLst/>
  </dgm:styleLbl>
  <dgm:styleLbl name="ltNode1NoLn">
    <dgm:fillClrLst meth="repeat">
      <a:schemeClr val="accent2">
        <a:tint val="75000"/>
      </a:schemeClr>
      <a:schemeClr val="accent3">
        <a:tint val="75000"/>
      </a:schemeClr>
      <a:schemeClr val="accent4">
        <a:tint val="75000"/>
      </a:schemeClr>
      <a:schemeClr val="accent5">
        <a:tint val="75000"/>
      </a:schemeClr>
      <a:schemeClr val="accent6">
        <a:tint val="75000"/>
      </a:schemeClr>
    </dgm:fillClrLst>
    <dgm:linClrLst meth="repeat">
      <a:schemeClr val="lt1">
        <a:alpha val="0"/>
      </a:schemeClr>
    </dgm:linClrLst>
    <dgm:effectClrLst/>
    <dgm:txLinClrLst/>
    <dgm:txFillClrLst meth="repeat">
      <a:schemeClr val="dk1"/>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2NoLn">
    <dgm:fillClrLst>
      <a:schemeClr val="accent2"/>
    </dgm:fillClrLst>
    <dgm:linClrLst meth="repeat">
      <a:schemeClr val="lt1">
        <a:alpha val="0"/>
      </a:schemeClr>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3NoLn">
    <dgm:fillClrLst>
      <a:schemeClr val="accent3"/>
    </dgm:fillClrLst>
    <dgm:linClrLst meth="repeat">
      <a:schemeClr val="lt1">
        <a:alpha val="0"/>
      </a:schemeClr>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node4NoLn">
    <dgm:fillClrLst>
      <a:schemeClr val="accent4"/>
    </dgm:fillClrLst>
    <dgm:linClrLst meth="repeat">
      <a:schemeClr val="lt1">
        <a:alpha val="0"/>
      </a:schemeClr>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styleLbl name="revTxLt">
    <dgm:fillClrLst meth="repeat">
      <a:schemeClr val="lt1">
        <a:alpha val="0"/>
      </a:schemeClr>
    </dgm:fillClrLst>
    <dgm:linClrLst meth="repeat">
      <a:schemeClr val="dk1">
        <a:alpha val="0"/>
      </a:schemeClr>
    </dgm:linClrLst>
    <dgm:effectClrLst/>
    <dgm:txLinClrLst/>
    <dgm:txFillClrLst/>
    <dgm:txEffectClrLst/>
  </dgm:styleLbl>
</dgm:colorsDef>
</file>

<file path=word/diagrams/data1.xml><?xml version="1.0" encoding="utf-8"?>
<dgm:dataModel xmlns:dgm="http://schemas.openxmlformats.org/drawingml/2006/diagram" xmlns:a="http://schemas.openxmlformats.org/drawingml/2006/main">
  <dgm:ptLst>
    <dgm:pt modelId="{DCAC635A-78AA-43FC-A0CF-1CA23EBC31A1}" type="doc">
      <dgm:prSet loTypeId="urn:microsoft.com/office/officeart/2005/8/layout/matrix1" loCatId="matrix" qsTypeId="urn:microsoft.com/office/officeart/2005/8/quickstyle/simple1#1" qsCatId="simple" csTypeId="urn:microsoft.com/office/officeart/2005/8/colors/accent1_2#1" csCatId="accent1" phldr="1"/>
      <dgm:spPr/>
      <dgm:t>
        <a:bodyPr/>
        <a:lstStyle/>
        <a:p>
          <a:endParaRPr lang="en-PK"/>
        </a:p>
      </dgm:t>
    </dgm:pt>
    <dgm:pt modelId="{EC397DFE-5093-455F-AF0F-6ED3B409B51E}">
      <dgm:prSet phldrT="[Text]"/>
      <dgm:spPr/>
      <dgm:t>
        <a:bodyPr/>
        <a:lstStyle/>
        <a:p>
          <a:pPr>
            <a:buNone/>
          </a:pPr>
          <a:r>
            <a:rPr lang="en-PK"/>
            <a:t>Me: Future Care Coordinator</a:t>
          </a:r>
        </a:p>
      </dgm:t>
    </dgm:pt>
    <dgm:pt modelId="{863C52EE-44DE-4E82-ADB6-C2BCAB068A41}" type="parTrans" cxnId="{82A17102-4B4D-46A8-B789-03ECEFC0E7C3}">
      <dgm:prSet/>
      <dgm:spPr/>
      <dgm:t>
        <a:bodyPr/>
        <a:lstStyle/>
        <a:p>
          <a:endParaRPr lang="en-PK"/>
        </a:p>
      </dgm:t>
    </dgm:pt>
    <dgm:pt modelId="{BFF08F51-5E42-46E0-ABBA-845D93BCFCA0}" type="sibTrans" cxnId="{82A17102-4B4D-46A8-B789-03ECEFC0E7C3}">
      <dgm:prSet/>
      <dgm:spPr/>
      <dgm:t>
        <a:bodyPr/>
        <a:lstStyle/>
        <a:p>
          <a:endParaRPr lang="en-PK"/>
        </a:p>
      </dgm:t>
    </dgm:pt>
    <dgm:pt modelId="{D876619B-43EA-402D-B67D-707775B91CCA}">
      <dgm:prSet phldrT="[Text]"/>
      <dgm:spPr/>
      <dgm:t>
        <a:bodyPr/>
        <a:lstStyle/>
        <a:p>
          <a:pPr>
            <a:buNone/>
          </a:pPr>
          <a:r>
            <a:rPr lang="en-PK" b="1"/>
            <a:t>Career network:</a:t>
          </a:r>
          <a:br>
            <a:rPr lang="en-PK"/>
          </a:br>
          <a:r>
            <a:rPr lang="en-PK"/>
            <a:t>Lecturers → classmates → placement contacts → health and social care practitioners → NHS/care employers</a:t>
          </a:r>
        </a:p>
      </dgm:t>
    </dgm:pt>
    <dgm:pt modelId="{3E217BD4-7E4A-4C99-A95C-57AD89502F29}" type="parTrans" cxnId="{818AE8D4-E9AC-4501-94EA-A8DBB4C18AE8}">
      <dgm:prSet/>
      <dgm:spPr/>
      <dgm:t>
        <a:bodyPr/>
        <a:lstStyle/>
        <a:p>
          <a:endParaRPr lang="en-PK"/>
        </a:p>
      </dgm:t>
    </dgm:pt>
    <dgm:pt modelId="{E60AEE0B-B197-49B0-857E-B1852DBE1197}" type="sibTrans" cxnId="{818AE8D4-E9AC-4501-94EA-A8DBB4C18AE8}">
      <dgm:prSet/>
      <dgm:spPr/>
      <dgm:t>
        <a:bodyPr/>
        <a:lstStyle/>
        <a:p>
          <a:endParaRPr lang="en-PK"/>
        </a:p>
      </dgm:t>
    </dgm:pt>
    <dgm:pt modelId="{67904CCD-199B-45C9-BD93-9502DA410EED}">
      <dgm:prSet phldrT="[Text]" phldr="1"/>
      <dgm:spPr/>
      <dgm:t>
        <a:bodyPr/>
        <a:lstStyle/>
        <a:p>
          <a:endParaRPr lang="en-PK"/>
        </a:p>
      </dgm:t>
    </dgm:pt>
    <dgm:pt modelId="{7B9A7E27-1C9D-4129-8AA9-3EBF5458E1E4}" type="parTrans" cxnId="{F4BF6A2F-77F4-4193-8299-3C839DB4918A}">
      <dgm:prSet/>
      <dgm:spPr/>
      <dgm:t>
        <a:bodyPr/>
        <a:lstStyle/>
        <a:p>
          <a:endParaRPr lang="en-PK"/>
        </a:p>
      </dgm:t>
    </dgm:pt>
    <dgm:pt modelId="{12AA489B-13C6-45E8-A994-63095B122C6E}" type="sibTrans" cxnId="{F4BF6A2F-77F4-4193-8299-3C839DB4918A}">
      <dgm:prSet/>
      <dgm:spPr/>
      <dgm:t>
        <a:bodyPr/>
        <a:lstStyle/>
        <a:p>
          <a:endParaRPr lang="en-PK"/>
        </a:p>
      </dgm:t>
    </dgm:pt>
    <dgm:pt modelId="{22B8F848-A027-4516-98AB-BDB78157D51F}">
      <dgm:prSet phldrT="[Text]" phldr="1"/>
      <dgm:spPr/>
      <dgm:t>
        <a:bodyPr/>
        <a:lstStyle/>
        <a:p>
          <a:endParaRPr lang="en-PK"/>
        </a:p>
      </dgm:t>
    </dgm:pt>
    <dgm:pt modelId="{BDAE7225-AC81-4414-BFE5-A0D7B7216A0A}" type="parTrans" cxnId="{3F77A517-94F5-4BF8-B79A-E0E67D67E525}">
      <dgm:prSet/>
      <dgm:spPr/>
      <dgm:t>
        <a:bodyPr/>
        <a:lstStyle/>
        <a:p>
          <a:endParaRPr lang="en-PK"/>
        </a:p>
      </dgm:t>
    </dgm:pt>
    <dgm:pt modelId="{71C3C4B9-24BA-42C9-83E6-C5CDC1711066}" type="sibTrans" cxnId="{3F77A517-94F5-4BF8-B79A-E0E67D67E525}">
      <dgm:prSet/>
      <dgm:spPr/>
      <dgm:t>
        <a:bodyPr/>
        <a:lstStyle/>
        <a:p>
          <a:endParaRPr lang="en-PK"/>
        </a:p>
      </dgm:t>
    </dgm:pt>
    <dgm:pt modelId="{1D4FE3CC-BED8-4F99-B4C1-0427D1327477}">
      <dgm:prSet phldrT="[Text]" phldr="1"/>
      <dgm:spPr/>
      <dgm:t>
        <a:bodyPr/>
        <a:lstStyle/>
        <a:p>
          <a:endParaRPr lang="en-PK"/>
        </a:p>
      </dgm:t>
    </dgm:pt>
    <dgm:pt modelId="{2E0CB2FB-D163-4227-A40B-F7AF485A1A23}" type="parTrans" cxnId="{0AEB1F14-60FF-4A55-A058-6CBD5E00A6A7}">
      <dgm:prSet/>
      <dgm:spPr/>
      <dgm:t>
        <a:bodyPr/>
        <a:lstStyle/>
        <a:p>
          <a:endParaRPr lang="en-PK"/>
        </a:p>
      </dgm:t>
    </dgm:pt>
    <dgm:pt modelId="{52451776-B0F3-46FC-83F0-DE938FA50730}" type="sibTrans" cxnId="{0AEB1F14-60FF-4A55-A058-6CBD5E00A6A7}">
      <dgm:prSet/>
      <dgm:spPr/>
      <dgm:t>
        <a:bodyPr/>
        <a:lstStyle/>
        <a:p>
          <a:endParaRPr lang="en-PK"/>
        </a:p>
      </dgm:t>
    </dgm:pt>
    <dgm:pt modelId="{2C7E734E-DAA0-49F3-B737-8B4969B96EC6}">
      <dgm:prSet/>
      <dgm:spPr/>
      <dgm:t>
        <a:bodyPr/>
        <a:lstStyle/>
        <a:p>
          <a:pPr>
            <a:buNone/>
          </a:pPr>
          <a:r>
            <a:rPr lang="en-PK" b="1"/>
            <a:t>Support network:</a:t>
          </a:r>
          <a:br>
            <a:rPr lang="en-PK"/>
          </a:br>
          <a:r>
            <a:rPr lang="en-PK"/>
            <a:t>Family → close friends → academic support → trusted people who provide advice and encouragement</a:t>
          </a:r>
        </a:p>
      </dgm:t>
    </dgm:pt>
    <dgm:pt modelId="{0B797981-D3FB-4AB6-BCC0-447BFBDB254D}" type="parTrans" cxnId="{02B8AFB4-F0C5-4B75-BB22-91E0C1AF3FB0}">
      <dgm:prSet/>
      <dgm:spPr/>
      <dgm:t>
        <a:bodyPr/>
        <a:lstStyle/>
        <a:p>
          <a:endParaRPr lang="en-PK"/>
        </a:p>
      </dgm:t>
    </dgm:pt>
    <dgm:pt modelId="{4EFBCDC2-ECC9-436C-8200-102F5D9C4FA0}" type="sibTrans" cxnId="{02B8AFB4-F0C5-4B75-BB22-91E0C1AF3FB0}">
      <dgm:prSet/>
      <dgm:spPr/>
      <dgm:t>
        <a:bodyPr/>
        <a:lstStyle/>
        <a:p>
          <a:endParaRPr lang="en-PK"/>
        </a:p>
      </dgm:t>
    </dgm:pt>
    <dgm:pt modelId="{1BF4AAEC-8C98-4E77-B1CE-194A1161FFBF}">
      <dgm:prSet/>
      <dgm:spPr/>
      <dgm:t>
        <a:bodyPr/>
        <a:lstStyle/>
        <a:p>
          <a:pPr>
            <a:buNone/>
          </a:pPr>
          <a:r>
            <a:rPr lang="en-PK" b="1"/>
            <a:t>Social network:</a:t>
          </a:r>
          <a:br>
            <a:rPr lang="en-PK"/>
          </a:br>
          <a:r>
            <a:rPr lang="en-PK"/>
            <a:t>University peers → classmates → wider social contacts</a:t>
          </a:r>
        </a:p>
      </dgm:t>
    </dgm:pt>
    <dgm:pt modelId="{9337E771-AB87-4F3C-B4AF-C8A6619A99CF}" type="parTrans" cxnId="{81F3878C-EFB2-4DFE-B8B0-D91AE4E1C34A}">
      <dgm:prSet/>
      <dgm:spPr/>
      <dgm:t>
        <a:bodyPr/>
        <a:lstStyle/>
        <a:p>
          <a:endParaRPr lang="en-PK"/>
        </a:p>
      </dgm:t>
    </dgm:pt>
    <dgm:pt modelId="{34B556BE-CE60-4B5F-AA49-259758465122}" type="sibTrans" cxnId="{81F3878C-EFB2-4DFE-B8B0-D91AE4E1C34A}">
      <dgm:prSet/>
      <dgm:spPr/>
      <dgm:t>
        <a:bodyPr/>
        <a:lstStyle/>
        <a:p>
          <a:endParaRPr lang="en-PK"/>
        </a:p>
      </dgm:t>
    </dgm:pt>
    <dgm:pt modelId="{12C15459-9164-42F2-9658-6FD7D5A1DED2}">
      <dgm:prSet/>
      <dgm:spPr/>
      <dgm:t>
        <a:bodyPr/>
        <a:lstStyle/>
        <a:p>
          <a:pPr>
            <a:buNone/>
          </a:pPr>
          <a:r>
            <a:rPr lang="en-PK" b="1"/>
            <a:t>Community network:</a:t>
          </a:r>
          <a:br>
            <a:rPr lang="en-PK"/>
          </a:br>
          <a:r>
            <a:rPr lang="en-PK"/>
            <a:t>Charities → community organisations → local services → volunteering/community contacts</a:t>
          </a:r>
        </a:p>
      </dgm:t>
    </dgm:pt>
    <dgm:pt modelId="{205BBB62-7900-44FB-A292-9BF493C5990C}" type="parTrans" cxnId="{71EB2354-6A53-4C7A-9999-CC44FE3C23E9}">
      <dgm:prSet/>
      <dgm:spPr/>
      <dgm:t>
        <a:bodyPr/>
        <a:lstStyle/>
        <a:p>
          <a:endParaRPr lang="en-PK"/>
        </a:p>
      </dgm:t>
    </dgm:pt>
    <dgm:pt modelId="{553E2A5C-EA7F-4A2A-82BF-BC0FCCE77782}" type="sibTrans" cxnId="{71EB2354-6A53-4C7A-9999-CC44FE3C23E9}">
      <dgm:prSet/>
      <dgm:spPr/>
      <dgm:t>
        <a:bodyPr/>
        <a:lstStyle/>
        <a:p>
          <a:endParaRPr lang="en-PK"/>
        </a:p>
      </dgm:t>
    </dgm:pt>
    <dgm:pt modelId="{3B03B4EF-4C23-4ECF-A6AB-BFEC2EDF094C}" type="pres">
      <dgm:prSet presAssocID="{DCAC635A-78AA-43FC-A0CF-1CA23EBC31A1}" presName="diagram" presStyleCnt="0">
        <dgm:presLayoutVars>
          <dgm:chMax val="1"/>
          <dgm:dir/>
          <dgm:animLvl val="ctr"/>
          <dgm:resizeHandles val="exact"/>
        </dgm:presLayoutVars>
      </dgm:prSet>
      <dgm:spPr/>
    </dgm:pt>
    <dgm:pt modelId="{2502FE40-4E60-4D94-8C2C-8B0F0F35F41F}" type="pres">
      <dgm:prSet presAssocID="{DCAC635A-78AA-43FC-A0CF-1CA23EBC31A1}" presName="matrix" presStyleCnt="0"/>
      <dgm:spPr/>
    </dgm:pt>
    <dgm:pt modelId="{CA778F86-9AB4-47BF-ADAE-6B47D7AF1B7A}" type="pres">
      <dgm:prSet presAssocID="{DCAC635A-78AA-43FC-A0CF-1CA23EBC31A1}" presName="tile1" presStyleLbl="node1" presStyleIdx="0" presStyleCnt="4"/>
      <dgm:spPr/>
    </dgm:pt>
    <dgm:pt modelId="{82A6982F-2C3F-4EA5-9759-C029DFAD187E}" type="pres">
      <dgm:prSet presAssocID="{DCAC635A-78AA-43FC-A0CF-1CA23EBC31A1}" presName="tile1text" presStyleLbl="node1" presStyleIdx="0" presStyleCnt="4">
        <dgm:presLayoutVars>
          <dgm:chMax val="0"/>
          <dgm:chPref val="0"/>
          <dgm:bulletEnabled val="1"/>
        </dgm:presLayoutVars>
      </dgm:prSet>
      <dgm:spPr/>
    </dgm:pt>
    <dgm:pt modelId="{44DD1FA8-2693-4676-865C-AABD2154378F}" type="pres">
      <dgm:prSet presAssocID="{DCAC635A-78AA-43FC-A0CF-1CA23EBC31A1}" presName="tile2" presStyleLbl="node1" presStyleIdx="1" presStyleCnt="4"/>
      <dgm:spPr/>
    </dgm:pt>
    <dgm:pt modelId="{51361765-5CFC-4CB6-BE2F-D11706B90F09}" type="pres">
      <dgm:prSet presAssocID="{DCAC635A-78AA-43FC-A0CF-1CA23EBC31A1}" presName="tile2text" presStyleLbl="node1" presStyleIdx="1" presStyleCnt="4">
        <dgm:presLayoutVars>
          <dgm:chMax val="0"/>
          <dgm:chPref val="0"/>
          <dgm:bulletEnabled val="1"/>
        </dgm:presLayoutVars>
      </dgm:prSet>
      <dgm:spPr/>
    </dgm:pt>
    <dgm:pt modelId="{082F707C-E0FB-4929-B933-AFC78830A057}" type="pres">
      <dgm:prSet presAssocID="{DCAC635A-78AA-43FC-A0CF-1CA23EBC31A1}" presName="tile3" presStyleLbl="node1" presStyleIdx="2" presStyleCnt="4"/>
      <dgm:spPr/>
    </dgm:pt>
    <dgm:pt modelId="{D3412A57-BEDC-4395-B4D0-4BD8D8375B1D}" type="pres">
      <dgm:prSet presAssocID="{DCAC635A-78AA-43FC-A0CF-1CA23EBC31A1}" presName="tile3text" presStyleLbl="node1" presStyleIdx="2" presStyleCnt="4">
        <dgm:presLayoutVars>
          <dgm:chMax val="0"/>
          <dgm:chPref val="0"/>
          <dgm:bulletEnabled val="1"/>
        </dgm:presLayoutVars>
      </dgm:prSet>
      <dgm:spPr/>
    </dgm:pt>
    <dgm:pt modelId="{6CC40968-B475-42A3-9303-937A2CF704EC}" type="pres">
      <dgm:prSet presAssocID="{DCAC635A-78AA-43FC-A0CF-1CA23EBC31A1}" presName="tile4" presStyleLbl="node1" presStyleIdx="3" presStyleCnt="4"/>
      <dgm:spPr/>
    </dgm:pt>
    <dgm:pt modelId="{D377D5FF-67B5-4B1F-9C45-95AB3948FFA1}" type="pres">
      <dgm:prSet presAssocID="{DCAC635A-78AA-43FC-A0CF-1CA23EBC31A1}" presName="tile4text" presStyleLbl="node1" presStyleIdx="3" presStyleCnt="4">
        <dgm:presLayoutVars>
          <dgm:chMax val="0"/>
          <dgm:chPref val="0"/>
          <dgm:bulletEnabled val="1"/>
        </dgm:presLayoutVars>
      </dgm:prSet>
      <dgm:spPr/>
    </dgm:pt>
    <dgm:pt modelId="{E36D86D0-7A14-41AF-8391-182DE9779A37}" type="pres">
      <dgm:prSet presAssocID="{DCAC635A-78AA-43FC-A0CF-1CA23EBC31A1}" presName="centerTile" presStyleLbl="fgShp" presStyleIdx="0" presStyleCnt="1">
        <dgm:presLayoutVars>
          <dgm:chMax val="0"/>
          <dgm:chPref val="0"/>
        </dgm:presLayoutVars>
      </dgm:prSet>
      <dgm:spPr/>
    </dgm:pt>
  </dgm:ptLst>
  <dgm:cxnLst>
    <dgm:cxn modelId="{82A17102-4B4D-46A8-B789-03ECEFC0E7C3}" srcId="{DCAC635A-78AA-43FC-A0CF-1CA23EBC31A1}" destId="{EC397DFE-5093-455F-AF0F-6ED3B409B51E}" srcOrd="0" destOrd="0" parTransId="{863C52EE-44DE-4E82-ADB6-C2BCAB068A41}" sibTransId="{BFF08F51-5E42-46E0-ABBA-845D93BCFCA0}"/>
    <dgm:cxn modelId="{E5A61F03-D20A-43E9-AAC0-21439FCDDB4E}" type="presOf" srcId="{D876619B-43EA-402D-B67D-707775B91CCA}" destId="{82A6982F-2C3F-4EA5-9759-C029DFAD187E}" srcOrd="1" destOrd="0" presId="urn:microsoft.com/office/officeart/2005/8/layout/matrix1"/>
    <dgm:cxn modelId="{0AEB1F14-60FF-4A55-A058-6CBD5E00A6A7}" srcId="{EC397DFE-5093-455F-AF0F-6ED3B409B51E}" destId="{1D4FE3CC-BED8-4F99-B4C1-0427D1327477}" srcOrd="6" destOrd="0" parTransId="{2E0CB2FB-D163-4227-A40B-F7AF485A1A23}" sibTransId="{52451776-B0F3-46FC-83F0-DE938FA50730}"/>
    <dgm:cxn modelId="{55B3E714-2E02-401D-86AF-4DB2C7F7720A}" type="presOf" srcId="{12C15459-9164-42F2-9658-6FD7D5A1DED2}" destId="{6CC40968-B475-42A3-9303-937A2CF704EC}" srcOrd="0" destOrd="0" presId="urn:microsoft.com/office/officeart/2005/8/layout/matrix1"/>
    <dgm:cxn modelId="{3F77A517-94F5-4BF8-B79A-E0E67D67E525}" srcId="{EC397DFE-5093-455F-AF0F-6ED3B409B51E}" destId="{22B8F848-A027-4516-98AB-BDB78157D51F}" srcOrd="5" destOrd="0" parTransId="{BDAE7225-AC81-4414-BFE5-A0D7B7216A0A}" sibTransId="{71C3C4B9-24BA-42C9-83E6-C5CDC1711066}"/>
    <dgm:cxn modelId="{8E95B828-1F63-4F75-9466-927E7B25C2C8}" type="presOf" srcId="{EC397DFE-5093-455F-AF0F-6ED3B409B51E}" destId="{E36D86D0-7A14-41AF-8391-182DE9779A37}" srcOrd="0" destOrd="0" presId="urn:microsoft.com/office/officeart/2005/8/layout/matrix1"/>
    <dgm:cxn modelId="{F4BF6A2F-77F4-4193-8299-3C839DB4918A}" srcId="{EC397DFE-5093-455F-AF0F-6ED3B409B51E}" destId="{67904CCD-199B-45C9-BD93-9502DA410EED}" srcOrd="4" destOrd="0" parTransId="{7B9A7E27-1C9D-4129-8AA9-3EBF5458E1E4}" sibTransId="{12AA489B-13C6-45E8-A994-63095B122C6E}"/>
    <dgm:cxn modelId="{CD995630-90B6-4191-991A-3C38B832FB21}" type="presOf" srcId="{2C7E734E-DAA0-49F3-B737-8B4969B96EC6}" destId="{51361765-5CFC-4CB6-BE2F-D11706B90F09}" srcOrd="1" destOrd="0" presId="urn:microsoft.com/office/officeart/2005/8/layout/matrix1"/>
    <dgm:cxn modelId="{838ECE31-95EB-451A-8DD1-9D078E4413FF}" type="presOf" srcId="{1BF4AAEC-8C98-4E77-B1CE-194A1161FFBF}" destId="{082F707C-E0FB-4929-B933-AFC78830A057}" srcOrd="0" destOrd="0" presId="urn:microsoft.com/office/officeart/2005/8/layout/matrix1"/>
    <dgm:cxn modelId="{37C7CC5D-0D23-4FDE-8000-43B8BE6B8446}" type="presOf" srcId="{D876619B-43EA-402D-B67D-707775B91CCA}" destId="{CA778F86-9AB4-47BF-ADAE-6B47D7AF1B7A}" srcOrd="0" destOrd="0" presId="urn:microsoft.com/office/officeart/2005/8/layout/matrix1"/>
    <dgm:cxn modelId="{71EB2354-6A53-4C7A-9999-CC44FE3C23E9}" srcId="{EC397DFE-5093-455F-AF0F-6ED3B409B51E}" destId="{12C15459-9164-42F2-9658-6FD7D5A1DED2}" srcOrd="3" destOrd="0" parTransId="{205BBB62-7900-44FB-A292-9BF493C5990C}" sibTransId="{553E2A5C-EA7F-4A2A-82BF-BC0FCCE77782}"/>
    <dgm:cxn modelId="{A0B1BE78-3E4D-49A9-BC79-176996B97CCD}" type="presOf" srcId="{2C7E734E-DAA0-49F3-B737-8B4969B96EC6}" destId="{44DD1FA8-2693-4676-865C-AABD2154378F}" srcOrd="0" destOrd="0" presId="urn:microsoft.com/office/officeart/2005/8/layout/matrix1"/>
    <dgm:cxn modelId="{81F3878C-EFB2-4DFE-B8B0-D91AE4E1C34A}" srcId="{EC397DFE-5093-455F-AF0F-6ED3B409B51E}" destId="{1BF4AAEC-8C98-4E77-B1CE-194A1161FFBF}" srcOrd="2" destOrd="0" parTransId="{9337E771-AB87-4F3C-B4AF-C8A6619A99CF}" sibTransId="{34B556BE-CE60-4B5F-AA49-259758465122}"/>
    <dgm:cxn modelId="{0DF8B38D-ECF7-4306-AA73-981223ED02C0}" type="presOf" srcId="{DCAC635A-78AA-43FC-A0CF-1CA23EBC31A1}" destId="{3B03B4EF-4C23-4ECF-A6AB-BFEC2EDF094C}" srcOrd="0" destOrd="0" presId="urn:microsoft.com/office/officeart/2005/8/layout/matrix1"/>
    <dgm:cxn modelId="{BC402890-2325-44AF-BE6F-3209DF703637}" type="presOf" srcId="{1BF4AAEC-8C98-4E77-B1CE-194A1161FFBF}" destId="{D3412A57-BEDC-4395-B4D0-4BD8D8375B1D}" srcOrd="1" destOrd="0" presId="urn:microsoft.com/office/officeart/2005/8/layout/matrix1"/>
    <dgm:cxn modelId="{02B8AFB4-F0C5-4B75-BB22-91E0C1AF3FB0}" srcId="{EC397DFE-5093-455F-AF0F-6ED3B409B51E}" destId="{2C7E734E-DAA0-49F3-B737-8B4969B96EC6}" srcOrd="1" destOrd="0" parTransId="{0B797981-D3FB-4AB6-BCC0-447BFBDB254D}" sibTransId="{4EFBCDC2-ECC9-436C-8200-102F5D9C4FA0}"/>
    <dgm:cxn modelId="{818AE8D4-E9AC-4501-94EA-A8DBB4C18AE8}" srcId="{EC397DFE-5093-455F-AF0F-6ED3B409B51E}" destId="{D876619B-43EA-402D-B67D-707775B91CCA}" srcOrd="0" destOrd="0" parTransId="{3E217BD4-7E4A-4C99-A95C-57AD89502F29}" sibTransId="{E60AEE0B-B197-49B0-857E-B1852DBE1197}"/>
    <dgm:cxn modelId="{0A94C6E3-F5E5-4723-A1CA-C8AE9D691C48}" type="presOf" srcId="{12C15459-9164-42F2-9658-6FD7D5A1DED2}" destId="{D377D5FF-67B5-4B1F-9C45-95AB3948FFA1}" srcOrd="1" destOrd="0" presId="urn:microsoft.com/office/officeart/2005/8/layout/matrix1"/>
    <dgm:cxn modelId="{51C092F7-DB7B-46C6-9164-C8D507D828F1}" type="presParOf" srcId="{3B03B4EF-4C23-4ECF-A6AB-BFEC2EDF094C}" destId="{2502FE40-4E60-4D94-8C2C-8B0F0F35F41F}" srcOrd="0" destOrd="0" presId="urn:microsoft.com/office/officeart/2005/8/layout/matrix1"/>
    <dgm:cxn modelId="{466C2CD5-B123-487C-82A0-ED7A176241E6}" type="presParOf" srcId="{2502FE40-4E60-4D94-8C2C-8B0F0F35F41F}" destId="{CA778F86-9AB4-47BF-ADAE-6B47D7AF1B7A}" srcOrd="0" destOrd="0" presId="urn:microsoft.com/office/officeart/2005/8/layout/matrix1"/>
    <dgm:cxn modelId="{6CD5FA54-6190-4A81-9FB3-6AB16CD2BC09}" type="presParOf" srcId="{2502FE40-4E60-4D94-8C2C-8B0F0F35F41F}" destId="{82A6982F-2C3F-4EA5-9759-C029DFAD187E}" srcOrd="1" destOrd="0" presId="urn:microsoft.com/office/officeart/2005/8/layout/matrix1"/>
    <dgm:cxn modelId="{83A52B6E-8B49-4007-8A25-928BD22ED9F8}" type="presParOf" srcId="{2502FE40-4E60-4D94-8C2C-8B0F0F35F41F}" destId="{44DD1FA8-2693-4676-865C-AABD2154378F}" srcOrd="2" destOrd="0" presId="urn:microsoft.com/office/officeart/2005/8/layout/matrix1"/>
    <dgm:cxn modelId="{3A445E6A-3377-49F6-A05A-7200DA9F0F77}" type="presParOf" srcId="{2502FE40-4E60-4D94-8C2C-8B0F0F35F41F}" destId="{51361765-5CFC-4CB6-BE2F-D11706B90F09}" srcOrd="3" destOrd="0" presId="urn:microsoft.com/office/officeart/2005/8/layout/matrix1"/>
    <dgm:cxn modelId="{45360D00-BBDE-4A10-92D8-618702D0544D}" type="presParOf" srcId="{2502FE40-4E60-4D94-8C2C-8B0F0F35F41F}" destId="{082F707C-E0FB-4929-B933-AFC78830A057}" srcOrd="4" destOrd="0" presId="urn:microsoft.com/office/officeart/2005/8/layout/matrix1"/>
    <dgm:cxn modelId="{E136D1AC-DDC2-4F6E-A5C3-80029171936D}" type="presParOf" srcId="{2502FE40-4E60-4D94-8C2C-8B0F0F35F41F}" destId="{D3412A57-BEDC-4395-B4D0-4BD8D8375B1D}" srcOrd="5" destOrd="0" presId="urn:microsoft.com/office/officeart/2005/8/layout/matrix1"/>
    <dgm:cxn modelId="{C34A0E8A-D2B9-41AF-97EC-EE3DEDCC1358}" type="presParOf" srcId="{2502FE40-4E60-4D94-8C2C-8B0F0F35F41F}" destId="{6CC40968-B475-42A3-9303-937A2CF704EC}" srcOrd="6" destOrd="0" presId="urn:microsoft.com/office/officeart/2005/8/layout/matrix1"/>
    <dgm:cxn modelId="{389D4EE7-0BF1-4B8B-A824-EC4AD40EEBF2}" type="presParOf" srcId="{2502FE40-4E60-4D94-8C2C-8B0F0F35F41F}" destId="{D377D5FF-67B5-4B1F-9C45-95AB3948FFA1}" srcOrd="7" destOrd="0" presId="urn:microsoft.com/office/officeart/2005/8/layout/matrix1"/>
    <dgm:cxn modelId="{2AF6FDA6-4829-4AE6-BD5B-86CC27ADCC4D}" type="presParOf" srcId="{3B03B4EF-4C23-4ECF-A6AB-BFEC2EDF094C}" destId="{E36D86D0-7A14-41AF-8391-182DE9779A37}" srcOrd="1" destOrd="0" presId="urn:microsoft.com/office/officeart/2005/8/layout/matrix1"/>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C4B73FC4-14F1-4DEE-9A1B-ED3C7291BB78}" type="doc">
      <dgm:prSet loTypeId="urn:microsoft.com/office/officeart/2005/8/layout/radial1" loCatId="cycle" qsTypeId="urn:microsoft.com/office/officeart/2005/8/quickstyle/simple1#2" qsCatId="simple" csTypeId="urn:microsoft.com/office/officeart/2005/8/colors/colorful1#1" csCatId="colorful" phldr="1"/>
      <dgm:spPr/>
      <dgm:t>
        <a:bodyPr/>
        <a:lstStyle/>
        <a:p>
          <a:endParaRPr lang="en-PK"/>
        </a:p>
      </dgm:t>
    </dgm:pt>
    <dgm:pt modelId="{9827CFCD-FDE0-4B5B-9679-AB73C3A32846}">
      <dgm:prSet phldrT="[Text]"/>
      <dgm:spPr/>
      <dgm:t>
        <a:bodyPr/>
        <a:lstStyle/>
        <a:p>
          <a:pPr>
            <a:buNone/>
          </a:pPr>
          <a:r>
            <a:rPr lang="en-PK" b="1"/>
            <a:t>Potential difficulty accessing healthcare</a:t>
          </a:r>
          <a:endParaRPr lang="en-PK"/>
        </a:p>
      </dgm:t>
    </dgm:pt>
    <dgm:pt modelId="{42A85EE4-6A65-4FA9-95E5-2D421B6A770E}" type="parTrans" cxnId="{D692C294-E7C9-40E2-BDBE-81226ED076D7}">
      <dgm:prSet/>
      <dgm:spPr/>
      <dgm:t>
        <a:bodyPr/>
        <a:lstStyle/>
        <a:p>
          <a:endParaRPr lang="en-PK"/>
        </a:p>
      </dgm:t>
    </dgm:pt>
    <dgm:pt modelId="{30ABD150-2986-4A52-85DB-2BA49192AEC9}" type="sibTrans" cxnId="{D692C294-E7C9-40E2-BDBE-81226ED076D7}">
      <dgm:prSet/>
      <dgm:spPr/>
      <dgm:t>
        <a:bodyPr/>
        <a:lstStyle/>
        <a:p>
          <a:endParaRPr lang="en-PK"/>
        </a:p>
      </dgm:t>
    </dgm:pt>
    <dgm:pt modelId="{679C7C42-7EDB-4B73-9B29-8CE6AE211B71}">
      <dgm:prSet phldrT="[Text]"/>
      <dgm:spPr/>
      <dgm:t>
        <a:bodyPr/>
        <a:lstStyle/>
        <a:p>
          <a:r>
            <a:rPr lang="en-PK"/>
            <a:t>Device access</a:t>
          </a:r>
        </a:p>
      </dgm:t>
    </dgm:pt>
    <dgm:pt modelId="{1FA9C773-8279-4962-A70D-CA6B31034ECA}" type="parTrans" cxnId="{8A0CC6E8-380A-4978-8D74-4294D2F460AC}">
      <dgm:prSet/>
      <dgm:spPr/>
      <dgm:t>
        <a:bodyPr/>
        <a:lstStyle/>
        <a:p>
          <a:endParaRPr lang="en-PK"/>
        </a:p>
      </dgm:t>
    </dgm:pt>
    <dgm:pt modelId="{0BDEAB63-B643-4C4B-A97A-676389997DBB}" type="sibTrans" cxnId="{8A0CC6E8-380A-4978-8D74-4294D2F460AC}">
      <dgm:prSet/>
      <dgm:spPr/>
      <dgm:t>
        <a:bodyPr/>
        <a:lstStyle/>
        <a:p>
          <a:endParaRPr lang="en-PK"/>
        </a:p>
      </dgm:t>
    </dgm:pt>
    <dgm:pt modelId="{D79045FA-6D6D-4AB5-B296-E996FE8C4842}">
      <dgm:prSet phldrT="[Text]"/>
      <dgm:spPr/>
      <dgm:t>
        <a:bodyPr/>
        <a:lstStyle/>
        <a:p>
          <a:r>
            <a:rPr lang="en-PK"/>
            <a:t>Cost</a:t>
          </a:r>
        </a:p>
      </dgm:t>
    </dgm:pt>
    <dgm:pt modelId="{94F60AB9-13E2-4064-861D-33708A5F4912}" type="parTrans" cxnId="{7392B1E1-F9D0-4D97-B85D-97E538B8BAAD}">
      <dgm:prSet/>
      <dgm:spPr/>
      <dgm:t>
        <a:bodyPr/>
        <a:lstStyle/>
        <a:p>
          <a:endParaRPr lang="en-PK"/>
        </a:p>
      </dgm:t>
    </dgm:pt>
    <dgm:pt modelId="{03868843-B17B-4FB1-A9F2-93620501E9A3}" type="sibTrans" cxnId="{7392B1E1-F9D0-4D97-B85D-97E538B8BAAD}">
      <dgm:prSet/>
      <dgm:spPr/>
    </dgm:pt>
    <dgm:pt modelId="{631034DD-95EA-45F3-85A6-B497B5C9386A}">
      <dgm:prSet phldrT="[Text]"/>
      <dgm:spPr/>
      <dgm:t>
        <a:bodyPr/>
        <a:lstStyle/>
        <a:p>
          <a:r>
            <a:rPr lang="en-PK"/>
            <a:t>Connectivity</a:t>
          </a:r>
        </a:p>
      </dgm:t>
    </dgm:pt>
    <dgm:pt modelId="{19D02B8D-F55C-43D3-9D78-289422FADB6B}" type="parTrans" cxnId="{F5F65779-8AB5-4A51-ADB2-22D3AF83C0E8}">
      <dgm:prSet/>
      <dgm:spPr/>
      <dgm:t>
        <a:bodyPr/>
        <a:lstStyle/>
        <a:p>
          <a:endParaRPr lang="en-PK"/>
        </a:p>
      </dgm:t>
    </dgm:pt>
    <dgm:pt modelId="{64EC3117-3131-4D9E-88CD-32920A0E8FA5}" type="sibTrans" cxnId="{F5F65779-8AB5-4A51-ADB2-22D3AF83C0E8}">
      <dgm:prSet/>
      <dgm:spPr/>
    </dgm:pt>
    <dgm:pt modelId="{6A966C8A-10BB-482C-AE53-E77D6F32805C}">
      <dgm:prSet phldrT="[Text]"/>
      <dgm:spPr/>
      <dgm:t>
        <a:bodyPr/>
        <a:lstStyle/>
        <a:p>
          <a:r>
            <a:rPr lang="en-PK"/>
            <a:t>Digital skills</a:t>
          </a:r>
        </a:p>
      </dgm:t>
    </dgm:pt>
    <dgm:pt modelId="{C43B7F91-E18D-4C24-AF28-F7B8FCF52455}" type="parTrans" cxnId="{7A67DA2B-BC7D-4F34-832E-1784CF7150E6}">
      <dgm:prSet/>
      <dgm:spPr/>
      <dgm:t>
        <a:bodyPr/>
        <a:lstStyle/>
        <a:p>
          <a:endParaRPr lang="en-PK"/>
        </a:p>
      </dgm:t>
    </dgm:pt>
    <dgm:pt modelId="{32C8C454-F2B4-43BB-9122-2C12A59C0F3C}" type="sibTrans" cxnId="{7A67DA2B-BC7D-4F34-832E-1784CF7150E6}">
      <dgm:prSet/>
      <dgm:spPr/>
    </dgm:pt>
    <dgm:pt modelId="{A970064F-24F1-464B-BFAC-A02A5808F478}">
      <dgm:prSet phldrT="[Text]"/>
      <dgm:spPr/>
      <dgm:t>
        <a:bodyPr/>
        <a:lstStyle/>
        <a:p>
          <a:r>
            <a:rPr lang="en-PK"/>
            <a:t>Accessibility</a:t>
          </a:r>
        </a:p>
      </dgm:t>
    </dgm:pt>
    <dgm:pt modelId="{BFA965F6-AF06-4A16-A17D-5AA23AB33492}" type="parTrans" cxnId="{7545D296-1C03-4941-A2D7-A4007EC5287F}">
      <dgm:prSet/>
      <dgm:spPr/>
      <dgm:t>
        <a:bodyPr/>
        <a:lstStyle/>
        <a:p>
          <a:endParaRPr lang="en-PK"/>
        </a:p>
      </dgm:t>
    </dgm:pt>
    <dgm:pt modelId="{E836C64C-4DF1-424B-A34D-CEE8F8D3CA1D}" type="sibTrans" cxnId="{7545D296-1C03-4941-A2D7-A4007EC5287F}">
      <dgm:prSet/>
      <dgm:spPr/>
    </dgm:pt>
    <dgm:pt modelId="{B395A1C7-5C1E-4D20-B57D-4F2E44C4265F}">
      <dgm:prSet phldrT="[Text]"/>
      <dgm:spPr/>
      <dgm:t>
        <a:bodyPr/>
        <a:lstStyle/>
        <a:p>
          <a:r>
            <a:rPr lang="en-PK"/>
            <a:t>Confidence</a:t>
          </a:r>
        </a:p>
      </dgm:t>
    </dgm:pt>
    <dgm:pt modelId="{FD16F8A7-5027-4F77-9179-DF1859CCA658}" type="parTrans" cxnId="{697408A4-4BCE-4C35-9613-BD9144AE6903}">
      <dgm:prSet/>
      <dgm:spPr/>
      <dgm:t>
        <a:bodyPr/>
        <a:lstStyle/>
        <a:p>
          <a:endParaRPr lang="en-PK"/>
        </a:p>
      </dgm:t>
    </dgm:pt>
    <dgm:pt modelId="{89BAB7E6-D641-4345-81E9-56FEF3E3A344}" type="sibTrans" cxnId="{697408A4-4BCE-4C35-9613-BD9144AE6903}">
      <dgm:prSet/>
      <dgm:spPr/>
    </dgm:pt>
    <dgm:pt modelId="{B08F15B7-840B-4F9E-87AB-4C7B6B3BBD19}">
      <dgm:prSet phldrT="[Text]"/>
      <dgm:spPr/>
      <dgm:t>
        <a:bodyPr/>
        <a:lstStyle/>
        <a:p>
          <a:endParaRPr lang="en-PK"/>
        </a:p>
      </dgm:t>
    </dgm:pt>
    <dgm:pt modelId="{C59F3C17-3816-464F-A447-C9B2B893295D}" type="parTrans" cxnId="{C12FCC8B-AF9C-48C0-A123-76279BF4DCC3}">
      <dgm:prSet/>
      <dgm:spPr/>
      <dgm:t>
        <a:bodyPr/>
        <a:lstStyle/>
        <a:p>
          <a:endParaRPr lang="en-PK"/>
        </a:p>
      </dgm:t>
    </dgm:pt>
    <dgm:pt modelId="{7D938A50-AC5E-45C9-B292-3AD22881B2F1}" type="sibTrans" cxnId="{C12FCC8B-AF9C-48C0-A123-76279BF4DCC3}">
      <dgm:prSet/>
      <dgm:spPr/>
    </dgm:pt>
    <dgm:pt modelId="{7CA6D94B-ED96-4163-BF79-582CB8C4A969}" type="pres">
      <dgm:prSet presAssocID="{C4B73FC4-14F1-4DEE-9A1B-ED3C7291BB78}" presName="cycle" presStyleCnt="0">
        <dgm:presLayoutVars>
          <dgm:chMax val="1"/>
          <dgm:dir/>
          <dgm:animLvl val="ctr"/>
          <dgm:resizeHandles val="exact"/>
        </dgm:presLayoutVars>
      </dgm:prSet>
      <dgm:spPr/>
    </dgm:pt>
    <dgm:pt modelId="{ABE4C38A-A47E-46A5-8C8F-42758CA08A7D}" type="pres">
      <dgm:prSet presAssocID="{9827CFCD-FDE0-4B5B-9679-AB73C3A32846}" presName="centerShape" presStyleLbl="node0" presStyleIdx="0" presStyleCnt="1"/>
      <dgm:spPr/>
    </dgm:pt>
    <dgm:pt modelId="{10C8522F-C652-4098-A444-158B1EBC3DCF}" type="pres">
      <dgm:prSet presAssocID="{1FA9C773-8279-4962-A70D-CA6B31034ECA}" presName="Name9" presStyleLbl="parChTrans1D2" presStyleIdx="0" presStyleCnt="6"/>
      <dgm:spPr/>
    </dgm:pt>
    <dgm:pt modelId="{396843BA-CB48-4AD7-8F0E-91C2E98C0A41}" type="pres">
      <dgm:prSet presAssocID="{1FA9C773-8279-4962-A70D-CA6B31034ECA}" presName="connTx" presStyleLbl="parChTrans1D2" presStyleIdx="0" presStyleCnt="6"/>
      <dgm:spPr/>
    </dgm:pt>
    <dgm:pt modelId="{88E1B34E-D88E-41CB-A4F9-AEAC65D04700}" type="pres">
      <dgm:prSet presAssocID="{679C7C42-7EDB-4B73-9B29-8CE6AE211B71}" presName="node" presStyleLbl="node1" presStyleIdx="0" presStyleCnt="6">
        <dgm:presLayoutVars>
          <dgm:bulletEnabled val="1"/>
        </dgm:presLayoutVars>
      </dgm:prSet>
      <dgm:spPr/>
    </dgm:pt>
    <dgm:pt modelId="{D4014BC0-4333-4E52-8C27-6613BD7F65C9}" type="pres">
      <dgm:prSet presAssocID="{94F60AB9-13E2-4064-861D-33708A5F4912}" presName="Name9" presStyleLbl="parChTrans1D2" presStyleIdx="1" presStyleCnt="6"/>
      <dgm:spPr/>
    </dgm:pt>
    <dgm:pt modelId="{260883CE-B8B9-4110-AC05-13B1FC78AB11}" type="pres">
      <dgm:prSet presAssocID="{94F60AB9-13E2-4064-861D-33708A5F4912}" presName="connTx" presStyleLbl="parChTrans1D2" presStyleIdx="1" presStyleCnt="6"/>
      <dgm:spPr/>
    </dgm:pt>
    <dgm:pt modelId="{B62D14DE-4029-41FC-BBCD-4031BFC1551E}" type="pres">
      <dgm:prSet presAssocID="{D79045FA-6D6D-4AB5-B296-E996FE8C4842}" presName="node" presStyleLbl="node1" presStyleIdx="1" presStyleCnt="6">
        <dgm:presLayoutVars>
          <dgm:bulletEnabled val="1"/>
        </dgm:presLayoutVars>
      </dgm:prSet>
      <dgm:spPr/>
    </dgm:pt>
    <dgm:pt modelId="{8826C3B2-3F3F-4AA7-84CD-F3DF38905E8D}" type="pres">
      <dgm:prSet presAssocID="{19D02B8D-F55C-43D3-9D78-289422FADB6B}" presName="Name9" presStyleLbl="parChTrans1D2" presStyleIdx="2" presStyleCnt="6"/>
      <dgm:spPr/>
    </dgm:pt>
    <dgm:pt modelId="{CAD930BB-9D67-4EE5-A11C-BC8C00327DE8}" type="pres">
      <dgm:prSet presAssocID="{19D02B8D-F55C-43D3-9D78-289422FADB6B}" presName="connTx" presStyleLbl="parChTrans1D2" presStyleIdx="2" presStyleCnt="6"/>
      <dgm:spPr/>
    </dgm:pt>
    <dgm:pt modelId="{CE303A71-84EF-41DE-B0D0-0F3012271E9C}" type="pres">
      <dgm:prSet presAssocID="{631034DD-95EA-45F3-85A6-B497B5C9386A}" presName="node" presStyleLbl="node1" presStyleIdx="2" presStyleCnt="6">
        <dgm:presLayoutVars>
          <dgm:bulletEnabled val="1"/>
        </dgm:presLayoutVars>
      </dgm:prSet>
      <dgm:spPr/>
    </dgm:pt>
    <dgm:pt modelId="{C4C9CFCF-94BE-4AF7-90DB-16A2F33E6708}" type="pres">
      <dgm:prSet presAssocID="{C43B7F91-E18D-4C24-AF28-F7B8FCF52455}" presName="Name9" presStyleLbl="parChTrans1D2" presStyleIdx="3" presStyleCnt="6"/>
      <dgm:spPr/>
    </dgm:pt>
    <dgm:pt modelId="{6F0A13C0-4E49-4B58-92FB-6D6060770C5C}" type="pres">
      <dgm:prSet presAssocID="{C43B7F91-E18D-4C24-AF28-F7B8FCF52455}" presName="connTx" presStyleLbl="parChTrans1D2" presStyleIdx="3" presStyleCnt="6"/>
      <dgm:spPr/>
    </dgm:pt>
    <dgm:pt modelId="{81EEFD06-859C-4EEA-83A3-860EEAB08742}" type="pres">
      <dgm:prSet presAssocID="{6A966C8A-10BB-482C-AE53-E77D6F32805C}" presName="node" presStyleLbl="node1" presStyleIdx="3" presStyleCnt="6">
        <dgm:presLayoutVars>
          <dgm:bulletEnabled val="1"/>
        </dgm:presLayoutVars>
      </dgm:prSet>
      <dgm:spPr/>
    </dgm:pt>
    <dgm:pt modelId="{F85D0A43-E14E-4241-9F63-402769D4F381}" type="pres">
      <dgm:prSet presAssocID="{BFA965F6-AF06-4A16-A17D-5AA23AB33492}" presName="Name9" presStyleLbl="parChTrans1D2" presStyleIdx="4" presStyleCnt="6"/>
      <dgm:spPr/>
    </dgm:pt>
    <dgm:pt modelId="{471F2FF3-4F5B-4FA2-9C09-FBCCEAFBA040}" type="pres">
      <dgm:prSet presAssocID="{BFA965F6-AF06-4A16-A17D-5AA23AB33492}" presName="connTx" presStyleLbl="parChTrans1D2" presStyleIdx="4" presStyleCnt="6"/>
      <dgm:spPr/>
    </dgm:pt>
    <dgm:pt modelId="{078E81BC-C695-4B6D-9E17-5CAE3D4DBA5D}" type="pres">
      <dgm:prSet presAssocID="{A970064F-24F1-464B-BFAC-A02A5808F478}" presName="node" presStyleLbl="node1" presStyleIdx="4" presStyleCnt="6">
        <dgm:presLayoutVars>
          <dgm:bulletEnabled val="1"/>
        </dgm:presLayoutVars>
      </dgm:prSet>
      <dgm:spPr/>
    </dgm:pt>
    <dgm:pt modelId="{8566FB2A-E1CB-4010-A5F1-EDECD8077A8F}" type="pres">
      <dgm:prSet presAssocID="{FD16F8A7-5027-4F77-9179-DF1859CCA658}" presName="Name9" presStyleLbl="parChTrans1D2" presStyleIdx="5" presStyleCnt="6"/>
      <dgm:spPr/>
    </dgm:pt>
    <dgm:pt modelId="{E514F868-B4FB-4964-BE06-B5A0487CB9D2}" type="pres">
      <dgm:prSet presAssocID="{FD16F8A7-5027-4F77-9179-DF1859CCA658}" presName="connTx" presStyleLbl="parChTrans1D2" presStyleIdx="5" presStyleCnt="6"/>
      <dgm:spPr/>
    </dgm:pt>
    <dgm:pt modelId="{1EB4BB00-3A5B-4DD9-AD59-994B5FB08DBB}" type="pres">
      <dgm:prSet presAssocID="{B395A1C7-5C1E-4D20-B57D-4F2E44C4265F}" presName="node" presStyleLbl="node1" presStyleIdx="5" presStyleCnt="6">
        <dgm:presLayoutVars>
          <dgm:bulletEnabled val="1"/>
        </dgm:presLayoutVars>
      </dgm:prSet>
      <dgm:spPr/>
    </dgm:pt>
  </dgm:ptLst>
  <dgm:cxnLst>
    <dgm:cxn modelId="{23BB3804-6A43-468C-B4B4-9DBF8B80916A}" type="presOf" srcId="{C4B73FC4-14F1-4DEE-9A1B-ED3C7291BB78}" destId="{7CA6D94B-ED96-4163-BF79-582CB8C4A969}" srcOrd="0" destOrd="0" presId="urn:microsoft.com/office/officeart/2005/8/layout/radial1"/>
    <dgm:cxn modelId="{FA473020-FCC2-46D1-9C4C-A4A2B1E6CA87}" type="presOf" srcId="{B395A1C7-5C1E-4D20-B57D-4F2E44C4265F}" destId="{1EB4BB00-3A5B-4DD9-AD59-994B5FB08DBB}" srcOrd="0" destOrd="0" presId="urn:microsoft.com/office/officeart/2005/8/layout/radial1"/>
    <dgm:cxn modelId="{7A67DA2B-BC7D-4F34-832E-1784CF7150E6}" srcId="{9827CFCD-FDE0-4B5B-9679-AB73C3A32846}" destId="{6A966C8A-10BB-482C-AE53-E77D6F32805C}" srcOrd="3" destOrd="0" parTransId="{C43B7F91-E18D-4C24-AF28-F7B8FCF52455}" sibTransId="{32C8C454-F2B4-43BB-9122-2C12A59C0F3C}"/>
    <dgm:cxn modelId="{6D44282F-E7E5-4944-AFE0-163321BF21B5}" type="presOf" srcId="{D79045FA-6D6D-4AB5-B296-E996FE8C4842}" destId="{B62D14DE-4029-41FC-BBCD-4031BFC1551E}" srcOrd="0" destOrd="0" presId="urn:microsoft.com/office/officeart/2005/8/layout/radial1"/>
    <dgm:cxn modelId="{F1E5A93F-2F9B-4397-B161-E77C105A1DB2}" type="presOf" srcId="{BFA965F6-AF06-4A16-A17D-5AA23AB33492}" destId="{F85D0A43-E14E-4241-9F63-402769D4F381}" srcOrd="0" destOrd="0" presId="urn:microsoft.com/office/officeart/2005/8/layout/radial1"/>
    <dgm:cxn modelId="{68D99D42-9D7F-4310-B365-DF8C60F2B50C}" type="presOf" srcId="{FD16F8A7-5027-4F77-9179-DF1859CCA658}" destId="{8566FB2A-E1CB-4010-A5F1-EDECD8077A8F}" srcOrd="0" destOrd="0" presId="urn:microsoft.com/office/officeart/2005/8/layout/radial1"/>
    <dgm:cxn modelId="{8FAB126C-0254-47E9-BBFB-2EC7CEAB7DD0}" type="presOf" srcId="{1FA9C773-8279-4962-A70D-CA6B31034ECA}" destId="{396843BA-CB48-4AD7-8F0E-91C2E98C0A41}" srcOrd="1" destOrd="0" presId="urn:microsoft.com/office/officeart/2005/8/layout/radial1"/>
    <dgm:cxn modelId="{B05E834F-B1C2-474E-BEC7-0870003EC46E}" type="presOf" srcId="{6A966C8A-10BB-482C-AE53-E77D6F32805C}" destId="{81EEFD06-859C-4EEA-83A3-860EEAB08742}" srcOrd="0" destOrd="0" presId="urn:microsoft.com/office/officeart/2005/8/layout/radial1"/>
    <dgm:cxn modelId="{7888C153-E2E1-4FB5-8B46-EC40A0B8085F}" type="presOf" srcId="{BFA965F6-AF06-4A16-A17D-5AA23AB33492}" destId="{471F2FF3-4F5B-4FA2-9C09-FBCCEAFBA040}" srcOrd="1" destOrd="0" presId="urn:microsoft.com/office/officeart/2005/8/layout/radial1"/>
    <dgm:cxn modelId="{F5F65779-8AB5-4A51-ADB2-22D3AF83C0E8}" srcId="{9827CFCD-FDE0-4B5B-9679-AB73C3A32846}" destId="{631034DD-95EA-45F3-85A6-B497B5C9386A}" srcOrd="2" destOrd="0" parTransId="{19D02B8D-F55C-43D3-9D78-289422FADB6B}" sibTransId="{64EC3117-3131-4D9E-88CD-32920A0E8FA5}"/>
    <dgm:cxn modelId="{5A59D67E-CBE4-45A9-B4A0-ABA64CCA520A}" type="presOf" srcId="{19D02B8D-F55C-43D3-9D78-289422FADB6B}" destId="{8826C3B2-3F3F-4AA7-84CD-F3DF38905E8D}" srcOrd="0" destOrd="0" presId="urn:microsoft.com/office/officeart/2005/8/layout/radial1"/>
    <dgm:cxn modelId="{144AD488-04C2-40EC-9DF4-3C497E99468B}" type="presOf" srcId="{A970064F-24F1-464B-BFAC-A02A5808F478}" destId="{078E81BC-C695-4B6D-9E17-5CAE3D4DBA5D}" srcOrd="0" destOrd="0" presId="urn:microsoft.com/office/officeart/2005/8/layout/radial1"/>
    <dgm:cxn modelId="{79E6C98B-792E-4AEE-9962-F87E6CC7C235}" type="presOf" srcId="{1FA9C773-8279-4962-A70D-CA6B31034ECA}" destId="{10C8522F-C652-4098-A444-158B1EBC3DCF}" srcOrd="0" destOrd="0" presId="urn:microsoft.com/office/officeart/2005/8/layout/radial1"/>
    <dgm:cxn modelId="{C12FCC8B-AF9C-48C0-A123-76279BF4DCC3}" srcId="{C4B73FC4-14F1-4DEE-9A1B-ED3C7291BB78}" destId="{B08F15B7-840B-4F9E-87AB-4C7B6B3BBD19}" srcOrd="1" destOrd="0" parTransId="{C59F3C17-3816-464F-A447-C9B2B893295D}" sibTransId="{7D938A50-AC5E-45C9-B292-3AD22881B2F1}"/>
    <dgm:cxn modelId="{E243488C-CE41-43AB-8A6B-FFAD94C657F4}" type="presOf" srcId="{94F60AB9-13E2-4064-861D-33708A5F4912}" destId="{D4014BC0-4333-4E52-8C27-6613BD7F65C9}" srcOrd="0" destOrd="0" presId="urn:microsoft.com/office/officeart/2005/8/layout/radial1"/>
    <dgm:cxn modelId="{D692C294-E7C9-40E2-BDBE-81226ED076D7}" srcId="{C4B73FC4-14F1-4DEE-9A1B-ED3C7291BB78}" destId="{9827CFCD-FDE0-4B5B-9679-AB73C3A32846}" srcOrd="0" destOrd="0" parTransId="{42A85EE4-6A65-4FA9-95E5-2D421B6A770E}" sibTransId="{30ABD150-2986-4A52-85DB-2BA49192AEC9}"/>
    <dgm:cxn modelId="{7545D296-1C03-4941-A2D7-A4007EC5287F}" srcId="{9827CFCD-FDE0-4B5B-9679-AB73C3A32846}" destId="{A970064F-24F1-464B-BFAC-A02A5808F478}" srcOrd="4" destOrd="0" parTransId="{BFA965F6-AF06-4A16-A17D-5AA23AB33492}" sibTransId="{E836C64C-4DF1-424B-A34D-CEE8F8D3CA1D}"/>
    <dgm:cxn modelId="{697408A4-4BCE-4C35-9613-BD9144AE6903}" srcId="{9827CFCD-FDE0-4B5B-9679-AB73C3A32846}" destId="{B395A1C7-5C1E-4D20-B57D-4F2E44C4265F}" srcOrd="5" destOrd="0" parTransId="{FD16F8A7-5027-4F77-9179-DF1859CCA658}" sibTransId="{89BAB7E6-D641-4345-81E9-56FEF3E3A344}"/>
    <dgm:cxn modelId="{BB0FD4AD-BD2B-4F58-8025-BDD16C9A2E7C}" type="presOf" srcId="{C43B7F91-E18D-4C24-AF28-F7B8FCF52455}" destId="{C4C9CFCF-94BE-4AF7-90DB-16A2F33E6708}" srcOrd="0" destOrd="0" presId="urn:microsoft.com/office/officeart/2005/8/layout/radial1"/>
    <dgm:cxn modelId="{8B0405AE-4EF9-4F04-AD07-81808D52846A}" type="presOf" srcId="{C43B7F91-E18D-4C24-AF28-F7B8FCF52455}" destId="{6F0A13C0-4E49-4B58-92FB-6D6060770C5C}" srcOrd="1" destOrd="0" presId="urn:microsoft.com/office/officeart/2005/8/layout/radial1"/>
    <dgm:cxn modelId="{E1A916B5-73F3-4254-8B4A-770F8478B578}" type="presOf" srcId="{679C7C42-7EDB-4B73-9B29-8CE6AE211B71}" destId="{88E1B34E-D88E-41CB-A4F9-AEAC65D04700}" srcOrd="0" destOrd="0" presId="urn:microsoft.com/office/officeart/2005/8/layout/radial1"/>
    <dgm:cxn modelId="{0FD287BA-3FE4-4841-84F5-EF71EB79B923}" type="presOf" srcId="{FD16F8A7-5027-4F77-9179-DF1859CCA658}" destId="{E514F868-B4FB-4964-BE06-B5A0487CB9D2}" srcOrd="1" destOrd="0" presId="urn:microsoft.com/office/officeart/2005/8/layout/radial1"/>
    <dgm:cxn modelId="{1C7397D7-3315-427A-9BFB-1714C4FCF3B5}" type="presOf" srcId="{94F60AB9-13E2-4064-861D-33708A5F4912}" destId="{260883CE-B8B9-4110-AC05-13B1FC78AB11}" srcOrd="1" destOrd="0" presId="urn:microsoft.com/office/officeart/2005/8/layout/radial1"/>
    <dgm:cxn modelId="{7392B1E1-F9D0-4D97-B85D-97E538B8BAAD}" srcId="{9827CFCD-FDE0-4B5B-9679-AB73C3A32846}" destId="{D79045FA-6D6D-4AB5-B296-E996FE8C4842}" srcOrd="1" destOrd="0" parTransId="{94F60AB9-13E2-4064-861D-33708A5F4912}" sibTransId="{03868843-B17B-4FB1-A9F2-93620501E9A3}"/>
    <dgm:cxn modelId="{4958D2E7-6008-4450-B856-968DA8F696B9}" type="presOf" srcId="{19D02B8D-F55C-43D3-9D78-289422FADB6B}" destId="{CAD930BB-9D67-4EE5-A11C-BC8C00327DE8}" srcOrd="1" destOrd="0" presId="urn:microsoft.com/office/officeart/2005/8/layout/radial1"/>
    <dgm:cxn modelId="{8A0CC6E8-380A-4978-8D74-4294D2F460AC}" srcId="{9827CFCD-FDE0-4B5B-9679-AB73C3A32846}" destId="{679C7C42-7EDB-4B73-9B29-8CE6AE211B71}" srcOrd="0" destOrd="0" parTransId="{1FA9C773-8279-4962-A70D-CA6B31034ECA}" sibTransId="{0BDEAB63-B643-4C4B-A97A-676389997DBB}"/>
    <dgm:cxn modelId="{B4CB2EF1-77CC-4D9D-8710-D5D9E407B8AE}" type="presOf" srcId="{631034DD-95EA-45F3-85A6-B497B5C9386A}" destId="{CE303A71-84EF-41DE-B0D0-0F3012271E9C}" srcOrd="0" destOrd="0" presId="urn:microsoft.com/office/officeart/2005/8/layout/radial1"/>
    <dgm:cxn modelId="{722445F3-D69B-465E-A392-F0C23B4BCD6A}" type="presOf" srcId="{9827CFCD-FDE0-4B5B-9679-AB73C3A32846}" destId="{ABE4C38A-A47E-46A5-8C8F-42758CA08A7D}" srcOrd="0" destOrd="0" presId="urn:microsoft.com/office/officeart/2005/8/layout/radial1"/>
    <dgm:cxn modelId="{50F1F526-DEFE-4505-A429-920D06CF9E87}" type="presParOf" srcId="{7CA6D94B-ED96-4163-BF79-582CB8C4A969}" destId="{ABE4C38A-A47E-46A5-8C8F-42758CA08A7D}" srcOrd="0" destOrd="0" presId="urn:microsoft.com/office/officeart/2005/8/layout/radial1"/>
    <dgm:cxn modelId="{CCAC4001-2AFA-4201-AE3C-69836CAE7135}" type="presParOf" srcId="{7CA6D94B-ED96-4163-BF79-582CB8C4A969}" destId="{10C8522F-C652-4098-A444-158B1EBC3DCF}" srcOrd="1" destOrd="0" presId="urn:microsoft.com/office/officeart/2005/8/layout/radial1"/>
    <dgm:cxn modelId="{9379D96A-E6CE-4606-97FF-989C52AB9149}" type="presParOf" srcId="{10C8522F-C652-4098-A444-158B1EBC3DCF}" destId="{396843BA-CB48-4AD7-8F0E-91C2E98C0A41}" srcOrd="0" destOrd="0" presId="urn:microsoft.com/office/officeart/2005/8/layout/radial1"/>
    <dgm:cxn modelId="{EF097302-E4C3-4172-8180-7BC93127A953}" type="presParOf" srcId="{7CA6D94B-ED96-4163-BF79-582CB8C4A969}" destId="{88E1B34E-D88E-41CB-A4F9-AEAC65D04700}" srcOrd="2" destOrd="0" presId="urn:microsoft.com/office/officeart/2005/8/layout/radial1"/>
    <dgm:cxn modelId="{2A0644D8-9635-4A87-B600-3737713CC711}" type="presParOf" srcId="{7CA6D94B-ED96-4163-BF79-582CB8C4A969}" destId="{D4014BC0-4333-4E52-8C27-6613BD7F65C9}" srcOrd="3" destOrd="0" presId="urn:microsoft.com/office/officeart/2005/8/layout/radial1"/>
    <dgm:cxn modelId="{E13A679F-486D-4529-AFE3-4EB75C1F4DC9}" type="presParOf" srcId="{D4014BC0-4333-4E52-8C27-6613BD7F65C9}" destId="{260883CE-B8B9-4110-AC05-13B1FC78AB11}" srcOrd="0" destOrd="0" presId="urn:microsoft.com/office/officeart/2005/8/layout/radial1"/>
    <dgm:cxn modelId="{4828CA7A-5B8D-4D71-A332-497E5EF42A18}" type="presParOf" srcId="{7CA6D94B-ED96-4163-BF79-582CB8C4A969}" destId="{B62D14DE-4029-41FC-BBCD-4031BFC1551E}" srcOrd="4" destOrd="0" presId="urn:microsoft.com/office/officeart/2005/8/layout/radial1"/>
    <dgm:cxn modelId="{F434D591-7596-41F8-8681-FFEB5718784A}" type="presParOf" srcId="{7CA6D94B-ED96-4163-BF79-582CB8C4A969}" destId="{8826C3B2-3F3F-4AA7-84CD-F3DF38905E8D}" srcOrd="5" destOrd="0" presId="urn:microsoft.com/office/officeart/2005/8/layout/radial1"/>
    <dgm:cxn modelId="{B9F8A722-3401-431B-8F76-1B49906CB642}" type="presParOf" srcId="{8826C3B2-3F3F-4AA7-84CD-F3DF38905E8D}" destId="{CAD930BB-9D67-4EE5-A11C-BC8C00327DE8}" srcOrd="0" destOrd="0" presId="urn:microsoft.com/office/officeart/2005/8/layout/radial1"/>
    <dgm:cxn modelId="{34BCFAB8-B41D-4196-8149-35772E193FA0}" type="presParOf" srcId="{7CA6D94B-ED96-4163-BF79-582CB8C4A969}" destId="{CE303A71-84EF-41DE-B0D0-0F3012271E9C}" srcOrd="6" destOrd="0" presId="urn:microsoft.com/office/officeart/2005/8/layout/radial1"/>
    <dgm:cxn modelId="{4C635707-3697-45B7-AFA7-CE60DDBB875A}" type="presParOf" srcId="{7CA6D94B-ED96-4163-BF79-582CB8C4A969}" destId="{C4C9CFCF-94BE-4AF7-90DB-16A2F33E6708}" srcOrd="7" destOrd="0" presId="urn:microsoft.com/office/officeart/2005/8/layout/radial1"/>
    <dgm:cxn modelId="{4C4C5A44-B588-4860-BFF2-7BCF0CEBFCB7}" type="presParOf" srcId="{C4C9CFCF-94BE-4AF7-90DB-16A2F33E6708}" destId="{6F0A13C0-4E49-4B58-92FB-6D6060770C5C}" srcOrd="0" destOrd="0" presId="urn:microsoft.com/office/officeart/2005/8/layout/radial1"/>
    <dgm:cxn modelId="{286CF0C7-0B73-47CC-8B29-84B13ED1F0CB}" type="presParOf" srcId="{7CA6D94B-ED96-4163-BF79-582CB8C4A969}" destId="{81EEFD06-859C-4EEA-83A3-860EEAB08742}" srcOrd="8" destOrd="0" presId="urn:microsoft.com/office/officeart/2005/8/layout/radial1"/>
    <dgm:cxn modelId="{BE89BD60-E3E3-4FBE-963F-B43997580C94}" type="presParOf" srcId="{7CA6D94B-ED96-4163-BF79-582CB8C4A969}" destId="{F85D0A43-E14E-4241-9F63-402769D4F381}" srcOrd="9" destOrd="0" presId="urn:microsoft.com/office/officeart/2005/8/layout/radial1"/>
    <dgm:cxn modelId="{3C343492-4ABE-4A6B-BC78-64D314F4642E}" type="presParOf" srcId="{F85D0A43-E14E-4241-9F63-402769D4F381}" destId="{471F2FF3-4F5B-4FA2-9C09-FBCCEAFBA040}" srcOrd="0" destOrd="0" presId="urn:microsoft.com/office/officeart/2005/8/layout/radial1"/>
    <dgm:cxn modelId="{A01236B8-752C-4115-BB32-A65DB1C8A333}" type="presParOf" srcId="{7CA6D94B-ED96-4163-BF79-582CB8C4A969}" destId="{078E81BC-C695-4B6D-9E17-5CAE3D4DBA5D}" srcOrd="10" destOrd="0" presId="urn:microsoft.com/office/officeart/2005/8/layout/radial1"/>
    <dgm:cxn modelId="{E6E14C6E-6E8B-4ABF-BC8E-0DB4A1007264}" type="presParOf" srcId="{7CA6D94B-ED96-4163-BF79-582CB8C4A969}" destId="{8566FB2A-E1CB-4010-A5F1-EDECD8077A8F}" srcOrd="11" destOrd="0" presId="urn:microsoft.com/office/officeart/2005/8/layout/radial1"/>
    <dgm:cxn modelId="{83D74833-B120-400C-AE4C-257A947B9D77}" type="presParOf" srcId="{8566FB2A-E1CB-4010-A5F1-EDECD8077A8F}" destId="{E514F868-B4FB-4964-BE06-B5A0487CB9D2}" srcOrd="0" destOrd="0" presId="urn:microsoft.com/office/officeart/2005/8/layout/radial1"/>
    <dgm:cxn modelId="{085CDC2D-6DB8-4C71-B612-F38426E3D7D4}" type="presParOf" srcId="{7CA6D94B-ED96-4163-BF79-582CB8C4A969}" destId="{1EB4BB00-3A5B-4DD9-AD59-994B5FB08DBB}" srcOrd="12" destOrd="0" presId="urn:microsoft.com/office/officeart/2005/8/layout/radial1"/>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A778F86-9AB4-47BF-ADAE-6B47D7AF1B7A}">
      <dsp:nvSpPr>
        <dsp:cNvPr id="0" name=""/>
        <dsp:cNvSpPr/>
      </dsp:nvSpPr>
      <dsp:spPr>
        <a:xfrm rot="16200000">
          <a:off x="571500" y="-571500"/>
          <a:ext cx="1600200" cy="2743200"/>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PK" sz="1400" b="1" kern="1200"/>
            <a:t>Career network:</a:t>
          </a:r>
          <a:br>
            <a:rPr lang="en-PK" sz="1400" kern="1200"/>
          </a:br>
          <a:r>
            <a:rPr lang="en-PK" sz="1400" kern="1200"/>
            <a:t>Lecturers → classmates → placement contacts → health and social care practitioners → NHS/care employers</a:t>
          </a:r>
        </a:p>
      </dsp:txBody>
      <dsp:txXfrm rot="5400000">
        <a:off x="-1" y="1"/>
        <a:ext cx="2743200" cy="1200150"/>
      </dsp:txXfrm>
    </dsp:sp>
    <dsp:sp modelId="{44DD1FA8-2693-4676-865C-AABD2154378F}">
      <dsp:nvSpPr>
        <dsp:cNvPr id="0" name=""/>
        <dsp:cNvSpPr/>
      </dsp:nvSpPr>
      <dsp:spPr>
        <a:xfrm>
          <a:off x="2743200" y="0"/>
          <a:ext cx="2743200" cy="1600200"/>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PK" sz="1400" b="1" kern="1200"/>
            <a:t>Support network:</a:t>
          </a:r>
          <a:br>
            <a:rPr lang="en-PK" sz="1400" kern="1200"/>
          </a:br>
          <a:r>
            <a:rPr lang="en-PK" sz="1400" kern="1200"/>
            <a:t>Family → close friends → academic support → trusted people who provide advice and encouragement</a:t>
          </a:r>
        </a:p>
      </dsp:txBody>
      <dsp:txXfrm>
        <a:off x="2743200" y="0"/>
        <a:ext cx="2743200" cy="1200150"/>
      </dsp:txXfrm>
    </dsp:sp>
    <dsp:sp modelId="{082F707C-E0FB-4929-B933-AFC78830A057}">
      <dsp:nvSpPr>
        <dsp:cNvPr id="0" name=""/>
        <dsp:cNvSpPr/>
      </dsp:nvSpPr>
      <dsp:spPr>
        <a:xfrm rot="10800000">
          <a:off x="0" y="1600200"/>
          <a:ext cx="2743200" cy="1600200"/>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PK" sz="1400" b="1" kern="1200"/>
            <a:t>Social network:</a:t>
          </a:r>
          <a:br>
            <a:rPr lang="en-PK" sz="1400" kern="1200"/>
          </a:br>
          <a:r>
            <a:rPr lang="en-PK" sz="1400" kern="1200"/>
            <a:t>University peers → classmates → wider social contacts</a:t>
          </a:r>
        </a:p>
      </dsp:txBody>
      <dsp:txXfrm rot="10800000">
        <a:off x="0" y="2000250"/>
        <a:ext cx="2743200" cy="1200150"/>
      </dsp:txXfrm>
    </dsp:sp>
    <dsp:sp modelId="{6CC40968-B475-42A3-9303-937A2CF704EC}">
      <dsp:nvSpPr>
        <dsp:cNvPr id="0" name=""/>
        <dsp:cNvSpPr/>
      </dsp:nvSpPr>
      <dsp:spPr>
        <a:xfrm rot="5400000">
          <a:off x="3314700" y="1028700"/>
          <a:ext cx="1600200" cy="2743200"/>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PK" sz="1400" b="1" kern="1200"/>
            <a:t>Community network:</a:t>
          </a:r>
          <a:br>
            <a:rPr lang="en-PK" sz="1400" kern="1200"/>
          </a:br>
          <a:r>
            <a:rPr lang="en-PK" sz="1400" kern="1200"/>
            <a:t>Charities → community organisations → local services → volunteering/community contacts</a:t>
          </a:r>
        </a:p>
      </dsp:txBody>
      <dsp:txXfrm rot="-5400000">
        <a:off x="2743200" y="2000250"/>
        <a:ext cx="2743200" cy="1200150"/>
      </dsp:txXfrm>
    </dsp:sp>
    <dsp:sp modelId="{E36D86D0-7A14-41AF-8391-182DE9779A37}">
      <dsp:nvSpPr>
        <dsp:cNvPr id="0" name=""/>
        <dsp:cNvSpPr/>
      </dsp:nvSpPr>
      <dsp:spPr>
        <a:xfrm>
          <a:off x="1920240" y="1200150"/>
          <a:ext cx="1645920" cy="800100"/>
        </a:xfrm>
        <a:prstGeom prst="roundRect">
          <a:avLst/>
        </a:prstGeom>
        <a:solidFill>
          <a:schemeClr val="accent1">
            <a:tint val="6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PK" sz="1400" kern="1200"/>
            <a:t>Me: Future Care Coordinator</a:t>
          </a:r>
        </a:p>
      </dsp:txBody>
      <dsp:txXfrm>
        <a:off x="1959298" y="1239208"/>
        <a:ext cx="1567804" cy="721984"/>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BE4C38A-A47E-46A5-8C8F-42758CA08A7D}">
      <dsp:nvSpPr>
        <dsp:cNvPr id="0" name=""/>
        <dsp:cNvSpPr/>
      </dsp:nvSpPr>
      <dsp:spPr>
        <a:xfrm>
          <a:off x="2299171" y="1156171"/>
          <a:ext cx="888057" cy="888057"/>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PK" sz="900" b="1" kern="1200"/>
            <a:t>Potential difficulty accessing healthcare</a:t>
          </a:r>
          <a:endParaRPr lang="en-PK" sz="900" kern="1200"/>
        </a:p>
      </dsp:txBody>
      <dsp:txXfrm>
        <a:off x="2429224" y="1286224"/>
        <a:ext cx="627951" cy="627951"/>
      </dsp:txXfrm>
    </dsp:sp>
    <dsp:sp modelId="{10C8522F-C652-4098-A444-158B1EBC3DCF}">
      <dsp:nvSpPr>
        <dsp:cNvPr id="0" name=""/>
        <dsp:cNvSpPr/>
      </dsp:nvSpPr>
      <dsp:spPr>
        <a:xfrm rot="16200000">
          <a:off x="2609940" y="1008343"/>
          <a:ext cx="266519" cy="29135"/>
        </a:xfrm>
        <a:custGeom>
          <a:avLst/>
          <a:gdLst/>
          <a:ahLst/>
          <a:cxnLst/>
          <a:rect l="0" t="0" r="0" b="0"/>
          <a:pathLst>
            <a:path>
              <a:moveTo>
                <a:pt x="0" y="14567"/>
              </a:moveTo>
              <a:lnTo>
                <a:pt x="266519" y="14567"/>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PK" sz="500" kern="1200"/>
        </a:p>
      </dsp:txBody>
      <dsp:txXfrm>
        <a:off x="2736537" y="1016248"/>
        <a:ext cx="13325" cy="13325"/>
      </dsp:txXfrm>
    </dsp:sp>
    <dsp:sp modelId="{88E1B34E-D88E-41CB-A4F9-AEAC65D04700}">
      <dsp:nvSpPr>
        <dsp:cNvPr id="0" name=""/>
        <dsp:cNvSpPr/>
      </dsp:nvSpPr>
      <dsp:spPr>
        <a:xfrm>
          <a:off x="2299171" y="1594"/>
          <a:ext cx="888057" cy="888057"/>
        </a:xfrm>
        <a:prstGeom prst="ellipse">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PK" sz="800" kern="1200"/>
            <a:t>Device access</a:t>
          </a:r>
        </a:p>
      </dsp:txBody>
      <dsp:txXfrm>
        <a:off x="2429224" y="131647"/>
        <a:ext cx="627951" cy="627951"/>
      </dsp:txXfrm>
    </dsp:sp>
    <dsp:sp modelId="{D4014BC0-4333-4E52-8C27-6613BD7F65C9}">
      <dsp:nvSpPr>
        <dsp:cNvPr id="0" name=""/>
        <dsp:cNvSpPr/>
      </dsp:nvSpPr>
      <dsp:spPr>
        <a:xfrm rot="19800000">
          <a:off x="3109886" y="1296987"/>
          <a:ext cx="266519" cy="29135"/>
        </a:xfrm>
        <a:custGeom>
          <a:avLst/>
          <a:gdLst/>
          <a:ahLst/>
          <a:cxnLst/>
          <a:rect l="0" t="0" r="0" b="0"/>
          <a:pathLst>
            <a:path>
              <a:moveTo>
                <a:pt x="0" y="14567"/>
              </a:moveTo>
              <a:lnTo>
                <a:pt x="266519" y="14567"/>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PK" sz="500" kern="1200"/>
        </a:p>
      </dsp:txBody>
      <dsp:txXfrm>
        <a:off x="3236483" y="1304892"/>
        <a:ext cx="13325" cy="13325"/>
      </dsp:txXfrm>
    </dsp:sp>
    <dsp:sp modelId="{B62D14DE-4029-41FC-BBCD-4031BFC1551E}">
      <dsp:nvSpPr>
        <dsp:cNvPr id="0" name=""/>
        <dsp:cNvSpPr/>
      </dsp:nvSpPr>
      <dsp:spPr>
        <a:xfrm>
          <a:off x="3299064" y="578882"/>
          <a:ext cx="888057" cy="888057"/>
        </a:xfrm>
        <a:prstGeom prst="ellipse">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PK" sz="800" kern="1200"/>
            <a:t>Cost</a:t>
          </a:r>
        </a:p>
      </dsp:txBody>
      <dsp:txXfrm>
        <a:off x="3429117" y="708935"/>
        <a:ext cx="627951" cy="627951"/>
      </dsp:txXfrm>
    </dsp:sp>
    <dsp:sp modelId="{8826C3B2-3F3F-4AA7-84CD-F3DF38905E8D}">
      <dsp:nvSpPr>
        <dsp:cNvPr id="0" name=""/>
        <dsp:cNvSpPr/>
      </dsp:nvSpPr>
      <dsp:spPr>
        <a:xfrm rot="1800000">
          <a:off x="3109886" y="1874276"/>
          <a:ext cx="266519" cy="29135"/>
        </a:xfrm>
        <a:custGeom>
          <a:avLst/>
          <a:gdLst/>
          <a:ahLst/>
          <a:cxnLst/>
          <a:rect l="0" t="0" r="0" b="0"/>
          <a:pathLst>
            <a:path>
              <a:moveTo>
                <a:pt x="0" y="14567"/>
              </a:moveTo>
              <a:lnTo>
                <a:pt x="266519" y="14567"/>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PK" sz="500" kern="1200"/>
        </a:p>
      </dsp:txBody>
      <dsp:txXfrm>
        <a:off x="3236483" y="1882181"/>
        <a:ext cx="13325" cy="13325"/>
      </dsp:txXfrm>
    </dsp:sp>
    <dsp:sp modelId="{CE303A71-84EF-41DE-B0D0-0F3012271E9C}">
      <dsp:nvSpPr>
        <dsp:cNvPr id="0" name=""/>
        <dsp:cNvSpPr/>
      </dsp:nvSpPr>
      <dsp:spPr>
        <a:xfrm>
          <a:off x="3299064" y="1733459"/>
          <a:ext cx="888057" cy="888057"/>
        </a:xfrm>
        <a:prstGeom prst="ellipse">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PK" sz="800" kern="1200"/>
            <a:t>Connectivity</a:t>
          </a:r>
        </a:p>
      </dsp:txBody>
      <dsp:txXfrm>
        <a:off x="3429117" y="1863512"/>
        <a:ext cx="627951" cy="627951"/>
      </dsp:txXfrm>
    </dsp:sp>
    <dsp:sp modelId="{C4C9CFCF-94BE-4AF7-90DB-16A2F33E6708}">
      <dsp:nvSpPr>
        <dsp:cNvPr id="0" name=""/>
        <dsp:cNvSpPr/>
      </dsp:nvSpPr>
      <dsp:spPr>
        <a:xfrm rot="5400000">
          <a:off x="2609940" y="2162920"/>
          <a:ext cx="266519" cy="29135"/>
        </a:xfrm>
        <a:custGeom>
          <a:avLst/>
          <a:gdLst/>
          <a:ahLst/>
          <a:cxnLst/>
          <a:rect l="0" t="0" r="0" b="0"/>
          <a:pathLst>
            <a:path>
              <a:moveTo>
                <a:pt x="0" y="14567"/>
              </a:moveTo>
              <a:lnTo>
                <a:pt x="266519" y="14567"/>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PK" sz="500" kern="1200"/>
        </a:p>
      </dsp:txBody>
      <dsp:txXfrm>
        <a:off x="2736537" y="2170825"/>
        <a:ext cx="13325" cy="13325"/>
      </dsp:txXfrm>
    </dsp:sp>
    <dsp:sp modelId="{81EEFD06-859C-4EEA-83A3-860EEAB08742}">
      <dsp:nvSpPr>
        <dsp:cNvPr id="0" name=""/>
        <dsp:cNvSpPr/>
      </dsp:nvSpPr>
      <dsp:spPr>
        <a:xfrm>
          <a:off x="2299171" y="2310748"/>
          <a:ext cx="888057" cy="888057"/>
        </a:xfrm>
        <a:prstGeom prst="ellipse">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PK" sz="800" kern="1200"/>
            <a:t>Digital skills</a:t>
          </a:r>
        </a:p>
      </dsp:txBody>
      <dsp:txXfrm>
        <a:off x="2429224" y="2440801"/>
        <a:ext cx="627951" cy="627951"/>
      </dsp:txXfrm>
    </dsp:sp>
    <dsp:sp modelId="{F85D0A43-E14E-4241-9F63-402769D4F381}">
      <dsp:nvSpPr>
        <dsp:cNvPr id="0" name=""/>
        <dsp:cNvSpPr/>
      </dsp:nvSpPr>
      <dsp:spPr>
        <a:xfrm rot="9000000">
          <a:off x="2109993" y="1874276"/>
          <a:ext cx="266519" cy="29135"/>
        </a:xfrm>
        <a:custGeom>
          <a:avLst/>
          <a:gdLst/>
          <a:ahLst/>
          <a:cxnLst/>
          <a:rect l="0" t="0" r="0" b="0"/>
          <a:pathLst>
            <a:path>
              <a:moveTo>
                <a:pt x="0" y="14567"/>
              </a:moveTo>
              <a:lnTo>
                <a:pt x="266519" y="14567"/>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PK" sz="500" kern="1200"/>
        </a:p>
      </dsp:txBody>
      <dsp:txXfrm rot="10800000">
        <a:off x="2236590" y="1882181"/>
        <a:ext cx="13325" cy="13325"/>
      </dsp:txXfrm>
    </dsp:sp>
    <dsp:sp modelId="{078E81BC-C695-4B6D-9E17-5CAE3D4DBA5D}">
      <dsp:nvSpPr>
        <dsp:cNvPr id="0" name=""/>
        <dsp:cNvSpPr/>
      </dsp:nvSpPr>
      <dsp:spPr>
        <a:xfrm>
          <a:off x="1299278" y="1733459"/>
          <a:ext cx="888057" cy="888057"/>
        </a:xfrm>
        <a:prstGeom prst="ellipse">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PK" sz="800" kern="1200"/>
            <a:t>Accessibility</a:t>
          </a:r>
        </a:p>
      </dsp:txBody>
      <dsp:txXfrm>
        <a:off x="1429331" y="1863512"/>
        <a:ext cx="627951" cy="627951"/>
      </dsp:txXfrm>
    </dsp:sp>
    <dsp:sp modelId="{8566FB2A-E1CB-4010-A5F1-EDECD8077A8F}">
      <dsp:nvSpPr>
        <dsp:cNvPr id="0" name=""/>
        <dsp:cNvSpPr/>
      </dsp:nvSpPr>
      <dsp:spPr>
        <a:xfrm rot="12600000">
          <a:off x="2109993" y="1296987"/>
          <a:ext cx="266519" cy="29135"/>
        </a:xfrm>
        <a:custGeom>
          <a:avLst/>
          <a:gdLst/>
          <a:ahLst/>
          <a:cxnLst/>
          <a:rect l="0" t="0" r="0" b="0"/>
          <a:pathLst>
            <a:path>
              <a:moveTo>
                <a:pt x="0" y="14567"/>
              </a:moveTo>
              <a:lnTo>
                <a:pt x="266519" y="14567"/>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PK" sz="500" kern="1200"/>
        </a:p>
      </dsp:txBody>
      <dsp:txXfrm rot="10800000">
        <a:off x="2236590" y="1304892"/>
        <a:ext cx="13325" cy="13325"/>
      </dsp:txXfrm>
    </dsp:sp>
    <dsp:sp modelId="{1EB4BB00-3A5B-4DD9-AD59-994B5FB08DBB}">
      <dsp:nvSpPr>
        <dsp:cNvPr id="0" name=""/>
        <dsp:cNvSpPr/>
      </dsp:nvSpPr>
      <dsp:spPr>
        <a:xfrm>
          <a:off x="1299278" y="578882"/>
          <a:ext cx="888057" cy="888057"/>
        </a:xfrm>
        <a:prstGeom prst="ellipse">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PK" sz="800" kern="1200"/>
            <a:t>Confidence</a:t>
          </a:r>
        </a:p>
      </dsp:txBody>
      <dsp:txXfrm>
        <a:off x="1429331" y="708935"/>
        <a:ext cx="627951" cy="627951"/>
      </dsp:txXfrm>
    </dsp:sp>
  </dsp:spTree>
</dsp:drawing>
</file>

<file path=word/diagrams/layout1.xml><?xml version="1.0" encoding="utf-8"?>
<dgm:layoutDef xmlns:dgm="http://schemas.openxmlformats.org/drawingml/2006/diagram" xmlns:a="http://schemas.openxmlformats.org/drawingml/2006/main" uniqueId="urn:microsoft.com/office/officeart/2005/8/layout/matrix1">
  <dgm:title val=""/>
  <dgm:desc val=""/>
  <dgm:catLst>
    <dgm:cat type="matrix" pri="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styleData>
  <dgm:clr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clrData>
  <dgm:layoutNode name="diagram">
    <dgm:varLst>
      <dgm:chMax val="1"/>
      <dgm:dir/>
      <dgm:animLvl val="ctr"/>
      <dgm:resizeHandles val="exact"/>
    </dgm:varLst>
    <dgm:alg type="composite"/>
    <dgm:shape xmlns:r="http://schemas.openxmlformats.org/officeDocument/2006/relationships" r:blip="">
      <dgm:adjLst/>
    </dgm:shape>
    <dgm:presOf/>
    <dgm:constrLst>
      <dgm:constr type="ctrX" for="ch" forName="matrix" refType="w" fact="0.5"/>
      <dgm:constr type="ctrY" for="ch" forName="matrix" refType="h" fact="0.5"/>
      <dgm:constr type="w" for="ch" forName="matrix" refType="w"/>
      <dgm:constr type="h" for="ch" forName="matrix" refType="h"/>
      <dgm:constr type="ctrX" for="ch" forName="centerTile" refType="w" fact="0.5"/>
      <dgm:constr type="ctrY" for="ch" forName="centerTile" refType="h" fact="0.5"/>
      <dgm:constr type="w" for="ch" forName="centerTile" refType="w" fact="0.3"/>
      <dgm:constr type="h" for="ch" forName="centerTile" refType="h" fact="0.25"/>
      <dgm:constr type="primFontSz" for="des" ptType="node" op="equ" val="65"/>
    </dgm:constrLst>
    <dgm:ruleLst/>
    <dgm:choose name="Name0">
      <dgm:if name="Name1" axis="ch" ptType="node" func="cnt" op="gte" val="1">
        <dgm:layoutNode name="matrix">
          <dgm:alg type="composite"/>
          <dgm:shape xmlns:r="http://schemas.openxmlformats.org/officeDocument/2006/relationships" r:blip="">
            <dgm:adjLst/>
          </dgm:shape>
          <dgm:presOf/>
          <dgm:constrLst>
            <dgm:constr type="l" for="ch" forName="tile1"/>
            <dgm:constr type="t" for="ch" forName="tile1"/>
            <dgm:constr type="r" for="ch" forName="tile1" refType="w" fact="0.5"/>
            <dgm:constr type="b" for="ch" forName="tile1" refType="h" fact="0.5"/>
            <dgm:constr type="l" for="ch" forName="tile1text" refType="l" refFor="ch" refForName="tile1"/>
            <dgm:constr type="t" for="ch" forName="tile1text" refType="t" refFor="ch" refForName="tile1"/>
            <dgm:constr type="w" for="ch" forName="tile1text" refType="w" refFor="ch" refForName="tile1"/>
            <dgm:constr type="h" for="ch" forName="tile1text" refType="h" refFor="ch" refForName="tile1" fact="0.75"/>
            <dgm:constr type="r" for="ch" forName="tile2" refType="w"/>
            <dgm:constr type="t" for="ch" forName="tile2"/>
            <dgm:constr type="l" for="ch" forName="tile2" refType="w" fact="0.5"/>
            <dgm:constr type="b" for="ch" forName="tile2" refType="h" fact="0.5"/>
            <dgm:constr type="r" for="ch" forName="tile2text" refType="r" refFor="ch" refForName="tile2"/>
            <dgm:constr type="t" for="ch" forName="tile2text" refType="t" refFor="ch" refForName="tile2"/>
            <dgm:constr type="w" for="ch" forName="tile2text" refType="w" refFor="ch" refForName="tile2"/>
            <dgm:constr type="h" for="ch" forName="tile2text" refType="h" refFor="ch" refForName="tile2" fact="0.75"/>
            <dgm:constr type="l" for="ch" forName="tile3"/>
            <dgm:constr type="b" for="ch" forName="tile3" refType="h"/>
            <dgm:constr type="r" for="ch" forName="tile3" refType="w" fact="0.5"/>
            <dgm:constr type="t" for="ch" forName="tile3" refType="h" fact="0.5"/>
            <dgm:constr type="l" for="ch" forName="tile3text" refType="l" refFor="ch" refForName="tile3"/>
            <dgm:constr type="b" for="ch" forName="tile3text" refType="b" refFor="ch" refForName="tile3"/>
            <dgm:constr type="w" for="ch" forName="tile3text" refType="w" refFor="ch" refForName="tile3"/>
            <dgm:constr type="h" for="ch" forName="tile3text" refType="h" refFor="ch" refForName="tile3" fact="0.75"/>
            <dgm:constr type="r" for="ch" forName="tile4" refType="w"/>
            <dgm:constr type="b" for="ch" forName="tile4" refType="h"/>
            <dgm:constr type="l" for="ch" forName="tile4" refType="w" fact="0.5"/>
            <dgm:constr type="t" for="ch" forName="tile4" refType="h" fact="0.5"/>
            <dgm:constr type="r" for="ch" forName="tile4text" refType="r" refFor="ch" refForName="tile4"/>
            <dgm:constr type="b" for="ch" forName="tile4text" refType="b" refFor="ch" refForName="tile4"/>
            <dgm:constr type="w" for="ch" forName="tile4text" refType="w" refFor="ch" refForName="tile4"/>
            <dgm:constr type="h" for="ch" forName="tile4text" refType="h" refFor="ch" refForName="tile4" fact="0.75"/>
          </dgm:constrLst>
          <dgm:ruleLst/>
          <dgm:layoutNode name="tile1" styleLbl="node1">
            <dgm:alg type="sp"/>
            <dgm:shape xmlns:r="http://schemas.openxmlformats.org/officeDocument/2006/relationships" rot="270" type="round1Rect" r:blip="">
              <dgm:adjLst/>
            </dgm:shape>
            <dgm:choose name="Name2">
              <dgm:if name="Name3" func="var" arg="dir" op="equ" val="norm">
                <dgm:presOf axis="ch ch desOrSelf" ptType="node node node" st="1 1 1" cnt="1 1 0"/>
              </dgm:if>
              <dgm:else name="Name4">
                <dgm:presOf axis="ch ch desOrSelf" ptType="node node node" st="1 2 1" cnt="1 1 0"/>
              </dgm:else>
            </dgm:choose>
            <dgm:constrLst/>
            <dgm:ruleLst/>
          </dgm:layoutNode>
          <dgm:layoutNode name="tile1text" styleLbl="node1">
            <dgm:varLst>
              <dgm:chMax val="0"/>
              <dgm:chPref val="0"/>
              <dgm:bulletEnabled val="1"/>
            </dgm:varLst>
            <dgm:choose name="Name5">
              <dgm:if name="Name6" axis="root des" func="maxDepth" op="gte" val="3">
                <dgm:alg type="tx">
                  <dgm:param type="txAnchorVert" val="t"/>
                  <dgm:param type="parTxLTRAlign" val="l"/>
                  <dgm:param type="parTxRTLAlign" val="r"/>
                </dgm:alg>
              </dgm:if>
              <dgm:else name="Name7">
                <dgm:alg type="tx"/>
              </dgm:else>
            </dgm:choose>
            <dgm:shape xmlns:r="http://schemas.openxmlformats.org/officeDocument/2006/relationships" rot="270" type="rect" r:blip="" hideGeom="1">
              <dgm:adjLst>
                <dgm:adj idx="1" val="0.2"/>
              </dgm:adjLst>
            </dgm:shape>
            <dgm:choose name="Name8">
              <dgm:if name="Name9" func="var" arg="dir" op="equ" val="norm">
                <dgm:presOf axis="ch ch desOrSelf" ptType="node node node" st="1 1 1" cnt="1 1 0"/>
              </dgm:if>
              <dgm:else name="Name10">
                <dgm:presOf axis="ch ch desOrSelf" ptType="node node node" st="1 2 1" cnt="1 1 0"/>
              </dgm:else>
            </dgm:choose>
            <dgm:constrLst/>
            <dgm:ruleLst>
              <dgm:rule type="primFontSz" val="5" fact="NaN" max="NaN"/>
            </dgm:ruleLst>
          </dgm:layoutNode>
          <dgm:layoutNode name="tile2" styleLbl="node1">
            <dgm:alg type="sp"/>
            <dgm:shape xmlns:r="http://schemas.openxmlformats.org/officeDocument/2006/relationships" type="round1Rect" r:blip="">
              <dgm:adjLst/>
            </dgm:shape>
            <dgm:choose name="Name11">
              <dgm:if name="Name12" func="var" arg="dir" op="equ" val="norm">
                <dgm:presOf axis="ch ch desOrSelf" ptType="node node node" st="1 2 1" cnt="1 1 0"/>
              </dgm:if>
              <dgm:else name="Name13">
                <dgm:presOf axis="ch ch desOrSelf" ptType="node node node" st="1 1 1" cnt="1 1 0"/>
              </dgm:else>
            </dgm:choose>
            <dgm:constrLst/>
            <dgm:ruleLst/>
          </dgm:layoutNode>
          <dgm:layoutNode name="tile2text" styleLbl="node1">
            <dgm:varLst>
              <dgm:chMax val="0"/>
              <dgm:chPref val="0"/>
              <dgm:bulletEnabled val="1"/>
            </dgm:varLst>
            <dgm:choose name="Name14">
              <dgm:if name="Name15" axis="root des" func="maxDepth" op="gte" val="3">
                <dgm:alg type="tx">
                  <dgm:param type="txAnchorVert" val="t"/>
                  <dgm:param type="parTxLTRAlign" val="l"/>
                  <dgm:param type="parTxRTLAlign" val="r"/>
                </dgm:alg>
              </dgm:if>
              <dgm:else name="Name16">
                <dgm:alg type="tx"/>
              </dgm:else>
            </dgm:choose>
            <dgm:shape xmlns:r="http://schemas.openxmlformats.org/officeDocument/2006/relationships" type="rect" r:blip="" hideGeom="1">
              <dgm:adjLst/>
            </dgm:shape>
            <dgm:choose name="Name17">
              <dgm:if name="Name18" func="var" arg="dir" op="equ" val="norm">
                <dgm:presOf axis="ch ch desOrSelf" ptType="node node node" st="1 2 1" cnt="1 1 0"/>
              </dgm:if>
              <dgm:else name="Name19">
                <dgm:presOf axis="ch ch desOrSelf" ptType="node node node" st="1 1 1" cnt="1 1 0"/>
              </dgm:else>
            </dgm:choose>
            <dgm:constrLst/>
            <dgm:ruleLst>
              <dgm:rule type="primFontSz" val="5" fact="NaN" max="NaN"/>
            </dgm:ruleLst>
          </dgm:layoutNode>
          <dgm:layoutNode name="tile3" styleLbl="node1">
            <dgm:alg type="sp"/>
            <dgm:shape xmlns:r="http://schemas.openxmlformats.org/officeDocument/2006/relationships" rot="180" type="round1Rect" r:blip="">
              <dgm:adjLst/>
            </dgm:shape>
            <dgm:choose name="Name20">
              <dgm:if name="Name21" func="var" arg="dir" op="equ" val="norm">
                <dgm:presOf axis="ch ch desOrSelf" ptType="node node node" st="1 3 1" cnt="1 1 0"/>
              </dgm:if>
              <dgm:else name="Name22">
                <dgm:presOf axis="ch ch desOrSelf" ptType="node node node" st="1 4 1" cnt="1 1 0"/>
              </dgm:else>
            </dgm:choose>
            <dgm:constrLst/>
            <dgm:ruleLst/>
          </dgm:layoutNode>
          <dgm:layoutNode name="tile3text" styleLbl="node1">
            <dgm:varLst>
              <dgm:chMax val="0"/>
              <dgm:chPref val="0"/>
              <dgm:bulletEnabled val="1"/>
            </dgm:varLst>
            <dgm:choose name="Name23">
              <dgm:if name="Name24" axis="root des" func="maxDepth" op="gte" val="3">
                <dgm:alg type="tx">
                  <dgm:param type="txAnchorVert" val="t"/>
                  <dgm:param type="parTxLTRAlign" val="l"/>
                  <dgm:param type="parTxRTLAlign" val="r"/>
                </dgm:alg>
              </dgm:if>
              <dgm:else name="Name25">
                <dgm:alg type="tx"/>
              </dgm:else>
            </dgm:choose>
            <dgm:shape xmlns:r="http://schemas.openxmlformats.org/officeDocument/2006/relationships" rot="180" type="rect" r:blip="" hideGeom="1">
              <dgm:adjLst/>
            </dgm:shape>
            <dgm:choose name="Name26">
              <dgm:if name="Name27" func="var" arg="dir" op="equ" val="norm">
                <dgm:presOf axis="ch ch desOrSelf" ptType="node node node" st="1 3 1" cnt="1 1 0"/>
              </dgm:if>
              <dgm:else name="Name28">
                <dgm:presOf axis="ch ch desOrSelf" ptType="node node node" st="1 4 1" cnt="1 1 0"/>
              </dgm:else>
            </dgm:choose>
            <dgm:constrLst/>
            <dgm:ruleLst>
              <dgm:rule type="primFontSz" val="5" fact="NaN" max="NaN"/>
            </dgm:ruleLst>
          </dgm:layoutNode>
          <dgm:layoutNode name="tile4" styleLbl="node1">
            <dgm:alg type="sp"/>
            <dgm:shape xmlns:r="http://schemas.openxmlformats.org/officeDocument/2006/relationships" rot="90" type="round1Rect" r:blip="">
              <dgm:adjLst/>
            </dgm:shape>
            <dgm:choose name="Name29">
              <dgm:if name="Name30" func="var" arg="dir" op="equ" val="norm">
                <dgm:presOf axis="ch ch desOrSelf" ptType="node node node" st="1 4 1" cnt="1 1 0"/>
              </dgm:if>
              <dgm:else name="Name31">
                <dgm:presOf axis="ch ch desOrSelf" ptType="node node node" st="1 3 1" cnt="1 1 0"/>
              </dgm:else>
            </dgm:choose>
            <dgm:constrLst/>
            <dgm:ruleLst/>
          </dgm:layoutNode>
          <dgm:layoutNode name="tile4text" styleLbl="node1">
            <dgm:varLst>
              <dgm:chMax val="0"/>
              <dgm:chPref val="0"/>
              <dgm:bulletEnabled val="1"/>
            </dgm:varLst>
            <dgm:choose name="Name32">
              <dgm:if name="Name33" axis="root des" func="maxDepth" op="gte" val="3">
                <dgm:alg type="tx">
                  <dgm:param type="txAnchorVert" val="t"/>
                  <dgm:param type="parTxLTRAlign" val="l"/>
                  <dgm:param type="parTxRTLAlign" val="r"/>
                </dgm:alg>
              </dgm:if>
              <dgm:else name="Name34">
                <dgm:alg type="tx"/>
              </dgm:else>
            </dgm:choose>
            <dgm:shape xmlns:r="http://schemas.openxmlformats.org/officeDocument/2006/relationships" rot="90" type="rect" r:blip="" hideGeom="1">
              <dgm:adjLst/>
            </dgm:shape>
            <dgm:choose name="Name35">
              <dgm:if name="Name36" func="var" arg="dir" op="equ" val="norm">
                <dgm:presOf axis="ch ch desOrSelf" ptType="node node node" st="1 4 1" cnt="1 1 0"/>
              </dgm:if>
              <dgm:else name="Name37">
                <dgm:presOf axis="ch ch desOrSelf" ptType="node node node" st="1 3 1" cnt="1 1 0"/>
              </dgm:else>
            </dgm:choose>
            <dgm:constrLst/>
            <dgm:ruleLst>
              <dgm:rule type="primFontSz" val="5" fact="NaN" max="NaN"/>
            </dgm:ruleLst>
          </dgm:layoutNode>
        </dgm:layoutNode>
        <dgm:layoutNode name="centerTile" styleLbl="fgShp">
          <dgm:varLst>
            <dgm:chMax val="0"/>
            <dgm:chPref val="0"/>
          </dgm:varLst>
          <dgm:alg type="tx"/>
          <dgm:shape xmlns:r="http://schemas.openxmlformats.org/officeDocument/2006/relationships" type="roundRect" r:blip="">
            <dgm:adjLst/>
          </dgm:shape>
          <dgm:presOf axis="ch" ptType="node" cnt="1"/>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8"/>
    </dgm:choose>
  </dgm:layoutNode>
</dgm:layoutDef>
</file>

<file path=word/diagrams/layout2.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0NoLn">
    <dgm:scene3d>
      <a:camera prst="orthographicFront"/>
      <a:lightRig rig="threePt" dir="t"/>
    </dgm:scene3d>
    <dgm:sp3d/>
    <dgm:txPr/>
    <dgm:style>
      <a:lnRef idx="1">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NoLn">
    <dgm:scene3d>
      <a:camera prst="orthographicFront"/>
      <a:lightRig rig="threePt" dir="t"/>
    </dgm:scene3d>
    <dgm:sp3d/>
    <dgm:txPr/>
    <dgm:style>
      <a:lnRef idx="1">
        <a:scrgbClr r="0" g="0" b="0"/>
      </a:lnRef>
      <a:fillRef idx="1">
        <a:scrgbClr r="0" g="0" b="0"/>
      </a:fillRef>
      <a:effectRef idx="0">
        <a:scrgbClr r="0" g="0" b="0"/>
      </a:effectRef>
      <a:fontRef idx="minor">
        <a:schemeClr val="lt1"/>
      </a:fontRef>
    </dgm:style>
  </dgm:styleLbl>
  <dgm:styleLbl name="ltNode1NoLn">
    <dgm:scene3d>
      <a:camera prst="orthographicFront"/>
      <a:lightRig rig="threePt" dir="t"/>
    </dgm:scene3d>
    <dgm:sp3d/>
    <dgm:txPr/>
    <dgm:style>
      <a:lnRef idx="1">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NoLn">
    <dgm:scene3d>
      <a:camera prst="orthographicFront"/>
      <a:lightRig rig="threePt" dir="t"/>
    </dgm:scene3d>
    <dgm:sp3d/>
    <dgm:txPr/>
    <dgm:style>
      <a:lnRef idx="1">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NoLn">
    <dgm:scene3d>
      <a:camera prst="orthographicFront"/>
      <a:lightRig rig="threePt" dir="t"/>
    </dgm:scene3d>
    <dgm:sp3d/>
    <dgm:txPr/>
    <dgm:style>
      <a:lnRef idx="1">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NoLn">
    <dgm:scene3d>
      <a:camera prst="orthographicFront"/>
      <a:lightRig rig="threePt" dir="t"/>
    </dgm:scene3d>
    <dgm:sp3d/>
    <dgm:txPr/>
    <dgm:style>
      <a:lnRef idx="1">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Lbl name="revTxLt">
    <dgm:scene3d>
      <a:camera prst="orthographicFront"/>
      <a:lightRig rig="threePt" dir="t"/>
    </dgm:scene3d>
    <dgm:sp3d/>
    <dgm:txPr/>
    <dgm:style>
      <a:lnRef idx="0">
        <a:scrgbClr r="0" g="0" b="0"/>
      </a:lnRef>
      <a:fillRef idx="0">
        <a:scrgbClr r="0" g="0" b="0"/>
      </a:fillRef>
      <a:effectRef idx="0">
        <a:scrgbClr r="0" g="0" b="0"/>
      </a:effectRef>
      <a:fontRef idx="minor">
        <a:schemeClr val="lt1"/>
      </a:fontRef>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2">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0NoLn">
    <dgm:scene3d>
      <a:camera prst="orthographicFront"/>
      <a:lightRig rig="threePt" dir="t"/>
    </dgm:scene3d>
    <dgm:sp3d/>
    <dgm:txPr/>
    <dgm:style>
      <a:lnRef idx="1">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NoLn">
    <dgm:scene3d>
      <a:camera prst="orthographicFront"/>
      <a:lightRig rig="threePt" dir="t"/>
    </dgm:scene3d>
    <dgm:sp3d/>
    <dgm:txPr/>
    <dgm:style>
      <a:lnRef idx="1">
        <a:scrgbClr r="0" g="0" b="0"/>
      </a:lnRef>
      <a:fillRef idx="1">
        <a:scrgbClr r="0" g="0" b="0"/>
      </a:fillRef>
      <a:effectRef idx="0">
        <a:scrgbClr r="0" g="0" b="0"/>
      </a:effectRef>
      <a:fontRef idx="minor">
        <a:schemeClr val="lt1"/>
      </a:fontRef>
    </dgm:style>
  </dgm:styleLbl>
  <dgm:styleLbl name="ltNode1NoLn">
    <dgm:scene3d>
      <a:camera prst="orthographicFront"/>
      <a:lightRig rig="threePt" dir="t"/>
    </dgm:scene3d>
    <dgm:sp3d/>
    <dgm:txPr/>
    <dgm:style>
      <a:lnRef idx="1">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NoLn">
    <dgm:scene3d>
      <a:camera prst="orthographicFront"/>
      <a:lightRig rig="threePt" dir="t"/>
    </dgm:scene3d>
    <dgm:sp3d/>
    <dgm:txPr/>
    <dgm:style>
      <a:lnRef idx="1">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NoLn">
    <dgm:scene3d>
      <a:camera prst="orthographicFront"/>
      <a:lightRig rig="threePt" dir="t"/>
    </dgm:scene3d>
    <dgm:sp3d/>
    <dgm:txPr/>
    <dgm:style>
      <a:lnRef idx="1">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NoLn">
    <dgm:scene3d>
      <a:camera prst="orthographicFront"/>
      <a:lightRig rig="threePt" dir="t"/>
    </dgm:scene3d>
    <dgm:sp3d/>
    <dgm:txPr/>
    <dgm:style>
      <a:lnRef idx="1">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Lbl name="revTxLt">
    <dgm:scene3d>
      <a:camera prst="orthographicFront"/>
      <a:lightRig rig="threePt" dir="t"/>
    </dgm:scene3d>
    <dgm:sp3d/>
    <dgm:txPr/>
    <dgm:style>
      <a:lnRef idx="0">
        <a:scrgbClr r="0" g="0" b="0"/>
      </a:lnRef>
      <a:fillRef idx="0">
        <a:scrgbClr r="0" g="0" b="0"/>
      </a:fillRef>
      <a:effectRef idx="0">
        <a:scrgbClr r="0" g="0" b="0"/>
      </a:effectRef>
      <a:fontRef idx="minor">
        <a:schemeClr val="lt1"/>
      </a:fontRef>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101</TotalTime>
  <Pages>15</Pages>
  <Words>2662</Words>
  <Characters>15174</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Hijaab</cp:lastModifiedBy>
  <cp:revision>19</cp:revision>
  <dcterms:created xsi:type="dcterms:W3CDTF">2026-05-13T15:55:00Z</dcterms:created>
  <dcterms:modified xsi:type="dcterms:W3CDTF">2026-10-21T10:45:00Z</dcterms:modified>
</cp:coreProperties>
</file>