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28E7A"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06C8B64"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4952FE2"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3F82176"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AF19EAD"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4415604" w14:textId="77777777" w:rsidR="006D7C68" w:rsidRDefault="006D7C6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3C94FAD" w14:textId="4B0EA6A8" w:rsidR="00E004E2" w:rsidRDefault="00D61BE0"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t>ACHA 7024 – Improving Supply Chain Performance</w:t>
      </w:r>
    </w:p>
    <w:p w14:paraId="5845B91D" w14:textId="77777777" w:rsidR="00083F12" w:rsidRDefault="00083F12"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1696DE3" w14:textId="77777777" w:rsidR="00083F12" w:rsidRDefault="00083F12"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2D18E57" w14:textId="77777777" w:rsidR="00083F12" w:rsidRDefault="00083F12"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54C3855" w14:textId="77777777" w:rsidR="00D61BE0" w:rsidRDefault="00D61BE0"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6357707" w14:textId="77777777" w:rsidR="00D61BE0" w:rsidRDefault="00D61BE0"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B5B0EB6" w14:textId="77777777" w:rsidR="003724D8" w:rsidRDefault="003724D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85A2E77" w14:textId="77777777" w:rsidR="003724D8" w:rsidRDefault="003724D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8690BA3" w14:textId="77777777" w:rsidR="003724D8" w:rsidRDefault="003724D8" w:rsidP="009A28F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5A0C7E7" w14:textId="6C6194B6" w:rsidR="00AA7C3C" w:rsidRPr="00AA7C3C" w:rsidRDefault="00AA7C3C" w:rsidP="00AA7C3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AA7C3C">
        <w:rPr>
          <w:rFonts w:ascii="Times New Roman" w:eastAsia="Times New Roman" w:hAnsi="Times New Roman" w:cs="Times New Roman"/>
          <w:b/>
          <w:bCs/>
          <w:kern w:val="36"/>
          <w:sz w:val="48"/>
          <w:szCs w:val="48"/>
          <w:lang w:eastAsia="en-GB"/>
          <w14:ligatures w14:val="none"/>
        </w:rPr>
        <w:lastRenderedPageBreak/>
        <w:t>Comprehensive Risk Assessment and Resilience Strategies in the Global Supply Chain of Automotive Brake Systems</w:t>
      </w:r>
    </w:p>
    <w:p w14:paraId="3421DB7C" w14:textId="77777777" w:rsidR="00AA7C3C" w:rsidRP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A7C3C">
        <w:rPr>
          <w:rFonts w:ascii="Times New Roman" w:eastAsia="Times New Roman" w:hAnsi="Times New Roman" w:cs="Times New Roman"/>
          <w:b/>
          <w:bCs/>
          <w:kern w:val="0"/>
          <w:sz w:val="36"/>
          <w:szCs w:val="36"/>
          <w:lang w:eastAsia="en-GB"/>
          <w14:ligatures w14:val="none"/>
        </w:rPr>
        <w:t>Contents</w:t>
      </w:r>
    </w:p>
    <w:p w14:paraId="11EDF38D" w14:textId="77777777" w:rsidR="00AA7C3C" w:rsidRPr="00AA7C3C" w:rsidRDefault="00AA7C3C" w:rsidP="00AA7C3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Introduction</w:t>
      </w:r>
    </w:p>
    <w:p w14:paraId="70A510FB" w14:textId="77777777" w:rsidR="00AA7C3C" w:rsidRPr="00AA7C3C" w:rsidRDefault="00AA7C3C" w:rsidP="00AA7C3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FMEA Analysis</w:t>
      </w:r>
    </w:p>
    <w:p w14:paraId="07896632" w14:textId="77777777" w:rsidR="00AA7C3C" w:rsidRPr="00AA7C3C" w:rsidRDefault="00AA7C3C" w:rsidP="00AA7C3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Steps to Enhance Supply Chain Resilience</w:t>
      </w:r>
    </w:p>
    <w:p w14:paraId="3D224D21" w14:textId="77777777" w:rsidR="00AA7C3C" w:rsidRPr="00AA7C3C" w:rsidRDefault="00AA7C3C" w:rsidP="00AA7C3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Conclusions and Suggestions for Further Work/Research</w:t>
      </w:r>
    </w:p>
    <w:p w14:paraId="57930CF5" w14:textId="7663E5B4" w:rsidR="00AA7C3C" w:rsidRPr="00AA7C3C" w:rsidRDefault="00AA7C3C" w:rsidP="00AA7C3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References</w:t>
      </w:r>
    </w:p>
    <w:p w14:paraId="3F64FE4D" w14:textId="77777777" w:rsidR="00AA7C3C" w:rsidRP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A7C3C">
        <w:rPr>
          <w:rFonts w:ascii="Times New Roman" w:eastAsia="Times New Roman" w:hAnsi="Times New Roman" w:cs="Times New Roman"/>
          <w:b/>
          <w:bCs/>
          <w:kern w:val="0"/>
          <w:sz w:val="36"/>
          <w:szCs w:val="36"/>
          <w:lang w:eastAsia="en-GB"/>
          <w14:ligatures w14:val="none"/>
        </w:rPr>
        <w:t>Introduction</w:t>
      </w:r>
    </w:p>
    <w:p w14:paraId="207CAE03" w14:textId="3A5A4A16"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The automotive brake system is a fundamental component of vehicle safety, crucial for ensuring that cars can slow down and stop effectively under a variety of conditions. As vehicles become more sophisticated—with the integration of advanced technologies such as electronic and hybrid braking systems—the complexity of the brake system's supply chain has also dramatically increased. Current braking systems incorporate a combination of mechanical components such as </w:t>
      </w:r>
      <w:r w:rsidR="00A47378" w:rsidRPr="00AA7C3C">
        <w:rPr>
          <w:rFonts w:ascii="Times New Roman" w:eastAsia="Times New Roman" w:hAnsi="Times New Roman" w:cs="Times New Roman"/>
          <w:kern w:val="0"/>
          <w:lang w:eastAsia="en-GB"/>
          <w14:ligatures w14:val="none"/>
        </w:rPr>
        <w:t>callipers</w:t>
      </w:r>
      <w:r w:rsidRPr="00AA7C3C">
        <w:rPr>
          <w:rFonts w:ascii="Times New Roman" w:eastAsia="Times New Roman" w:hAnsi="Times New Roman" w:cs="Times New Roman"/>
          <w:kern w:val="0"/>
          <w:lang w:eastAsia="en-GB"/>
          <w14:ligatures w14:val="none"/>
        </w:rPr>
        <w:t xml:space="preserve"> and rotors, as well as sophisticated Electronic Control Units (ECUs) that communicate within the vehicle network, manipulating braking force applications in real time Shreejith (</w:t>
      </w:r>
      <w:r w:rsidR="00866205" w:rsidRPr="00AA7C3C">
        <w:rPr>
          <w:rFonts w:ascii="Times New Roman" w:eastAsia="Times New Roman" w:hAnsi="Times New Roman" w:cs="Times New Roman"/>
          <w:kern w:val="0"/>
          <w:lang w:eastAsia="en-GB"/>
          <w14:ligatures w14:val="none"/>
        </w:rPr>
        <w:t>n.d.) Milhim</w:t>
      </w:r>
      <w:r w:rsidRPr="00AA7C3C">
        <w:rPr>
          <w:rFonts w:ascii="Times New Roman" w:eastAsia="Times New Roman" w:hAnsi="Times New Roman" w:cs="Times New Roman"/>
          <w:kern w:val="0"/>
          <w:lang w:eastAsia="en-GB"/>
          <w14:ligatures w14:val="none"/>
        </w:rPr>
        <w:t xml:space="preserve"> et al., 2023).</w:t>
      </w:r>
    </w:p>
    <w:p w14:paraId="6A2C5AFD" w14:textId="0624A53D"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Manufacturers face numerous challenges in producing reliable brake systems, ranging from the need for high-quality materials to ensure durability and performance to the necessity of maintaining compliance with increasingly stringent regulatory standards for safety. Furthermore, automakers must navigate a global supply chain that is susceptible to disruptions from multiple sources, including geopolitical conflicts, natural disasters, and cybersecurity threats that can target in-vehicle networks. Given the critical nature of brake systems in ensuring passenger safety, mitigating these risks through effective management strategies is essential.</w:t>
      </w:r>
    </w:p>
    <w:p w14:paraId="42AB9B10" w14:textId="763752CD"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Failure Mode and Effects Analysis (FMEA) </w:t>
      </w:r>
      <w:r w:rsidR="003930F6" w:rsidRPr="00AA7C3C">
        <w:rPr>
          <w:rFonts w:ascii="Times New Roman" w:eastAsia="Times New Roman" w:hAnsi="Times New Roman" w:cs="Times New Roman"/>
          <w:kern w:val="0"/>
          <w:lang w:eastAsia="en-GB"/>
          <w14:ligatures w14:val="none"/>
        </w:rPr>
        <w:t>serve</w:t>
      </w:r>
      <w:r w:rsidRPr="00AA7C3C">
        <w:rPr>
          <w:rFonts w:ascii="Times New Roman" w:eastAsia="Times New Roman" w:hAnsi="Times New Roman" w:cs="Times New Roman"/>
          <w:kern w:val="0"/>
          <w:lang w:eastAsia="en-GB"/>
          <w14:ligatures w14:val="none"/>
        </w:rPr>
        <w:t xml:space="preserve"> as a systematic approach to identify potential failure modes within the brake system supply chain, assess their impacts, and propose preventive measures. The methodology emphasi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 xml:space="preserve">es the need for </w:t>
      </w:r>
      <w:r w:rsidR="003930F6" w:rsidRPr="00AA7C3C">
        <w:rPr>
          <w:rFonts w:ascii="Times New Roman" w:eastAsia="Times New Roman" w:hAnsi="Times New Roman" w:cs="Times New Roman"/>
          <w:kern w:val="0"/>
          <w:lang w:eastAsia="en-GB"/>
          <w14:ligatures w14:val="none"/>
        </w:rPr>
        <w:t>initiative-taking</w:t>
      </w:r>
      <w:r w:rsidRPr="00AA7C3C">
        <w:rPr>
          <w:rFonts w:ascii="Times New Roman" w:eastAsia="Times New Roman" w:hAnsi="Times New Roman" w:cs="Times New Roman"/>
          <w:kern w:val="0"/>
          <w:lang w:eastAsia="en-GB"/>
          <w14:ligatures w14:val="none"/>
        </w:rPr>
        <w:t xml:space="preserve"> risk management to enhance the reliability and safety of brake systems, thereby mitigating potential liabilities that could arise from product failures. By comprehensively </w:t>
      </w:r>
      <w:r w:rsidR="00A47378" w:rsidRPr="00AA7C3C">
        <w:rPr>
          <w:rFonts w:ascii="Times New Roman" w:eastAsia="Times New Roman" w:hAnsi="Times New Roman" w:cs="Times New Roman"/>
          <w:kern w:val="0"/>
          <w:lang w:eastAsia="en-GB"/>
          <w14:ligatures w14:val="none"/>
        </w:rPr>
        <w:t>analysing</w:t>
      </w:r>
      <w:r w:rsidRPr="00AA7C3C">
        <w:rPr>
          <w:rFonts w:ascii="Times New Roman" w:eastAsia="Times New Roman" w:hAnsi="Times New Roman" w:cs="Times New Roman"/>
          <w:kern w:val="0"/>
          <w:lang w:eastAsia="en-GB"/>
          <w14:ligatures w14:val="none"/>
        </w:rPr>
        <w:t xml:space="preserve"> risks using FMEA, manufacturers can prioriti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e interventions that uphold safety standards and ensure operational efficacy.</w:t>
      </w:r>
    </w:p>
    <w:p w14:paraId="4C689804" w14:textId="77777777"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This report aims to provide an in-depth FMEA analysis of automotive brake systems, highlight the associated risks, and recommend actionable strategies for bolstering supply chain resilience. As the automotive landscape evolves with the introduction of electric and autonomous vehicles, the analysis will also consider how advancements in technology impact supply chain dynamics and risk exposure.</w:t>
      </w:r>
    </w:p>
    <w:p w14:paraId="5CFCA9DA" w14:textId="77777777" w:rsid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sectPr w:rsidR="00AA7C3C">
          <w:footerReference w:type="default" r:id="rId7"/>
          <w:pgSz w:w="11906" w:h="16838"/>
          <w:pgMar w:top="1440" w:right="1440" w:bottom="1440" w:left="1440" w:header="708" w:footer="708" w:gutter="0"/>
          <w:cols w:space="708"/>
          <w:docGrid w:linePitch="360"/>
        </w:sectPr>
      </w:pPr>
    </w:p>
    <w:p w14:paraId="639CBE2C" w14:textId="77777777" w:rsidR="00AA7C3C" w:rsidRP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u w:val="single"/>
          <w:lang w:eastAsia="en-GB"/>
          <w14:ligatures w14:val="none"/>
        </w:rPr>
      </w:pPr>
      <w:r w:rsidRPr="00AA7C3C">
        <w:rPr>
          <w:rFonts w:ascii="Times New Roman" w:eastAsia="Times New Roman" w:hAnsi="Times New Roman" w:cs="Times New Roman"/>
          <w:b/>
          <w:bCs/>
          <w:kern w:val="0"/>
          <w:sz w:val="36"/>
          <w:szCs w:val="36"/>
          <w:u w:val="single"/>
          <w:lang w:eastAsia="en-GB"/>
          <w14:ligatures w14:val="none"/>
        </w:rPr>
        <w:lastRenderedPageBreak/>
        <w:t>FMEA Analysis</w:t>
      </w:r>
    </w:p>
    <w:p w14:paraId="0F388D55" w14:textId="77777777" w:rsidR="00AA7C3C" w:rsidRPr="00AA7C3C" w:rsidRDefault="00AA7C3C" w:rsidP="00AA7C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A7C3C">
        <w:rPr>
          <w:rFonts w:ascii="Times New Roman" w:eastAsia="Times New Roman" w:hAnsi="Times New Roman" w:cs="Times New Roman"/>
          <w:b/>
          <w:bCs/>
          <w:kern w:val="0"/>
          <w:sz w:val="27"/>
          <w:szCs w:val="27"/>
          <w:lang w:eastAsia="en-GB"/>
          <w14:ligatures w14:val="none"/>
        </w:rPr>
        <w:t>FMEA Table</w:t>
      </w:r>
    </w:p>
    <w:p w14:paraId="0792A636" w14:textId="77777777"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The following Failure Mode and Effects Analysis (FMEA) specifically addresses the automotive brake systems, detailing various potential failure modes, their effects, severity ratings, and recommended mitigation strategies: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92"/>
        <w:gridCol w:w="1901"/>
        <w:gridCol w:w="975"/>
        <w:gridCol w:w="2066"/>
        <w:gridCol w:w="1335"/>
        <w:gridCol w:w="1108"/>
        <w:gridCol w:w="1533"/>
        <w:gridCol w:w="3138"/>
      </w:tblGrid>
      <w:tr w:rsidR="00AA7C3C" w:rsidRPr="00AA7C3C" w14:paraId="21628225" w14:textId="77777777" w:rsidTr="00AA7C3C">
        <w:trPr>
          <w:tblHeader/>
          <w:tblCellSpacing w:w="15" w:type="dxa"/>
        </w:trPr>
        <w:tc>
          <w:tcPr>
            <w:tcW w:w="0" w:type="auto"/>
            <w:vAlign w:val="center"/>
            <w:hideMark/>
          </w:tcPr>
          <w:p w14:paraId="1FFF1F2A"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Failure Mode </w:t>
            </w:r>
          </w:p>
        </w:tc>
        <w:tc>
          <w:tcPr>
            <w:tcW w:w="0" w:type="auto"/>
            <w:vAlign w:val="center"/>
            <w:hideMark/>
          </w:tcPr>
          <w:p w14:paraId="195B54EB"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Potential Effects </w:t>
            </w:r>
          </w:p>
        </w:tc>
        <w:tc>
          <w:tcPr>
            <w:tcW w:w="0" w:type="auto"/>
            <w:vAlign w:val="center"/>
            <w:hideMark/>
          </w:tcPr>
          <w:p w14:paraId="5FD579DC"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Severity (1-10) </w:t>
            </w:r>
          </w:p>
        </w:tc>
        <w:tc>
          <w:tcPr>
            <w:tcW w:w="0" w:type="auto"/>
            <w:vAlign w:val="center"/>
            <w:hideMark/>
          </w:tcPr>
          <w:p w14:paraId="1BB0D97F"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Potential Cause(s) </w:t>
            </w:r>
          </w:p>
        </w:tc>
        <w:tc>
          <w:tcPr>
            <w:tcW w:w="0" w:type="auto"/>
            <w:vAlign w:val="center"/>
            <w:hideMark/>
          </w:tcPr>
          <w:p w14:paraId="6A94982E"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Occurrence (1-10) </w:t>
            </w:r>
          </w:p>
        </w:tc>
        <w:tc>
          <w:tcPr>
            <w:tcW w:w="0" w:type="auto"/>
            <w:vAlign w:val="center"/>
            <w:hideMark/>
          </w:tcPr>
          <w:p w14:paraId="619EFBA5"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Detection (1-10) </w:t>
            </w:r>
          </w:p>
        </w:tc>
        <w:tc>
          <w:tcPr>
            <w:tcW w:w="0" w:type="auto"/>
            <w:vAlign w:val="center"/>
            <w:hideMark/>
          </w:tcPr>
          <w:p w14:paraId="2B28C81A"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RPN (Severity × Occurrence × Detection) </w:t>
            </w:r>
          </w:p>
        </w:tc>
        <w:tc>
          <w:tcPr>
            <w:tcW w:w="0" w:type="auto"/>
            <w:vAlign w:val="center"/>
            <w:hideMark/>
          </w:tcPr>
          <w:p w14:paraId="56915B25" w14:textId="77777777" w:rsidR="00AA7C3C" w:rsidRPr="00AA7C3C" w:rsidRDefault="00AA7C3C" w:rsidP="00AA7C3C">
            <w:pPr>
              <w:spacing w:after="0" w:line="240" w:lineRule="auto"/>
              <w:jc w:val="center"/>
              <w:rPr>
                <w:rFonts w:ascii="Times New Roman" w:eastAsia="Times New Roman" w:hAnsi="Times New Roman" w:cs="Times New Roman"/>
                <w:b/>
                <w:bCs/>
                <w:kern w:val="0"/>
                <w:lang w:eastAsia="en-GB"/>
                <w14:ligatures w14:val="none"/>
              </w:rPr>
            </w:pPr>
            <w:r w:rsidRPr="00AA7C3C">
              <w:rPr>
                <w:rFonts w:ascii="Times New Roman" w:eastAsia="Times New Roman" w:hAnsi="Times New Roman" w:cs="Times New Roman"/>
                <w:b/>
                <w:bCs/>
                <w:kern w:val="0"/>
                <w:lang w:eastAsia="en-GB"/>
                <w14:ligatures w14:val="none"/>
              </w:rPr>
              <w:t xml:space="preserve">Recommendations </w:t>
            </w:r>
          </w:p>
        </w:tc>
      </w:tr>
      <w:tr w:rsidR="00AA7C3C" w:rsidRPr="00AA7C3C" w14:paraId="0FC68ECF" w14:textId="77777777" w:rsidTr="00AA7C3C">
        <w:trPr>
          <w:tblCellSpacing w:w="15" w:type="dxa"/>
        </w:trPr>
        <w:tc>
          <w:tcPr>
            <w:tcW w:w="0" w:type="auto"/>
            <w:vAlign w:val="center"/>
            <w:hideMark/>
          </w:tcPr>
          <w:p w14:paraId="5B2787E7"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Component Failure</w:t>
            </w:r>
            <w:r w:rsidRPr="00AA7C3C">
              <w:rPr>
                <w:rFonts w:ascii="Times New Roman" w:eastAsia="Times New Roman" w:hAnsi="Times New Roman" w:cs="Times New Roman"/>
                <w:kern w:val="0"/>
                <w:lang w:eastAsia="en-GB"/>
                <w14:ligatures w14:val="none"/>
              </w:rPr>
              <w:t xml:space="preserve"> </w:t>
            </w:r>
          </w:p>
        </w:tc>
        <w:tc>
          <w:tcPr>
            <w:tcW w:w="0" w:type="auto"/>
            <w:vAlign w:val="center"/>
            <w:hideMark/>
          </w:tcPr>
          <w:p w14:paraId="1695872E"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Complete brake failure resulting in an accident </w:t>
            </w:r>
          </w:p>
        </w:tc>
        <w:tc>
          <w:tcPr>
            <w:tcW w:w="0" w:type="auto"/>
            <w:vAlign w:val="center"/>
            <w:hideMark/>
          </w:tcPr>
          <w:p w14:paraId="016FB686"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9 </w:t>
            </w:r>
          </w:p>
        </w:tc>
        <w:tc>
          <w:tcPr>
            <w:tcW w:w="0" w:type="auto"/>
            <w:vAlign w:val="center"/>
            <w:hideMark/>
          </w:tcPr>
          <w:p w14:paraId="35B9D8BF"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Manufacturing defects, material fatigue, design flaws </w:t>
            </w:r>
          </w:p>
        </w:tc>
        <w:tc>
          <w:tcPr>
            <w:tcW w:w="0" w:type="auto"/>
            <w:vAlign w:val="center"/>
            <w:hideMark/>
          </w:tcPr>
          <w:p w14:paraId="35BCD55B"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6 </w:t>
            </w:r>
          </w:p>
        </w:tc>
        <w:tc>
          <w:tcPr>
            <w:tcW w:w="0" w:type="auto"/>
            <w:vAlign w:val="center"/>
            <w:hideMark/>
          </w:tcPr>
          <w:p w14:paraId="2851CB51"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5 </w:t>
            </w:r>
          </w:p>
        </w:tc>
        <w:tc>
          <w:tcPr>
            <w:tcW w:w="0" w:type="auto"/>
            <w:vAlign w:val="center"/>
            <w:hideMark/>
          </w:tcPr>
          <w:p w14:paraId="64F1B24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270 </w:t>
            </w:r>
          </w:p>
        </w:tc>
        <w:tc>
          <w:tcPr>
            <w:tcW w:w="0" w:type="auto"/>
            <w:vAlign w:val="center"/>
            <w:hideMark/>
          </w:tcPr>
          <w:p w14:paraId="2751FF94" w14:textId="651CAB72"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Conduct regular inspections, </w:t>
            </w:r>
            <w:r w:rsidR="00ED3097" w:rsidRPr="001D224A">
              <w:rPr>
                <w:rFonts w:ascii="Times New Roman" w:eastAsia="Times New Roman" w:hAnsi="Times New Roman" w:cs="Times New Roman"/>
                <w:kern w:val="0"/>
                <w:lang w:eastAsia="en-GB"/>
                <w14:ligatures w14:val="none"/>
              </w:rPr>
              <w:t>use</w:t>
            </w:r>
            <w:r w:rsidRPr="00AA7C3C">
              <w:rPr>
                <w:rFonts w:ascii="Times New Roman" w:eastAsia="Times New Roman" w:hAnsi="Times New Roman" w:cs="Times New Roman"/>
                <w:kern w:val="0"/>
                <w:lang w:eastAsia="en-GB"/>
                <w14:ligatures w14:val="none"/>
              </w:rPr>
              <w:t xml:space="preserve"> advanced materials, and enhance quality control processes </w:t>
            </w:r>
          </w:p>
        </w:tc>
      </w:tr>
      <w:tr w:rsidR="00AA7C3C" w:rsidRPr="00AA7C3C" w14:paraId="2F17A630" w14:textId="77777777" w:rsidTr="00AA7C3C">
        <w:trPr>
          <w:tblCellSpacing w:w="15" w:type="dxa"/>
        </w:trPr>
        <w:tc>
          <w:tcPr>
            <w:tcW w:w="0" w:type="auto"/>
            <w:vAlign w:val="center"/>
            <w:hideMark/>
          </w:tcPr>
          <w:p w14:paraId="4F615DF6"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Supply Disruption</w:t>
            </w:r>
            <w:r w:rsidRPr="00AA7C3C">
              <w:rPr>
                <w:rFonts w:ascii="Times New Roman" w:eastAsia="Times New Roman" w:hAnsi="Times New Roman" w:cs="Times New Roman"/>
                <w:kern w:val="0"/>
                <w:lang w:eastAsia="en-GB"/>
                <w14:ligatures w14:val="none"/>
              </w:rPr>
              <w:t xml:space="preserve"> </w:t>
            </w:r>
          </w:p>
        </w:tc>
        <w:tc>
          <w:tcPr>
            <w:tcW w:w="0" w:type="auto"/>
            <w:vAlign w:val="center"/>
            <w:hideMark/>
          </w:tcPr>
          <w:p w14:paraId="655E7A23"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Delays in production, increased lead times </w:t>
            </w:r>
          </w:p>
        </w:tc>
        <w:tc>
          <w:tcPr>
            <w:tcW w:w="0" w:type="auto"/>
            <w:vAlign w:val="center"/>
            <w:hideMark/>
          </w:tcPr>
          <w:p w14:paraId="74806D66"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8 </w:t>
            </w:r>
          </w:p>
        </w:tc>
        <w:tc>
          <w:tcPr>
            <w:tcW w:w="0" w:type="auto"/>
            <w:vAlign w:val="center"/>
            <w:hideMark/>
          </w:tcPr>
          <w:p w14:paraId="7DF1D657"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Supplier bankruptcy, natural disasters, accidents </w:t>
            </w:r>
          </w:p>
        </w:tc>
        <w:tc>
          <w:tcPr>
            <w:tcW w:w="0" w:type="auto"/>
            <w:vAlign w:val="center"/>
            <w:hideMark/>
          </w:tcPr>
          <w:p w14:paraId="41B8C436"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5 </w:t>
            </w:r>
          </w:p>
        </w:tc>
        <w:tc>
          <w:tcPr>
            <w:tcW w:w="0" w:type="auto"/>
            <w:vAlign w:val="center"/>
            <w:hideMark/>
          </w:tcPr>
          <w:p w14:paraId="684C2827"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4 </w:t>
            </w:r>
          </w:p>
        </w:tc>
        <w:tc>
          <w:tcPr>
            <w:tcW w:w="0" w:type="auto"/>
            <w:vAlign w:val="center"/>
            <w:hideMark/>
          </w:tcPr>
          <w:p w14:paraId="4CAD4685"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160 </w:t>
            </w:r>
          </w:p>
        </w:tc>
        <w:tc>
          <w:tcPr>
            <w:tcW w:w="0" w:type="auto"/>
            <w:vAlign w:val="center"/>
            <w:hideMark/>
          </w:tcPr>
          <w:p w14:paraId="2E773ACD"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Diversify suppliers, implement dual sourcing strategies, and establish buffer inventory </w:t>
            </w:r>
          </w:p>
        </w:tc>
      </w:tr>
      <w:tr w:rsidR="00AA7C3C" w:rsidRPr="00AA7C3C" w14:paraId="556C57D3" w14:textId="77777777" w:rsidTr="00AA7C3C">
        <w:trPr>
          <w:tblCellSpacing w:w="15" w:type="dxa"/>
        </w:trPr>
        <w:tc>
          <w:tcPr>
            <w:tcW w:w="0" w:type="auto"/>
            <w:vAlign w:val="center"/>
            <w:hideMark/>
          </w:tcPr>
          <w:p w14:paraId="394F3F80"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Regulatory Non-compliance</w:t>
            </w:r>
          </w:p>
        </w:tc>
        <w:tc>
          <w:tcPr>
            <w:tcW w:w="0" w:type="auto"/>
            <w:vAlign w:val="center"/>
            <w:hideMark/>
          </w:tcPr>
          <w:p w14:paraId="3043F6F4"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Fines, recalls, and production stoppage </w:t>
            </w:r>
          </w:p>
        </w:tc>
        <w:tc>
          <w:tcPr>
            <w:tcW w:w="0" w:type="auto"/>
            <w:vAlign w:val="center"/>
            <w:hideMark/>
          </w:tcPr>
          <w:p w14:paraId="3A65C63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7 </w:t>
            </w:r>
          </w:p>
        </w:tc>
        <w:tc>
          <w:tcPr>
            <w:tcW w:w="0" w:type="auto"/>
            <w:vAlign w:val="center"/>
            <w:hideMark/>
          </w:tcPr>
          <w:p w14:paraId="6D72AC3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Changes in automotive safety regulations, lack of compliance monitoring </w:t>
            </w:r>
          </w:p>
        </w:tc>
        <w:tc>
          <w:tcPr>
            <w:tcW w:w="0" w:type="auto"/>
            <w:vAlign w:val="center"/>
            <w:hideMark/>
          </w:tcPr>
          <w:p w14:paraId="63465BBA"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4 </w:t>
            </w:r>
          </w:p>
        </w:tc>
        <w:tc>
          <w:tcPr>
            <w:tcW w:w="0" w:type="auto"/>
            <w:vAlign w:val="center"/>
            <w:hideMark/>
          </w:tcPr>
          <w:p w14:paraId="1D39D7FF"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6 </w:t>
            </w:r>
          </w:p>
        </w:tc>
        <w:tc>
          <w:tcPr>
            <w:tcW w:w="0" w:type="auto"/>
            <w:vAlign w:val="center"/>
            <w:hideMark/>
          </w:tcPr>
          <w:p w14:paraId="4F201AEA"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168 </w:t>
            </w:r>
          </w:p>
        </w:tc>
        <w:tc>
          <w:tcPr>
            <w:tcW w:w="0" w:type="auto"/>
            <w:vAlign w:val="center"/>
            <w:hideMark/>
          </w:tcPr>
          <w:p w14:paraId="1DB57593"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Implement continuous compliance monitoring, conduct regular audits, and maintain updated training for workers </w:t>
            </w:r>
          </w:p>
        </w:tc>
      </w:tr>
      <w:tr w:rsidR="00AA7C3C" w:rsidRPr="00AA7C3C" w14:paraId="7B3116DD" w14:textId="77777777" w:rsidTr="00AA7C3C">
        <w:trPr>
          <w:tblCellSpacing w:w="15" w:type="dxa"/>
        </w:trPr>
        <w:tc>
          <w:tcPr>
            <w:tcW w:w="0" w:type="auto"/>
            <w:vAlign w:val="center"/>
            <w:hideMark/>
          </w:tcPr>
          <w:p w14:paraId="3872282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Inadequate Testing</w:t>
            </w:r>
            <w:r w:rsidRPr="00AA7C3C">
              <w:rPr>
                <w:rFonts w:ascii="Times New Roman" w:eastAsia="Times New Roman" w:hAnsi="Times New Roman" w:cs="Times New Roman"/>
                <w:kern w:val="0"/>
                <w:lang w:eastAsia="en-GB"/>
                <w14:ligatures w14:val="none"/>
              </w:rPr>
              <w:t xml:space="preserve"> </w:t>
            </w:r>
          </w:p>
        </w:tc>
        <w:tc>
          <w:tcPr>
            <w:tcW w:w="0" w:type="auto"/>
            <w:vAlign w:val="center"/>
            <w:hideMark/>
          </w:tcPr>
          <w:p w14:paraId="0E7BF6C1" w14:textId="4550A79B" w:rsidR="00AA7C3C" w:rsidRPr="00AA7C3C" w:rsidRDefault="00ED3097" w:rsidP="00AA7C3C">
            <w:pPr>
              <w:spacing w:after="0"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Inferior performance</w:t>
            </w:r>
            <w:r w:rsidR="00AA7C3C" w:rsidRPr="00AA7C3C">
              <w:rPr>
                <w:rFonts w:ascii="Times New Roman" w:eastAsia="Times New Roman" w:hAnsi="Times New Roman" w:cs="Times New Roman"/>
                <w:kern w:val="0"/>
                <w:lang w:eastAsia="en-GB"/>
                <w14:ligatures w14:val="none"/>
              </w:rPr>
              <w:t xml:space="preserve"> leading to vehicle accidents </w:t>
            </w:r>
          </w:p>
        </w:tc>
        <w:tc>
          <w:tcPr>
            <w:tcW w:w="0" w:type="auto"/>
            <w:vAlign w:val="center"/>
            <w:hideMark/>
          </w:tcPr>
          <w:p w14:paraId="44B60AA0"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8 </w:t>
            </w:r>
          </w:p>
        </w:tc>
        <w:tc>
          <w:tcPr>
            <w:tcW w:w="0" w:type="auto"/>
            <w:vAlign w:val="center"/>
            <w:hideMark/>
          </w:tcPr>
          <w:p w14:paraId="16C28507"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Lack of stringent testing protocols and insufficient laboratory facilities </w:t>
            </w:r>
          </w:p>
        </w:tc>
        <w:tc>
          <w:tcPr>
            <w:tcW w:w="0" w:type="auto"/>
            <w:vAlign w:val="center"/>
            <w:hideMark/>
          </w:tcPr>
          <w:p w14:paraId="3F761C68"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4 </w:t>
            </w:r>
          </w:p>
        </w:tc>
        <w:tc>
          <w:tcPr>
            <w:tcW w:w="0" w:type="auto"/>
            <w:vAlign w:val="center"/>
            <w:hideMark/>
          </w:tcPr>
          <w:p w14:paraId="312CAAD5"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6 </w:t>
            </w:r>
          </w:p>
        </w:tc>
        <w:tc>
          <w:tcPr>
            <w:tcW w:w="0" w:type="auto"/>
            <w:vAlign w:val="center"/>
            <w:hideMark/>
          </w:tcPr>
          <w:p w14:paraId="19A27A2F"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192 </w:t>
            </w:r>
          </w:p>
        </w:tc>
        <w:tc>
          <w:tcPr>
            <w:tcW w:w="0" w:type="auto"/>
            <w:vAlign w:val="center"/>
            <w:hideMark/>
          </w:tcPr>
          <w:p w14:paraId="09361786" w14:textId="3E2EDE1B"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Introduce enhanced testing methodologies, utili</w:t>
            </w:r>
            <w:r w:rsidR="00503DEE" w:rsidRPr="001D224A">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 xml:space="preserve">e Hardware-in-the-Loop (HiL) systems, and conduct simulations </w:t>
            </w:r>
          </w:p>
        </w:tc>
      </w:tr>
      <w:tr w:rsidR="00AA7C3C" w:rsidRPr="00AA7C3C" w14:paraId="680A5AD3" w14:textId="77777777" w:rsidTr="00AA7C3C">
        <w:trPr>
          <w:tblCellSpacing w:w="15" w:type="dxa"/>
        </w:trPr>
        <w:tc>
          <w:tcPr>
            <w:tcW w:w="0" w:type="auto"/>
            <w:vAlign w:val="center"/>
            <w:hideMark/>
          </w:tcPr>
          <w:p w14:paraId="25471C6A"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lastRenderedPageBreak/>
              <w:t>Cybersecurity Vulnerability</w:t>
            </w:r>
          </w:p>
        </w:tc>
        <w:tc>
          <w:tcPr>
            <w:tcW w:w="0" w:type="auto"/>
            <w:vAlign w:val="center"/>
            <w:hideMark/>
          </w:tcPr>
          <w:p w14:paraId="3419D95D"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Data breaches or software malfunctions in braking systems </w:t>
            </w:r>
          </w:p>
        </w:tc>
        <w:tc>
          <w:tcPr>
            <w:tcW w:w="0" w:type="auto"/>
            <w:vAlign w:val="center"/>
            <w:hideMark/>
          </w:tcPr>
          <w:p w14:paraId="5EB489DE"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9 </w:t>
            </w:r>
          </w:p>
        </w:tc>
        <w:tc>
          <w:tcPr>
            <w:tcW w:w="0" w:type="auto"/>
            <w:vAlign w:val="center"/>
            <w:hideMark/>
          </w:tcPr>
          <w:p w14:paraId="4F19F59F"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Insufficient IT security measures, lack of encryption </w:t>
            </w:r>
          </w:p>
        </w:tc>
        <w:tc>
          <w:tcPr>
            <w:tcW w:w="0" w:type="auto"/>
            <w:vAlign w:val="center"/>
            <w:hideMark/>
          </w:tcPr>
          <w:p w14:paraId="31F0A4C9"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5 </w:t>
            </w:r>
          </w:p>
        </w:tc>
        <w:tc>
          <w:tcPr>
            <w:tcW w:w="0" w:type="auto"/>
            <w:vAlign w:val="center"/>
            <w:hideMark/>
          </w:tcPr>
          <w:p w14:paraId="77EE8C8E"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5 </w:t>
            </w:r>
          </w:p>
        </w:tc>
        <w:tc>
          <w:tcPr>
            <w:tcW w:w="0" w:type="auto"/>
            <w:vAlign w:val="center"/>
            <w:hideMark/>
          </w:tcPr>
          <w:p w14:paraId="1593261D"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225 </w:t>
            </w:r>
          </w:p>
        </w:tc>
        <w:tc>
          <w:tcPr>
            <w:tcW w:w="0" w:type="auto"/>
            <w:vAlign w:val="center"/>
            <w:hideMark/>
          </w:tcPr>
          <w:p w14:paraId="4929EA32"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Invest in advanced cybersecurity protocols, conduct regular penetration testing, and train employees on security protocols </w:t>
            </w:r>
          </w:p>
        </w:tc>
      </w:tr>
      <w:tr w:rsidR="00AA7C3C" w:rsidRPr="00AA7C3C" w14:paraId="42D9A88B" w14:textId="77777777" w:rsidTr="00AA7C3C">
        <w:trPr>
          <w:tblCellSpacing w:w="15" w:type="dxa"/>
        </w:trPr>
        <w:tc>
          <w:tcPr>
            <w:tcW w:w="0" w:type="auto"/>
            <w:vAlign w:val="center"/>
            <w:hideMark/>
          </w:tcPr>
          <w:p w14:paraId="704B489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Logistical Delays</w:t>
            </w:r>
            <w:r w:rsidRPr="00AA7C3C">
              <w:rPr>
                <w:rFonts w:ascii="Times New Roman" w:eastAsia="Times New Roman" w:hAnsi="Times New Roman" w:cs="Times New Roman"/>
                <w:kern w:val="0"/>
                <w:lang w:eastAsia="en-GB"/>
                <w14:ligatures w14:val="none"/>
              </w:rPr>
              <w:t xml:space="preserve"> </w:t>
            </w:r>
          </w:p>
        </w:tc>
        <w:tc>
          <w:tcPr>
            <w:tcW w:w="0" w:type="auto"/>
            <w:vAlign w:val="center"/>
            <w:hideMark/>
          </w:tcPr>
          <w:p w14:paraId="132D8176"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Increased costs and customer dissatisfaction </w:t>
            </w:r>
          </w:p>
        </w:tc>
        <w:tc>
          <w:tcPr>
            <w:tcW w:w="0" w:type="auto"/>
            <w:vAlign w:val="center"/>
            <w:hideMark/>
          </w:tcPr>
          <w:p w14:paraId="53CC37D9"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7 </w:t>
            </w:r>
          </w:p>
        </w:tc>
        <w:tc>
          <w:tcPr>
            <w:tcW w:w="0" w:type="auto"/>
            <w:vAlign w:val="center"/>
            <w:hideMark/>
          </w:tcPr>
          <w:p w14:paraId="5C877192"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Transportation strikes, regulatory changes, or accidents </w:t>
            </w:r>
          </w:p>
        </w:tc>
        <w:tc>
          <w:tcPr>
            <w:tcW w:w="0" w:type="auto"/>
            <w:vAlign w:val="center"/>
            <w:hideMark/>
          </w:tcPr>
          <w:p w14:paraId="531CE3E7"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5 </w:t>
            </w:r>
          </w:p>
        </w:tc>
        <w:tc>
          <w:tcPr>
            <w:tcW w:w="0" w:type="auto"/>
            <w:vAlign w:val="center"/>
            <w:hideMark/>
          </w:tcPr>
          <w:p w14:paraId="165FE40C"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4 </w:t>
            </w:r>
          </w:p>
        </w:tc>
        <w:tc>
          <w:tcPr>
            <w:tcW w:w="0" w:type="auto"/>
            <w:vAlign w:val="center"/>
            <w:hideMark/>
          </w:tcPr>
          <w:p w14:paraId="77BC4CA4" w14:textId="77777777" w:rsidR="00AA7C3C" w:rsidRPr="00AA7C3C" w:rsidRDefault="00AA7C3C" w:rsidP="00AA7C3C">
            <w:pPr>
              <w:spacing w:after="0"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140 </w:t>
            </w:r>
          </w:p>
        </w:tc>
        <w:tc>
          <w:tcPr>
            <w:tcW w:w="0" w:type="auto"/>
            <w:vAlign w:val="center"/>
            <w:hideMark/>
          </w:tcPr>
          <w:p w14:paraId="0DD516D5" w14:textId="00826C8A" w:rsidR="00AA7C3C" w:rsidRPr="00AA7C3C" w:rsidRDefault="00ED3097" w:rsidP="00AA7C3C">
            <w:pPr>
              <w:spacing w:after="0"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Use</w:t>
            </w:r>
            <w:r w:rsidR="00AA7C3C" w:rsidRPr="00AA7C3C">
              <w:rPr>
                <w:rFonts w:ascii="Times New Roman" w:eastAsia="Times New Roman" w:hAnsi="Times New Roman" w:cs="Times New Roman"/>
                <w:kern w:val="0"/>
                <w:lang w:eastAsia="en-GB"/>
                <w14:ligatures w14:val="none"/>
              </w:rPr>
              <w:t xml:space="preserve"> real-time tracking systems for inventory and </w:t>
            </w:r>
            <w:r w:rsidR="004F094E" w:rsidRPr="001D224A">
              <w:rPr>
                <w:rFonts w:ascii="Times New Roman" w:eastAsia="Times New Roman" w:hAnsi="Times New Roman" w:cs="Times New Roman"/>
                <w:kern w:val="0"/>
                <w:lang w:eastAsia="en-GB"/>
                <w14:ligatures w14:val="none"/>
              </w:rPr>
              <w:t>coordination</w:t>
            </w:r>
            <w:r w:rsidR="00AA7C3C" w:rsidRPr="00AA7C3C">
              <w:rPr>
                <w:rFonts w:ascii="Times New Roman" w:eastAsia="Times New Roman" w:hAnsi="Times New Roman" w:cs="Times New Roman"/>
                <w:kern w:val="0"/>
                <w:lang w:eastAsia="en-GB"/>
                <w14:ligatures w14:val="none"/>
              </w:rPr>
              <w:t xml:space="preserve">, and develop proactive communication with logistics partners </w:t>
            </w:r>
          </w:p>
        </w:tc>
      </w:tr>
      <w:tr w:rsidR="004B081B" w:rsidRPr="00AA7C3C" w14:paraId="779BB392" w14:textId="77777777" w:rsidTr="00FB3F61">
        <w:trPr>
          <w:tblCellSpacing w:w="15" w:type="dxa"/>
        </w:trPr>
        <w:tc>
          <w:tcPr>
            <w:tcW w:w="0" w:type="auto"/>
            <w:shd w:val="clear" w:color="auto" w:fill="FFFFFF"/>
            <w:vAlign w:val="center"/>
          </w:tcPr>
          <w:p w14:paraId="00FE716A" w14:textId="28FE66B9" w:rsidR="004B081B" w:rsidRPr="001D224A" w:rsidRDefault="004B081B" w:rsidP="004B081B">
            <w:pPr>
              <w:spacing w:after="0" w:line="240" w:lineRule="auto"/>
              <w:rPr>
                <w:rFonts w:ascii="Times New Roman" w:eastAsia="Times New Roman" w:hAnsi="Times New Roman" w:cs="Times New Roman"/>
                <w:b/>
                <w:bCs/>
                <w:kern w:val="0"/>
                <w:lang w:eastAsia="en-GB"/>
                <w14:ligatures w14:val="none"/>
              </w:rPr>
            </w:pPr>
            <w:r w:rsidRPr="001D224A">
              <w:rPr>
                <w:rStyle w:val="Strong"/>
                <w:rFonts w:ascii="Times New Roman" w:hAnsi="Times New Roman" w:cs="Times New Roman"/>
                <w:color w:val="333A3F"/>
                <w:spacing w:val="1"/>
              </w:rPr>
              <w:t>Inadequate Supplier Standards</w:t>
            </w:r>
          </w:p>
        </w:tc>
        <w:tc>
          <w:tcPr>
            <w:tcW w:w="0" w:type="auto"/>
            <w:shd w:val="clear" w:color="auto" w:fill="FFFFFF"/>
            <w:vAlign w:val="center"/>
          </w:tcPr>
          <w:p w14:paraId="3C519D37" w14:textId="39383CDF" w:rsidR="004B081B" w:rsidRPr="001D224A" w:rsidRDefault="0030445A"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Inadequate quality</w:t>
            </w:r>
            <w:r w:rsidR="004B081B" w:rsidRPr="001D224A">
              <w:rPr>
                <w:rFonts w:ascii="Times New Roman" w:hAnsi="Times New Roman" w:cs="Times New Roman"/>
                <w:color w:val="333A3F"/>
                <w:spacing w:val="1"/>
              </w:rPr>
              <w:t xml:space="preserve"> components leading to performance issues</w:t>
            </w:r>
          </w:p>
        </w:tc>
        <w:tc>
          <w:tcPr>
            <w:tcW w:w="0" w:type="auto"/>
            <w:shd w:val="clear" w:color="auto" w:fill="FFFFFF"/>
            <w:vAlign w:val="center"/>
          </w:tcPr>
          <w:p w14:paraId="2209192E" w14:textId="15F86595"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8</w:t>
            </w:r>
          </w:p>
        </w:tc>
        <w:tc>
          <w:tcPr>
            <w:tcW w:w="0" w:type="auto"/>
            <w:shd w:val="clear" w:color="auto" w:fill="FFFFFF"/>
            <w:vAlign w:val="center"/>
          </w:tcPr>
          <w:p w14:paraId="5217C29E" w14:textId="755DC544"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Suppliers not adhering to quality specifications or having inadequate quality control</w:t>
            </w:r>
          </w:p>
        </w:tc>
        <w:tc>
          <w:tcPr>
            <w:tcW w:w="0" w:type="auto"/>
            <w:shd w:val="clear" w:color="auto" w:fill="FFFFFF"/>
            <w:vAlign w:val="center"/>
          </w:tcPr>
          <w:p w14:paraId="7491F71F" w14:textId="2965AE20"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5</w:t>
            </w:r>
          </w:p>
        </w:tc>
        <w:tc>
          <w:tcPr>
            <w:tcW w:w="0" w:type="auto"/>
            <w:shd w:val="clear" w:color="auto" w:fill="FFFFFF"/>
            <w:vAlign w:val="center"/>
          </w:tcPr>
          <w:p w14:paraId="1EC2444B" w14:textId="3CD5D52C"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4</w:t>
            </w:r>
          </w:p>
        </w:tc>
        <w:tc>
          <w:tcPr>
            <w:tcW w:w="0" w:type="auto"/>
            <w:shd w:val="clear" w:color="auto" w:fill="FFFFFF"/>
            <w:vAlign w:val="center"/>
          </w:tcPr>
          <w:p w14:paraId="1DC2B79B" w14:textId="725FC0C3"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160</w:t>
            </w:r>
          </w:p>
        </w:tc>
        <w:tc>
          <w:tcPr>
            <w:tcW w:w="0" w:type="auto"/>
            <w:shd w:val="clear" w:color="auto" w:fill="FFFFFF"/>
            <w:vAlign w:val="center"/>
          </w:tcPr>
          <w:p w14:paraId="520A7E4A" w14:textId="5E72F97D"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Implement strict supplier qualification criteria and continuous audits of supplier performance (Berger et al., 2021; Teng et al., 2006)</w:t>
            </w:r>
          </w:p>
        </w:tc>
      </w:tr>
      <w:tr w:rsidR="004B081B" w:rsidRPr="00AA7C3C" w14:paraId="5BC62CB1" w14:textId="77777777" w:rsidTr="00FB3F61">
        <w:trPr>
          <w:tblCellSpacing w:w="15" w:type="dxa"/>
        </w:trPr>
        <w:tc>
          <w:tcPr>
            <w:tcW w:w="0" w:type="auto"/>
            <w:shd w:val="clear" w:color="auto" w:fill="FFFFFF"/>
            <w:vAlign w:val="center"/>
          </w:tcPr>
          <w:p w14:paraId="3D47D90B" w14:textId="7BDA2BF7" w:rsidR="004B081B" w:rsidRPr="001D224A" w:rsidRDefault="004B081B" w:rsidP="004B081B">
            <w:pPr>
              <w:spacing w:after="0" w:line="240" w:lineRule="auto"/>
              <w:rPr>
                <w:rFonts w:ascii="Times New Roman" w:eastAsia="Times New Roman" w:hAnsi="Times New Roman" w:cs="Times New Roman"/>
                <w:b/>
                <w:bCs/>
                <w:kern w:val="0"/>
                <w:lang w:eastAsia="en-GB"/>
                <w14:ligatures w14:val="none"/>
              </w:rPr>
            </w:pPr>
            <w:r w:rsidRPr="001D224A">
              <w:rPr>
                <w:rStyle w:val="Strong"/>
                <w:rFonts w:ascii="Times New Roman" w:hAnsi="Times New Roman" w:cs="Times New Roman"/>
                <w:color w:val="333A3F"/>
                <w:spacing w:val="1"/>
              </w:rPr>
              <w:t>Obsolescence of Parts</w:t>
            </w:r>
          </w:p>
        </w:tc>
        <w:tc>
          <w:tcPr>
            <w:tcW w:w="0" w:type="auto"/>
            <w:shd w:val="clear" w:color="auto" w:fill="FFFFFF"/>
            <w:vAlign w:val="center"/>
          </w:tcPr>
          <w:p w14:paraId="085E3D76" w14:textId="7BD590B9"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Production halts due to unavailability of outdated components</w:t>
            </w:r>
          </w:p>
        </w:tc>
        <w:tc>
          <w:tcPr>
            <w:tcW w:w="0" w:type="auto"/>
            <w:shd w:val="clear" w:color="auto" w:fill="FFFFFF"/>
            <w:vAlign w:val="center"/>
          </w:tcPr>
          <w:p w14:paraId="22688FC4" w14:textId="4B1DFBEC"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7</w:t>
            </w:r>
          </w:p>
        </w:tc>
        <w:tc>
          <w:tcPr>
            <w:tcW w:w="0" w:type="auto"/>
            <w:shd w:val="clear" w:color="auto" w:fill="FFFFFF"/>
            <w:vAlign w:val="center"/>
          </w:tcPr>
          <w:p w14:paraId="20601903" w14:textId="58566A2B"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Rapid technological advancement or legislative changes</w:t>
            </w:r>
          </w:p>
        </w:tc>
        <w:tc>
          <w:tcPr>
            <w:tcW w:w="0" w:type="auto"/>
            <w:shd w:val="clear" w:color="auto" w:fill="FFFFFF"/>
            <w:vAlign w:val="center"/>
          </w:tcPr>
          <w:p w14:paraId="21AC5485" w14:textId="0633E0DF"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5</w:t>
            </w:r>
          </w:p>
        </w:tc>
        <w:tc>
          <w:tcPr>
            <w:tcW w:w="0" w:type="auto"/>
            <w:shd w:val="clear" w:color="auto" w:fill="FFFFFF"/>
            <w:vAlign w:val="center"/>
          </w:tcPr>
          <w:p w14:paraId="6B333048" w14:textId="0F46780C"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4</w:t>
            </w:r>
          </w:p>
        </w:tc>
        <w:tc>
          <w:tcPr>
            <w:tcW w:w="0" w:type="auto"/>
            <w:shd w:val="clear" w:color="auto" w:fill="FFFFFF"/>
            <w:vAlign w:val="center"/>
          </w:tcPr>
          <w:p w14:paraId="25D01C50" w14:textId="1D781E35"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140</w:t>
            </w:r>
          </w:p>
        </w:tc>
        <w:tc>
          <w:tcPr>
            <w:tcW w:w="0" w:type="auto"/>
            <w:shd w:val="clear" w:color="auto" w:fill="FFFFFF"/>
            <w:vAlign w:val="center"/>
          </w:tcPr>
          <w:p w14:paraId="3BDB011B" w14:textId="242B936C"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Develop a phased obsolescence strategy with early identification of parts that may become obsolete (Zhu et al., 2020; Vinodh &amp; Santhosh, 2012)</w:t>
            </w:r>
          </w:p>
        </w:tc>
      </w:tr>
      <w:tr w:rsidR="004B081B" w:rsidRPr="00AA7C3C" w14:paraId="7E68E84E" w14:textId="77777777" w:rsidTr="00FB3F61">
        <w:trPr>
          <w:tblCellSpacing w:w="15" w:type="dxa"/>
        </w:trPr>
        <w:tc>
          <w:tcPr>
            <w:tcW w:w="0" w:type="auto"/>
            <w:shd w:val="clear" w:color="auto" w:fill="FFFFFF"/>
            <w:vAlign w:val="center"/>
          </w:tcPr>
          <w:p w14:paraId="0E90DFAD" w14:textId="36C36A9B" w:rsidR="004B081B" w:rsidRPr="001D224A" w:rsidRDefault="004B081B" w:rsidP="004B081B">
            <w:pPr>
              <w:spacing w:after="0" w:line="240" w:lineRule="auto"/>
              <w:rPr>
                <w:rFonts w:ascii="Times New Roman" w:eastAsia="Times New Roman" w:hAnsi="Times New Roman" w:cs="Times New Roman"/>
                <w:b/>
                <w:bCs/>
                <w:kern w:val="0"/>
                <w:lang w:eastAsia="en-GB"/>
                <w14:ligatures w14:val="none"/>
              </w:rPr>
            </w:pPr>
            <w:r w:rsidRPr="001D224A">
              <w:rPr>
                <w:rStyle w:val="Strong"/>
                <w:rFonts w:ascii="Times New Roman" w:hAnsi="Times New Roman" w:cs="Times New Roman"/>
                <w:color w:val="333A3F"/>
                <w:spacing w:val="1"/>
              </w:rPr>
              <w:t>Environmental Risks</w:t>
            </w:r>
          </w:p>
        </w:tc>
        <w:tc>
          <w:tcPr>
            <w:tcW w:w="0" w:type="auto"/>
            <w:shd w:val="clear" w:color="auto" w:fill="FFFFFF"/>
            <w:vAlign w:val="center"/>
          </w:tcPr>
          <w:p w14:paraId="66E1ADBD" w14:textId="01DD8405"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Manufacturing disruptions due to extreme weather events</w:t>
            </w:r>
          </w:p>
        </w:tc>
        <w:tc>
          <w:tcPr>
            <w:tcW w:w="0" w:type="auto"/>
            <w:shd w:val="clear" w:color="auto" w:fill="FFFFFF"/>
            <w:vAlign w:val="center"/>
          </w:tcPr>
          <w:p w14:paraId="7AD306D8" w14:textId="2A1E60C6"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6</w:t>
            </w:r>
          </w:p>
        </w:tc>
        <w:tc>
          <w:tcPr>
            <w:tcW w:w="0" w:type="auto"/>
            <w:shd w:val="clear" w:color="auto" w:fill="FFFFFF"/>
            <w:vAlign w:val="center"/>
          </w:tcPr>
          <w:p w14:paraId="0CBA8ED9" w14:textId="6A73652B"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Climate change impacts, severe weather phenomena</w:t>
            </w:r>
          </w:p>
        </w:tc>
        <w:tc>
          <w:tcPr>
            <w:tcW w:w="0" w:type="auto"/>
            <w:shd w:val="clear" w:color="auto" w:fill="FFFFFF"/>
            <w:vAlign w:val="center"/>
          </w:tcPr>
          <w:p w14:paraId="6C06D067" w14:textId="67FD2046"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5</w:t>
            </w:r>
          </w:p>
        </w:tc>
        <w:tc>
          <w:tcPr>
            <w:tcW w:w="0" w:type="auto"/>
            <w:shd w:val="clear" w:color="auto" w:fill="FFFFFF"/>
            <w:vAlign w:val="center"/>
          </w:tcPr>
          <w:p w14:paraId="5C75FAC0" w14:textId="74CC0EB8"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3</w:t>
            </w:r>
          </w:p>
        </w:tc>
        <w:tc>
          <w:tcPr>
            <w:tcW w:w="0" w:type="auto"/>
            <w:shd w:val="clear" w:color="auto" w:fill="FFFFFF"/>
            <w:vAlign w:val="center"/>
          </w:tcPr>
          <w:p w14:paraId="352170FE" w14:textId="535D9B42"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90</w:t>
            </w:r>
          </w:p>
        </w:tc>
        <w:tc>
          <w:tcPr>
            <w:tcW w:w="0" w:type="auto"/>
            <w:shd w:val="clear" w:color="auto" w:fill="FFFFFF"/>
            <w:vAlign w:val="center"/>
          </w:tcPr>
          <w:p w14:paraId="5EF8808F" w14:textId="491A1AE7"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 xml:space="preserve">Create contingency plans that account for climate change impacts, including supply chain mapping and risk </w:t>
            </w:r>
            <w:r w:rsidRPr="001D224A">
              <w:rPr>
                <w:rFonts w:ascii="Times New Roman" w:hAnsi="Times New Roman" w:cs="Times New Roman"/>
                <w:color w:val="333A3F"/>
                <w:spacing w:val="1"/>
              </w:rPr>
              <w:lastRenderedPageBreak/>
              <w:t>evaluation (Henni et al., 2024; Talluri et al., 2013)</w:t>
            </w:r>
          </w:p>
        </w:tc>
      </w:tr>
      <w:tr w:rsidR="004B081B" w:rsidRPr="00AA7C3C" w14:paraId="6A9112EA" w14:textId="77777777" w:rsidTr="00FB3F61">
        <w:trPr>
          <w:tblCellSpacing w:w="15" w:type="dxa"/>
        </w:trPr>
        <w:tc>
          <w:tcPr>
            <w:tcW w:w="0" w:type="auto"/>
            <w:shd w:val="clear" w:color="auto" w:fill="FFFFFF"/>
            <w:vAlign w:val="center"/>
          </w:tcPr>
          <w:p w14:paraId="07965E70" w14:textId="0986E74A" w:rsidR="004B081B" w:rsidRPr="001D224A" w:rsidRDefault="004B081B" w:rsidP="004B081B">
            <w:pPr>
              <w:spacing w:after="0" w:line="240" w:lineRule="auto"/>
              <w:rPr>
                <w:rFonts w:ascii="Times New Roman" w:eastAsia="Times New Roman" w:hAnsi="Times New Roman" w:cs="Times New Roman"/>
                <w:b/>
                <w:bCs/>
                <w:kern w:val="0"/>
                <w:lang w:eastAsia="en-GB"/>
                <w14:ligatures w14:val="none"/>
              </w:rPr>
            </w:pPr>
            <w:r w:rsidRPr="001D224A">
              <w:rPr>
                <w:rStyle w:val="Strong"/>
                <w:rFonts w:ascii="Times New Roman" w:hAnsi="Times New Roman" w:cs="Times New Roman"/>
                <w:color w:val="333A3F"/>
                <w:spacing w:val="1"/>
              </w:rPr>
              <w:lastRenderedPageBreak/>
              <w:t>Labor Disputes</w:t>
            </w:r>
          </w:p>
        </w:tc>
        <w:tc>
          <w:tcPr>
            <w:tcW w:w="0" w:type="auto"/>
            <w:shd w:val="clear" w:color="auto" w:fill="FFFFFF"/>
            <w:vAlign w:val="center"/>
          </w:tcPr>
          <w:p w14:paraId="2EB1A9BB" w14:textId="1763AD6B"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Strikes leading to production stoppages</w:t>
            </w:r>
          </w:p>
        </w:tc>
        <w:tc>
          <w:tcPr>
            <w:tcW w:w="0" w:type="auto"/>
            <w:shd w:val="clear" w:color="auto" w:fill="FFFFFF"/>
            <w:vAlign w:val="center"/>
          </w:tcPr>
          <w:p w14:paraId="70C949DD" w14:textId="6600A9CD"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7</w:t>
            </w:r>
          </w:p>
        </w:tc>
        <w:tc>
          <w:tcPr>
            <w:tcW w:w="0" w:type="auto"/>
            <w:shd w:val="clear" w:color="auto" w:fill="FFFFFF"/>
            <w:vAlign w:val="center"/>
          </w:tcPr>
          <w:p w14:paraId="7523A8CE" w14:textId="078204F2"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 xml:space="preserve">Labor negotiations, </w:t>
            </w:r>
            <w:r w:rsidR="0030445A" w:rsidRPr="001D224A">
              <w:rPr>
                <w:rFonts w:ascii="Times New Roman" w:hAnsi="Times New Roman" w:cs="Times New Roman"/>
                <w:color w:val="333A3F"/>
                <w:spacing w:val="1"/>
              </w:rPr>
              <w:t>unfavourable</w:t>
            </w:r>
            <w:r w:rsidRPr="001D224A">
              <w:rPr>
                <w:rFonts w:ascii="Times New Roman" w:hAnsi="Times New Roman" w:cs="Times New Roman"/>
                <w:color w:val="333A3F"/>
                <w:spacing w:val="1"/>
              </w:rPr>
              <w:t xml:space="preserve"> working conditions</w:t>
            </w:r>
          </w:p>
        </w:tc>
        <w:tc>
          <w:tcPr>
            <w:tcW w:w="0" w:type="auto"/>
            <w:shd w:val="clear" w:color="auto" w:fill="FFFFFF"/>
            <w:vAlign w:val="center"/>
          </w:tcPr>
          <w:p w14:paraId="740FDB0C" w14:textId="1E0A70E8"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6</w:t>
            </w:r>
          </w:p>
        </w:tc>
        <w:tc>
          <w:tcPr>
            <w:tcW w:w="0" w:type="auto"/>
            <w:shd w:val="clear" w:color="auto" w:fill="FFFFFF"/>
            <w:vAlign w:val="center"/>
          </w:tcPr>
          <w:p w14:paraId="1F535113" w14:textId="119A35B2"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4</w:t>
            </w:r>
          </w:p>
        </w:tc>
        <w:tc>
          <w:tcPr>
            <w:tcW w:w="0" w:type="auto"/>
            <w:shd w:val="clear" w:color="auto" w:fill="FFFFFF"/>
            <w:vAlign w:val="center"/>
          </w:tcPr>
          <w:p w14:paraId="5A5A072A" w14:textId="640AB718"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168</w:t>
            </w:r>
          </w:p>
        </w:tc>
        <w:tc>
          <w:tcPr>
            <w:tcW w:w="0" w:type="auto"/>
            <w:shd w:val="clear" w:color="auto" w:fill="FFFFFF"/>
            <w:vAlign w:val="center"/>
          </w:tcPr>
          <w:p w14:paraId="4AD1B81D" w14:textId="7A5FCB04"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 xml:space="preserve">Foster </w:t>
            </w:r>
            <w:r w:rsidR="0030445A" w:rsidRPr="001D224A">
              <w:rPr>
                <w:rFonts w:ascii="Times New Roman" w:hAnsi="Times New Roman" w:cs="Times New Roman"/>
                <w:color w:val="333A3F"/>
                <w:spacing w:val="1"/>
              </w:rPr>
              <w:t>labour</w:t>
            </w:r>
            <w:r w:rsidRPr="001D224A">
              <w:rPr>
                <w:rFonts w:ascii="Times New Roman" w:hAnsi="Times New Roman" w:cs="Times New Roman"/>
                <w:color w:val="333A3F"/>
                <w:spacing w:val="1"/>
              </w:rPr>
              <w:t xml:space="preserve"> relations through proactive engagement, improved </w:t>
            </w:r>
            <w:r w:rsidR="0030445A" w:rsidRPr="001D224A">
              <w:rPr>
                <w:rFonts w:ascii="Times New Roman" w:hAnsi="Times New Roman" w:cs="Times New Roman"/>
                <w:color w:val="333A3F"/>
                <w:spacing w:val="1"/>
              </w:rPr>
              <w:t>labour</w:t>
            </w:r>
            <w:r w:rsidRPr="001D224A">
              <w:rPr>
                <w:rFonts w:ascii="Times New Roman" w:hAnsi="Times New Roman" w:cs="Times New Roman"/>
                <w:color w:val="333A3F"/>
                <w:spacing w:val="1"/>
              </w:rPr>
              <w:t xml:space="preserve"> conditions, and conflict resolution strategies (Sun et al., 2022; Sudan &amp; </w:t>
            </w:r>
            <w:proofErr w:type="spellStart"/>
            <w:r w:rsidRPr="001D224A">
              <w:rPr>
                <w:rFonts w:ascii="Times New Roman" w:hAnsi="Times New Roman" w:cs="Times New Roman"/>
                <w:color w:val="333A3F"/>
                <w:spacing w:val="1"/>
              </w:rPr>
              <w:t>Taggar</w:t>
            </w:r>
            <w:proofErr w:type="spellEnd"/>
            <w:r w:rsidRPr="001D224A">
              <w:rPr>
                <w:rFonts w:ascii="Times New Roman" w:hAnsi="Times New Roman" w:cs="Times New Roman"/>
                <w:color w:val="333A3F"/>
                <w:spacing w:val="1"/>
              </w:rPr>
              <w:t>, 2022)</w:t>
            </w:r>
          </w:p>
        </w:tc>
      </w:tr>
      <w:tr w:rsidR="004B081B" w:rsidRPr="00AA7C3C" w14:paraId="7AD81A45" w14:textId="77777777" w:rsidTr="00FB3F61">
        <w:trPr>
          <w:tblCellSpacing w:w="15" w:type="dxa"/>
        </w:trPr>
        <w:tc>
          <w:tcPr>
            <w:tcW w:w="0" w:type="auto"/>
            <w:shd w:val="clear" w:color="auto" w:fill="FFFFFF"/>
            <w:vAlign w:val="center"/>
          </w:tcPr>
          <w:p w14:paraId="671A73BF" w14:textId="5F97D81A" w:rsidR="004B081B" w:rsidRPr="001D224A" w:rsidRDefault="004B081B" w:rsidP="004B081B">
            <w:pPr>
              <w:spacing w:after="0" w:line="240" w:lineRule="auto"/>
              <w:rPr>
                <w:rFonts w:ascii="Times New Roman" w:eastAsia="Times New Roman" w:hAnsi="Times New Roman" w:cs="Times New Roman"/>
                <w:b/>
                <w:bCs/>
                <w:kern w:val="0"/>
                <w:lang w:eastAsia="en-GB"/>
                <w14:ligatures w14:val="none"/>
              </w:rPr>
            </w:pPr>
            <w:r w:rsidRPr="001D224A">
              <w:rPr>
                <w:rStyle w:val="Strong"/>
                <w:rFonts w:ascii="Times New Roman" w:hAnsi="Times New Roman" w:cs="Times New Roman"/>
                <w:color w:val="333A3F"/>
                <w:spacing w:val="1"/>
              </w:rPr>
              <w:t>Ineffective Communication</w:t>
            </w:r>
          </w:p>
        </w:tc>
        <w:tc>
          <w:tcPr>
            <w:tcW w:w="0" w:type="auto"/>
            <w:shd w:val="clear" w:color="auto" w:fill="FFFFFF"/>
            <w:vAlign w:val="center"/>
          </w:tcPr>
          <w:p w14:paraId="7CD74EE9" w14:textId="5F4A4CB6"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Delayed responses to potential issues and failures</w:t>
            </w:r>
          </w:p>
        </w:tc>
        <w:tc>
          <w:tcPr>
            <w:tcW w:w="0" w:type="auto"/>
            <w:shd w:val="clear" w:color="auto" w:fill="FFFFFF"/>
            <w:vAlign w:val="center"/>
          </w:tcPr>
          <w:p w14:paraId="6AFB2964" w14:textId="406DD834"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6</w:t>
            </w:r>
          </w:p>
        </w:tc>
        <w:tc>
          <w:tcPr>
            <w:tcW w:w="0" w:type="auto"/>
            <w:shd w:val="clear" w:color="auto" w:fill="FFFFFF"/>
            <w:vAlign w:val="center"/>
          </w:tcPr>
          <w:p w14:paraId="406FDF22" w14:textId="510C26EB"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Poor information flow between departments, suppliers, and customers</w:t>
            </w:r>
          </w:p>
        </w:tc>
        <w:tc>
          <w:tcPr>
            <w:tcW w:w="0" w:type="auto"/>
            <w:shd w:val="clear" w:color="auto" w:fill="FFFFFF"/>
            <w:vAlign w:val="center"/>
          </w:tcPr>
          <w:p w14:paraId="1ECFF44B" w14:textId="5A3DF204"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5</w:t>
            </w:r>
          </w:p>
        </w:tc>
        <w:tc>
          <w:tcPr>
            <w:tcW w:w="0" w:type="auto"/>
            <w:shd w:val="clear" w:color="auto" w:fill="FFFFFF"/>
            <w:vAlign w:val="center"/>
          </w:tcPr>
          <w:p w14:paraId="2ADBAC07" w14:textId="157A6BD5"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5</w:t>
            </w:r>
          </w:p>
        </w:tc>
        <w:tc>
          <w:tcPr>
            <w:tcW w:w="0" w:type="auto"/>
            <w:shd w:val="clear" w:color="auto" w:fill="FFFFFF"/>
            <w:vAlign w:val="center"/>
          </w:tcPr>
          <w:p w14:paraId="486346A9" w14:textId="14877ED5"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150</w:t>
            </w:r>
          </w:p>
        </w:tc>
        <w:tc>
          <w:tcPr>
            <w:tcW w:w="0" w:type="auto"/>
            <w:shd w:val="clear" w:color="auto" w:fill="FFFFFF"/>
            <w:vAlign w:val="center"/>
          </w:tcPr>
          <w:p w14:paraId="239A8B20" w14:textId="2D196A8D" w:rsidR="004B081B" w:rsidRPr="001D224A" w:rsidRDefault="004B081B" w:rsidP="004B081B">
            <w:pPr>
              <w:spacing w:after="0" w:line="240" w:lineRule="auto"/>
              <w:rPr>
                <w:rFonts w:ascii="Times New Roman" w:eastAsia="Times New Roman" w:hAnsi="Times New Roman" w:cs="Times New Roman"/>
                <w:kern w:val="0"/>
                <w:lang w:eastAsia="en-GB"/>
                <w14:ligatures w14:val="none"/>
              </w:rPr>
            </w:pPr>
            <w:r w:rsidRPr="001D224A">
              <w:rPr>
                <w:rFonts w:ascii="Times New Roman" w:hAnsi="Times New Roman" w:cs="Times New Roman"/>
                <w:color w:val="333A3F"/>
                <w:spacing w:val="1"/>
              </w:rPr>
              <w:t>Establish comprehensive communication protocols and investment in collaborative platforms for transparency (</w:t>
            </w:r>
            <w:proofErr w:type="spellStart"/>
            <w:r w:rsidRPr="001D224A">
              <w:rPr>
                <w:rFonts w:ascii="Times New Roman" w:hAnsi="Times New Roman" w:cs="Times New Roman"/>
                <w:color w:val="333A3F"/>
                <w:spacing w:val="1"/>
              </w:rPr>
              <w:t>Ponis</w:t>
            </w:r>
            <w:proofErr w:type="spellEnd"/>
            <w:r w:rsidRPr="001D224A">
              <w:rPr>
                <w:rFonts w:ascii="Times New Roman" w:hAnsi="Times New Roman" w:cs="Times New Roman"/>
                <w:color w:val="333A3F"/>
                <w:spacing w:val="1"/>
              </w:rPr>
              <w:t xml:space="preserve"> &amp; Koronis, 2012; Wieland &amp; </w:t>
            </w:r>
            <w:proofErr w:type="spellStart"/>
            <w:r w:rsidRPr="001D224A">
              <w:rPr>
                <w:rFonts w:ascii="Times New Roman" w:hAnsi="Times New Roman" w:cs="Times New Roman"/>
                <w:color w:val="333A3F"/>
                <w:spacing w:val="1"/>
              </w:rPr>
              <w:t>Durach</w:t>
            </w:r>
            <w:proofErr w:type="spellEnd"/>
            <w:r w:rsidRPr="001D224A">
              <w:rPr>
                <w:rFonts w:ascii="Times New Roman" w:hAnsi="Times New Roman" w:cs="Times New Roman"/>
                <w:color w:val="333A3F"/>
                <w:spacing w:val="1"/>
              </w:rPr>
              <w:t>, 2021)</w:t>
            </w:r>
          </w:p>
        </w:tc>
      </w:tr>
    </w:tbl>
    <w:p w14:paraId="640CE8C2" w14:textId="77777777" w:rsidR="00AA7C3C" w:rsidRDefault="00AA7C3C" w:rsidP="00AA7C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sectPr w:rsidR="00AA7C3C" w:rsidSect="00AA7C3C">
          <w:pgSz w:w="16838" w:h="11906" w:orient="landscape"/>
          <w:pgMar w:top="1440" w:right="1440" w:bottom="1440" w:left="1440" w:header="709" w:footer="709" w:gutter="0"/>
          <w:cols w:space="708"/>
          <w:docGrid w:linePitch="360"/>
        </w:sectPr>
      </w:pPr>
    </w:p>
    <w:p w14:paraId="3323BB0F" w14:textId="77777777" w:rsidR="00AA7C3C" w:rsidRPr="00AA7C3C" w:rsidRDefault="00AA7C3C" w:rsidP="00AA7C3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AA7C3C">
        <w:rPr>
          <w:rFonts w:ascii="Times New Roman" w:eastAsia="Times New Roman" w:hAnsi="Times New Roman" w:cs="Times New Roman"/>
          <w:b/>
          <w:bCs/>
          <w:kern w:val="0"/>
          <w:sz w:val="27"/>
          <w:szCs w:val="27"/>
          <w:lang w:eastAsia="en-GB"/>
          <w14:ligatures w14:val="none"/>
        </w:rPr>
        <w:lastRenderedPageBreak/>
        <w:t>Detailed Analysis of FMEA Components</w:t>
      </w:r>
    </w:p>
    <w:p w14:paraId="7CCBEAC3" w14:textId="7F8381C9"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1. Component Failure</w:t>
      </w:r>
      <w:r w:rsidRPr="00AA7C3C">
        <w:rPr>
          <w:rFonts w:ascii="Times New Roman" w:eastAsia="Times New Roman" w:hAnsi="Times New Roman" w:cs="Times New Roman"/>
          <w:kern w:val="0"/>
          <w:lang w:eastAsia="en-GB"/>
          <w14:ligatures w14:val="none"/>
        </w:rPr>
        <w:t>: Component failures in brake systems can have catastrophic consequences, including complete brake failure during operation, which can lead to severe accidents and fatalities. The severity is rated at nine, given the potential impact on consumer safety. Common causes of component failure include defects during manufacturing, material fatigue from repeated use, and inadequate design for the specific stresses applied during braking operations. The combination of a moderate occurrence rating of six and a detection rating of five results in a high RPN of 270, clearly indicating that this failure mode requires immediate attention. Recommendations include regular inspections, utili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ation of advanced materials with higher fatigue resistance, and enhanced quality control processes throughout the manufacturing stages.</w:t>
      </w:r>
    </w:p>
    <w:p w14:paraId="35FA4383" w14:textId="77777777"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2. Supply Disruption</w:t>
      </w:r>
      <w:r w:rsidRPr="00AA7C3C">
        <w:rPr>
          <w:rFonts w:ascii="Times New Roman" w:eastAsia="Times New Roman" w:hAnsi="Times New Roman" w:cs="Times New Roman"/>
          <w:kern w:val="0"/>
          <w:lang w:eastAsia="en-GB"/>
          <w14:ligatures w14:val="none"/>
        </w:rPr>
        <w:t>: Disruptions in the supply chain can cause production delays and increased lead times for brake systems, significantly impacting manufacturers' ability to meet consumer demand. The severity impact of an eight reflects the operational challenges posed by such disruptions. Causes range from supplier insolvency to natural disasters impacting logistics networks. With an occurrence rating of five and a detection score of four, the RPN is 160, warranting strategic responses including diversification of suppliers, implementation of dual sourcing strategies, and clever inventory management practices to maintain adequate stock levels during disruptions.</w:t>
      </w:r>
    </w:p>
    <w:p w14:paraId="5CFCB80D" w14:textId="5391EB8F"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3. Regulatory Non-compliance</w:t>
      </w:r>
      <w:r w:rsidRPr="00AA7C3C">
        <w:rPr>
          <w:rFonts w:ascii="Times New Roman" w:eastAsia="Times New Roman" w:hAnsi="Times New Roman" w:cs="Times New Roman"/>
          <w:kern w:val="0"/>
          <w:lang w:eastAsia="en-GB"/>
          <w14:ligatures w14:val="none"/>
        </w:rPr>
        <w:t>: The automotive industry is governed by stringent safety regulations, and failure to comply can result in heavy fines, recalls, and significant production stoppages. The severity is rated at seven, reflecting potential financial and reputational risks. Common causes of non-compliance include evolving regulations and insufficient monitoring mechanisms across manufacturing processes. The RPN calculated at 168 emphasi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es the importance of instituting continuous compliance monitoring protocols and conducting routine training to keep staff updated on relevant regulations.</w:t>
      </w:r>
    </w:p>
    <w:p w14:paraId="662DC527" w14:textId="38C9759C"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4. Inadequate Testing</w:t>
      </w:r>
      <w:r w:rsidRPr="00AA7C3C">
        <w:rPr>
          <w:rFonts w:ascii="Times New Roman" w:eastAsia="Times New Roman" w:hAnsi="Times New Roman" w:cs="Times New Roman"/>
          <w:kern w:val="0"/>
          <w:lang w:eastAsia="en-GB"/>
          <w14:ligatures w14:val="none"/>
        </w:rPr>
        <w:t>: The reliability of brake systems is critically dependent on thorough testing. Inadequate testing could lead to vehicles underperforming in critical braking situations, thus posing a severe risk to safety, rated at eight for severity. Causes can include a lack of stringent testing protocols and inadequate laboratory resources for comprehensive analysis. The combination of moderate occurrence and detection scores results in a significant RPN of 192, underscoring the need for accelerated testing improvements. Recommendations include enhanced testing methodologies utili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Hardware-in-the-Loop (HiL) systems and advanced simulation tools to evaluate performance under varied conditions.</w:t>
      </w:r>
    </w:p>
    <w:p w14:paraId="04F161BB" w14:textId="77777777"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5. Cybersecurity Vulnerability</w:t>
      </w:r>
      <w:r w:rsidRPr="00AA7C3C">
        <w:rPr>
          <w:rFonts w:ascii="Times New Roman" w:eastAsia="Times New Roman" w:hAnsi="Times New Roman" w:cs="Times New Roman"/>
          <w:kern w:val="0"/>
          <w:lang w:eastAsia="en-GB"/>
          <w14:ligatures w14:val="none"/>
        </w:rPr>
        <w:t>: With the advent of connected and autonomous vehicles, the importance of cybersecurity cannot be overstated. Cybersecurity vulnerabilities in electronic brake control systems pose risks of data breaches and operational malfunctions, with severity rated at nine. Such incidents can arise from insufficient cybersecurity measures and poor system architecture. Given the occurrence and detection ratings, the resultant RPN of 225 signifies the urgent need for automotive manufacturers to invest in advanced cybersecurity solutions, conduct regular penetration tests, and foster a culture of security awareness among employees.</w:t>
      </w:r>
    </w:p>
    <w:p w14:paraId="3B3F0060" w14:textId="147AC7B8" w:rsid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lastRenderedPageBreak/>
        <w:t>6. Logistical Delays</w:t>
      </w:r>
      <w:r w:rsidRPr="00AA7C3C">
        <w:rPr>
          <w:rFonts w:ascii="Times New Roman" w:eastAsia="Times New Roman" w:hAnsi="Times New Roman" w:cs="Times New Roman"/>
          <w:kern w:val="0"/>
          <w:lang w:eastAsia="en-GB"/>
          <w14:ligatures w14:val="none"/>
        </w:rPr>
        <w:t xml:space="preserve">: Logistical delays can hinder the timely delivery of essential brake system components, potentially leading to production slowdowns or customer dissatisfaction. The severity impact is rated at seven, with moderate occurrence and detection ratings resulting in an RPN of 140. Causes could stem from transportation strikes, unanticipated regulatory changes, or other external events. Recommendations include employing real-time tracking systems to manage inventory and develop </w:t>
      </w:r>
      <w:r w:rsidR="0032260A" w:rsidRPr="00AA7C3C">
        <w:rPr>
          <w:rFonts w:ascii="Times New Roman" w:eastAsia="Times New Roman" w:hAnsi="Times New Roman" w:cs="Times New Roman"/>
          <w:kern w:val="0"/>
          <w:lang w:eastAsia="en-GB"/>
          <w14:ligatures w14:val="none"/>
        </w:rPr>
        <w:t>initiative-taking</w:t>
      </w:r>
      <w:r w:rsidRPr="00AA7C3C">
        <w:rPr>
          <w:rFonts w:ascii="Times New Roman" w:eastAsia="Times New Roman" w:hAnsi="Times New Roman" w:cs="Times New Roman"/>
          <w:kern w:val="0"/>
          <w:lang w:eastAsia="en-GB"/>
          <w14:ligatures w14:val="none"/>
        </w:rPr>
        <w:t xml:space="preserve"> relationships with logistics partners, enabling better forecasting and responsiveness to disruptions.</w:t>
      </w:r>
    </w:p>
    <w:p w14:paraId="226B5963" w14:textId="77777777" w:rsidR="0032260A" w:rsidRPr="0032260A" w:rsidRDefault="0032260A" w:rsidP="003226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2260A">
        <w:rPr>
          <w:rFonts w:ascii="Times New Roman" w:eastAsia="Times New Roman" w:hAnsi="Times New Roman" w:cs="Times New Roman"/>
          <w:b/>
          <w:bCs/>
          <w:kern w:val="0"/>
          <w:lang w:eastAsia="en-GB"/>
          <w14:ligatures w14:val="none"/>
        </w:rPr>
        <w:t>7. Inadequate Supplier Standards</w:t>
      </w:r>
      <w:r w:rsidRPr="0032260A">
        <w:rPr>
          <w:rFonts w:ascii="Times New Roman" w:eastAsia="Times New Roman" w:hAnsi="Times New Roman" w:cs="Times New Roman"/>
          <w:kern w:val="0"/>
          <w:lang w:eastAsia="en-GB"/>
          <w14:ligatures w14:val="none"/>
        </w:rPr>
        <w:t>: Failures relating to inadequate supplier standards can significantly hinder the quality and performance of automotive brake systems. This failure mode is critical given that reliance on external suppliers to meet established quality specifications is common in the automotive industry. The severity of this failure is rated at eight, as the performance of components sourced from inadequate suppliers can lead to unsafe braking conditions. Common causes include suppliers lacking established quality control processes or failing to adhere to rigorous quality standards mandated by automotive manufacturers. With an occurrence rating of five and a detection score of four, the RPN of 160 accentuates the urgency of implementing strict supplier qualification and monitoring protocols. Manufacturers should prioritize the development of comprehensive supplier audits and a clear set of quality requirements to ensure adherence to operational standards (Berger et al., 2021; Teng et al., 2006).</w:t>
      </w:r>
    </w:p>
    <w:p w14:paraId="0B50DD3F" w14:textId="77777777" w:rsidR="0032260A" w:rsidRPr="0032260A" w:rsidRDefault="0032260A" w:rsidP="003226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2260A">
        <w:rPr>
          <w:rFonts w:ascii="Times New Roman" w:eastAsia="Times New Roman" w:hAnsi="Times New Roman" w:cs="Times New Roman"/>
          <w:b/>
          <w:bCs/>
          <w:kern w:val="0"/>
          <w:lang w:eastAsia="en-GB"/>
          <w14:ligatures w14:val="none"/>
        </w:rPr>
        <w:t>8. Obsolescence of Parts</w:t>
      </w:r>
      <w:r w:rsidRPr="0032260A">
        <w:rPr>
          <w:rFonts w:ascii="Times New Roman" w:eastAsia="Times New Roman" w:hAnsi="Times New Roman" w:cs="Times New Roman"/>
          <w:kern w:val="0"/>
          <w:lang w:eastAsia="en-GB"/>
          <w14:ligatures w14:val="none"/>
        </w:rPr>
        <w:t>: Part obsolescence represents a growing challenge within the automotive sector, particularly with the rapid pace of technological advancements. An obsolescence failure mode can lead to production delays if critical components become unavailable, impacting the completion of brake system assemblies. This failure mode's severity is assessed at seven due to its potential to disrupt production lines. Causes can arise from technology shifts driven by regulatory demands or the introduction of more advanced braking technology that renders current components outdated. The RPN calculated at 140 underscores the necessity of proactively managing obsolescence. Implementing a phased obsolescence strategy that includes continuous evaluation of part relevance and availability, along with advanced planning for future technologies, will facilitate smoother transitions as part of new product development (Zhu et al., 2020; Vinodh &amp; Santhosh, 2012).</w:t>
      </w:r>
    </w:p>
    <w:p w14:paraId="384468CB" w14:textId="77777777" w:rsidR="0032260A" w:rsidRPr="0032260A" w:rsidRDefault="0032260A" w:rsidP="003226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2260A">
        <w:rPr>
          <w:rFonts w:ascii="Times New Roman" w:eastAsia="Times New Roman" w:hAnsi="Times New Roman" w:cs="Times New Roman"/>
          <w:b/>
          <w:bCs/>
          <w:kern w:val="0"/>
          <w:lang w:eastAsia="en-GB"/>
          <w14:ligatures w14:val="none"/>
        </w:rPr>
        <w:t>9. Environmental Risks</w:t>
      </w:r>
      <w:r w:rsidRPr="0032260A">
        <w:rPr>
          <w:rFonts w:ascii="Times New Roman" w:eastAsia="Times New Roman" w:hAnsi="Times New Roman" w:cs="Times New Roman"/>
          <w:kern w:val="0"/>
          <w:lang w:eastAsia="en-GB"/>
          <w14:ligatures w14:val="none"/>
        </w:rPr>
        <w:t>: Environmental risks associated with the manufacturing process can have profound implications on supply chain operations, especially in light of changing weather patterns resulting from climate change. The severity of this failure mode is rated at six, reflecting the serious operational impact that extreme weather events can have on production continuity. Opportunities for increased unpredictability in raw material availability and transportation disruptions arise when adverse weather conditions occur. With an occurrence rating of five and a detection rating of three, the RPN comes to 90, indicating that while the immediate risk might seem moderate, it warrants careful observation. Manufacturers should devise contingency plans accounting for potential climate-induced disruptions in their supply chain, ensuring that alternative sourcing strategies and risk evaluations are readily available to uphold production schedules (Henni et al., 2024; Talluri et al., 2013).</w:t>
      </w:r>
    </w:p>
    <w:p w14:paraId="33750259" w14:textId="5AB06935" w:rsidR="0032260A" w:rsidRPr="0032260A" w:rsidRDefault="0032260A" w:rsidP="003226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2260A">
        <w:rPr>
          <w:rFonts w:ascii="Times New Roman" w:eastAsia="Times New Roman" w:hAnsi="Times New Roman" w:cs="Times New Roman"/>
          <w:b/>
          <w:bCs/>
          <w:kern w:val="0"/>
          <w:lang w:eastAsia="en-GB"/>
          <w14:ligatures w14:val="none"/>
        </w:rPr>
        <w:t>10. Labor Disputes</w:t>
      </w:r>
      <w:r w:rsidRPr="0032260A">
        <w:rPr>
          <w:rFonts w:ascii="Times New Roman" w:eastAsia="Times New Roman" w:hAnsi="Times New Roman" w:cs="Times New Roman"/>
          <w:kern w:val="0"/>
          <w:lang w:eastAsia="en-GB"/>
          <w14:ligatures w14:val="none"/>
        </w:rPr>
        <w:t xml:space="preserve">: Labor disputes present a significant vulnerability in the automotive supply chain, specifically in areas related to production and operations. Strikes can lead to significant halts in production and pose a threat to the timely shipment of brake systems. The severity impact of this risk is rated at seven, given its potential to disrupt operations on a </w:t>
      </w:r>
      <w:r w:rsidRPr="0032260A">
        <w:rPr>
          <w:rFonts w:ascii="Times New Roman" w:eastAsia="Times New Roman" w:hAnsi="Times New Roman" w:cs="Times New Roman"/>
          <w:kern w:val="0"/>
          <w:lang w:eastAsia="en-GB"/>
          <w14:ligatures w14:val="none"/>
        </w:rPr>
        <w:lastRenderedPageBreak/>
        <w:t xml:space="preserve">large scale. The causes often stem from ongoing </w:t>
      </w:r>
      <w:r w:rsidRPr="0032260A">
        <w:rPr>
          <w:rFonts w:ascii="Times New Roman" w:eastAsia="Times New Roman" w:hAnsi="Times New Roman" w:cs="Times New Roman"/>
          <w:kern w:val="0"/>
          <w:lang w:eastAsia="en-GB"/>
          <w14:ligatures w14:val="none"/>
        </w:rPr>
        <w:t>labour</w:t>
      </w:r>
      <w:r w:rsidRPr="0032260A">
        <w:rPr>
          <w:rFonts w:ascii="Times New Roman" w:eastAsia="Times New Roman" w:hAnsi="Times New Roman" w:cs="Times New Roman"/>
          <w:kern w:val="0"/>
          <w:lang w:eastAsia="en-GB"/>
          <w14:ligatures w14:val="none"/>
        </w:rPr>
        <w:t xml:space="preserve"> negotiations, instances of worker dissatisfaction, or </w:t>
      </w:r>
      <w:r w:rsidRPr="0032260A">
        <w:rPr>
          <w:rFonts w:ascii="Times New Roman" w:eastAsia="Times New Roman" w:hAnsi="Times New Roman" w:cs="Times New Roman"/>
          <w:kern w:val="0"/>
          <w:lang w:eastAsia="en-GB"/>
          <w14:ligatures w14:val="none"/>
        </w:rPr>
        <w:t>unfavourable</w:t>
      </w:r>
      <w:r w:rsidRPr="0032260A">
        <w:rPr>
          <w:rFonts w:ascii="Times New Roman" w:eastAsia="Times New Roman" w:hAnsi="Times New Roman" w:cs="Times New Roman"/>
          <w:kern w:val="0"/>
          <w:lang w:eastAsia="en-GB"/>
          <w14:ligatures w14:val="none"/>
        </w:rPr>
        <w:t xml:space="preserve"> working conditions. The occurrence rating of six and a detection rating of four yield an RPN of 168, emphasizing the necessity of effective </w:t>
      </w:r>
      <w:r w:rsidRPr="0032260A">
        <w:rPr>
          <w:rFonts w:ascii="Times New Roman" w:eastAsia="Times New Roman" w:hAnsi="Times New Roman" w:cs="Times New Roman"/>
          <w:kern w:val="0"/>
          <w:lang w:eastAsia="en-GB"/>
          <w14:ligatures w14:val="none"/>
        </w:rPr>
        <w:t>labour</w:t>
      </w:r>
      <w:r w:rsidRPr="0032260A">
        <w:rPr>
          <w:rFonts w:ascii="Times New Roman" w:eastAsia="Times New Roman" w:hAnsi="Times New Roman" w:cs="Times New Roman"/>
          <w:kern w:val="0"/>
          <w:lang w:eastAsia="en-GB"/>
          <w14:ligatures w14:val="none"/>
        </w:rPr>
        <w:t xml:space="preserve"> management strategies. Manufacturers must proactively engage with </w:t>
      </w:r>
      <w:r w:rsidRPr="0032260A">
        <w:rPr>
          <w:rFonts w:ascii="Times New Roman" w:eastAsia="Times New Roman" w:hAnsi="Times New Roman" w:cs="Times New Roman"/>
          <w:kern w:val="0"/>
          <w:lang w:eastAsia="en-GB"/>
          <w14:ligatures w14:val="none"/>
        </w:rPr>
        <w:t>labour</w:t>
      </w:r>
      <w:r w:rsidRPr="0032260A">
        <w:rPr>
          <w:rFonts w:ascii="Times New Roman" w:eastAsia="Times New Roman" w:hAnsi="Times New Roman" w:cs="Times New Roman"/>
          <w:kern w:val="0"/>
          <w:lang w:eastAsia="en-GB"/>
          <w14:ligatures w14:val="none"/>
        </w:rPr>
        <w:t xml:space="preserve"> forces to foster strong relationships and ensure satisfactory working conditions, while also establishing conflict resolution mechanisms to address employee grievances promptly (Sun et al., 2022; Sudan &amp; </w:t>
      </w:r>
      <w:proofErr w:type="spellStart"/>
      <w:r w:rsidRPr="0032260A">
        <w:rPr>
          <w:rFonts w:ascii="Times New Roman" w:eastAsia="Times New Roman" w:hAnsi="Times New Roman" w:cs="Times New Roman"/>
          <w:kern w:val="0"/>
          <w:lang w:eastAsia="en-GB"/>
          <w14:ligatures w14:val="none"/>
        </w:rPr>
        <w:t>Taggar</w:t>
      </w:r>
      <w:proofErr w:type="spellEnd"/>
      <w:r w:rsidRPr="0032260A">
        <w:rPr>
          <w:rFonts w:ascii="Times New Roman" w:eastAsia="Times New Roman" w:hAnsi="Times New Roman" w:cs="Times New Roman"/>
          <w:kern w:val="0"/>
          <w:lang w:eastAsia="en-GB"/>
          <w14:ligatures w14:val="none"/>
        </w:rPr>
        <w:t>, 2022).</w:t>
      </w:r>
    </w:p>
    <w:p w14:paraId="2AE7D891" w14:textId="77777777" w:rsidR="0032260A" w:rsidRPr="0032260A" w:rsidRDefault="0032260A" w:rsidP="0032260A">
      <w:pPr>
        <w:spacing w:before="100" w:beforeAutospacing="1" w:after="100" w:afterAutospacing="1" w:line="240" w:lineRule="auto"/>
        <w:rPr>
          <w:rFonts w:ascii="Times New Roman" w:eastAsia="Times New Roman" w:hAnsi="Times New Roman" w:cs="Times New Roman"/>
          <w:kern w:val="0"/>
          <w:lang w:eastAsia="en-GB"/>
          <w14:ligatures w14:val="none"/>
        </w:rPr>
      </w:pPr>
      <w:r w:rsidRPr="0032260A">
        <w:rPr>
          <w:rFonts w:ascii="Times New Roman" w:eastAsia="Times New Roman" w:hAnsi="Times New Roman" w:cs="Times New Roman"/>
          <w:b/>
          <w:bCs/>
          <w:kern w:val="0"/>
          <w:lang w:eastAsia="en-GB"/>
          <w14:ligatures w14:val="none"/>
        </w:rPr>
        <w:t>11. Ineffective Communication</w:t>
      </w:r>
      <w:r w:rsidRPr="0032260A">
        <w:rPr>
          <w:rFonts w:ascii="Times New Roman" w:eastAsia="Times New Roman" w:hAnsi="Times New Roman" w:cs="Times New Roman"/>
          <w:kern w:val="0"/>
          <w:lang w:eastAsia="en-GB"/>
          <w14:ligatures w14:val="none"/>
        </w:rPr>
        <w:t>: Ineffective communication within the automotive brake systems supply chain can lead to delays in addressing potential issues and negatively impact overall product quality. The severity of this failure mode is rated at six, as the ramifications of miscommunication can ripple across departments, leading to poorly coordinated responses. A lack of information flow between departments, suppliers, and customers can exacerbate risks associated with the timely identification of failures. With an occurrence rating of five and a detection rating of five, the RPN of 150 indicates that manufacturers should prioritize establishing clear communication protocols. Implementing collaborative platforms that enhance transparency and facilitate real-time information sharing among stakeholders can bolster communication efforts and help mitigate risks effectively (</w:t>
      </w:r>
      <w:proofErr w:type="spellStart"/>
      <w:r w:rsidRPr="0032260A">
        <w:rPr>
          <w:rFonts w:ascii="Times New Roman" w:eastAsia="Times New Roman" w:hAnsi="Times New Roman" w:cs="Times New Roman"/>
          <w:kern w:val="0"/>
          <w:lang w:eastAsia="en-GB"/>
          <w14:ligatures w14:val="none"/>
        </w:rPr>
        <w:t>Ponis</w:t>
      </w:r>
      <w:proofErr w:type="spellEnd"/>
      <w:r w:rsidRPr="0032260A">
        <w:rPr>
          <w:rFonts w:ascii="Times New Roman" w:eastAsia="Times New Roman" w:hAnsi="Times New Roman" w:cs="Times New Roman"/>
          <w:kern w:val="0"/>
          <w:lang w:eastAsia="en-GB"/>
          <w14:ligatures w14:val="none"/>
        </w:rPr>
        <w:t xml:space="preserve"> &amp; Koronis, 2012; Wieland &amp; </w:t>
      </w:r>
      <w:proofErr w:type="spellStart"/>
      <w:r w:rsidRPr="0032260A">
        <w:rPr>
          <w:rFonts w:ascii="Times New Roman" w:eastAsia="Times New Roman" w:hAnsi="Times New Roman" w:cs="Times New Roman"/>
          <w:kern w:val="0"/>
          <w:lang w:eastAsia="en-GB"/>
          <w14:ligatures w14:val="none"/>
        </w:rPr>
        <w:t>Durach</w:t>
      </w:r>
      <w:proofErr w:type="spellEnd"/>
      <w:r w:rsidRPr="0032260A">
        <w:rPr>
          <w:rFonts w:ascii="Times New Roman" w:eastAsia="Times New Roman" w:hAnsi="Times New Roman" w:cs="Times New Roman"/>
          <w:kern w:val="0"/>
          <w:lang w:eastAsia="en-GB"/>
          <w14:ligatures w14:val="none"/>
        </w:rPr>
        <w:t>, 2021).</w:t>
      </w:r>
    </w:p>
    <w:p w14:paraId="4CA4DE72" w14:textId="77777777" w:rsidR="0032260A" w:rsidRPr="00AA7C3C" w:rsidRDefault="0032260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AFE3A9D" w14:textId="77777777" w:rsidR="00AA7C3C" w:rsidRP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A7C3C">
        <w:rPr>
          <w:rFonts w:ascii="Times New Roman" w:eastAsia="Times New Roman" w:hAnsi="Times New Roman" w:cs="Times New Roman"/>
          <w:b/>
          <w:bCs/>
          <w:kern w:val="0"/>
          <w:sz w:val="36"/>
          <w:szCs w:val="36"/>
          <w:lang w:eastAsia="en-GB"/>
          <w14:ligatures w14:val="none"/>
        </w:rPr>
        <w:t>Steps to Enhance Supply Chain Resilience</w:t>
      </w:r>
    </w:p>
    <w:p w14:paraId="061B8DC7" w14:textId="09156CB0"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To bolster resilience within the automotive brake </w:t>
      </w:r>
      <w:r w:rsidRPr="00AA7C3C">
        <w:rPr>
          <w:rFonts w:ascii="Times New Roman" w:eastAsia="Times New Roman" w:hAnsi="Times New Roman" w:cs="Times New Roman"/>
          <w:kern w:val="0"/>
          <w:lang w:eastAsia="en-GB"/>
          <w14:ligatures w14:val="none"/>
        </w:rPr>
        <w:t>systems,</w:t>
      </w:r>
      <w:r w:rsidRPr="00AA7C3C">
        <w:rPr>
          <w:rFonts w:ascii="Times New Roman" w:eastAsia="Times New Roman" w:hAnsi="Times New Roman" w:cs="Times New Roman"/>
          <w:kern w:val="0"/>
          <w:lang w:eastAsia="en-GB"/>
          <w14:ligatures w14:val="none"/>
        </w:rPr>
        <w:t xml:space="preserve"> supply chain, manufacturers must take several </w:t>
      </w:r>
      <w:r w:rsidR="008F0876" w:rsidRPr="00AA7C3C">
        <w:rPr>
          <w:rFonts w:ascii="Times New Roman" w:eastAsia="Times New Roman" w:hAnsi="Times New Roman" w:cs="Times New Roman"/>
          <w:kern w:val="0"/>
          <w:lang w:eastAsia="en-GB"/>
          <w14:ligatures w14:val="none"/>
        </w:rPr>
        <w:t>initiative-taking</w:t>
      </w:r>
      <w:r w:rsidRPr="00AA7C3C">
        <w:rPr>
          <w:rFonts w:ascii="Times New Roman" w:eastAsia="Times New Roman" w:hAnsi="Times New Roman" w:cs="Times New Roman"/>
          <w:kern w:val="0"/>
          <w:lang w:eastAsia="en-GB"/>
          <w14:ligatures w14:val="none"/>
        </w:rPr>
        <w:t xml:space="preserve"> and strategic measures. Below are detailed recommendations aimed at addressing key vulnerabilities identified in the FMEA analysis.</w:t>
      </w:r>
    </w:p>
    <w:p w14:paraId="6A1ABEC4" w14:textId="77777777"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Component Quality Enhancement</w:t>
      </w:r>
      <w:r w:rsidRPr="00AA7C3C">
        <w:rPr>
          <w:rFonts w:ascii="Times New Roman" w:eastAsia="Times New Roman" w:hAnsi="Times New Roman" w:cs="Times New Roman"/>
          <w:kern w:val="0"/>
          <w:lang w:eastAsia="en-GB"/>
          <w14:ligatures w14:val="none"/>
        </w:rPr>
        <w:t>: Enhancing the quality of components is of paramount importance for the overall safety and reliability of automotive brake systems. Establishing rigorous quality assurance programs that focus on continuous quality inspection and assurance throughout the entire supply chain is essential. Methods such as Six Sigma, Total Quality Management (TQM), and ISO 9001 certification can be employed. Frequent inspections and testing of raw materials, coupled with advanced manufacturing techniques, will significantly reduce the risk of defects. Collaboration with suppliers to ensure they meet stringent quality standards and educational training on quality control best practices can further enhance component reliability and performance.</w:t>
      </w:r>
    </w:p>
    <w:p w14:paraId="1F155D3E" w14:textId="4C5DBF4A"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Supply Chain Diversification</w:t>
      </w:r>
      <w:r w:rsidRPr="00AA7C3C">
        <w:rPr>
          <w:rFonts w:ascii="Times New Roman" w:eastAsia="Times New Roman" w:hAnsi="Times New Roman" w:cs="Times New Roman"/>
          <w:kern w:val="0"/>
          <w:lang w:eastAsia="en-GB"/>
          <w14:ligatures w14:val="none"/>
        </w:rPr>
        <w:t xml:space="preserve">: Diversifying the supply base provides automotive manufacturers with increased leverage and resilience against potential disruptions. This can be accomplished by identifying and qualifying additional suppliers for critical components, thereby reducing dependency on any </w:t>
      </w:r>
      <w:r w:rsidR="008F0876" w:rsidRPr="00AA7C3C">
        <w:rPr>
          <w:rFonts w:ascii="Times New Roman" w:eastAsia="Times New Roman" w:hAnsi="Times New Roman" w:cs="Times New Roman"/>
          <w:kern w:val="0"/>
          <w:lang w:eastAsia="en-GB"/>
          <w14:ligatures w14:val="none"/>
        </w:rPr>
        <w:t>sole source</w:t>
      </w:r>
      <w:r w:rsidRPr="00AA7C3C">
        <w:rPr>
          <w:rFonts w:ascii="Times New Roman" w:eastAsia="Times New Roman" w:hAnsi="Times New Roman" w:cs="Times New Roman"/>
          <w:kern w:val="0"/>
          <w:lang w:eastAsia="en-GB"/>
          <w14:ligatures w14:val="none"/>
        </w:rPr>
        <w:t>. Manufacturers must also design a strategic procurement strategy that includes dual sourcing, allowing them to switch suppliers rapidly should issues arise with one. Establishing relationships with regionally diverse suppliers can help mitigate risks associated with local disruptions, such as natural disasters or economic downturns, ensuring that production can continue uninterrupted.</w:t>
      </w:r>
    </w:p>
    <w:p w14:paraId="11A6C68E" w14:textId="3A41E81E"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Integration of Technology</w:t>
      </w:r>
      <w:r w:rsidRPr="00AA7C3C">
        <w:rPr>
          <w:rFonts w:ascii="Times New Roman" w:eastAsia="Times New Roman" w:hAnsi="Times New Roman" w:cs="Times New Roman"/>
          <w:kern w:val="0"/>
          <w:lang w:eastAsia="en-GB"/>
          <w14:ligatures w14:val="none"/>
        </w:rPr>
        <w:t xml:space="preserve">: The application of cutting-edge technology is crucial for enhancing risk management strategies in the automotive brake systems supply chain. Deploying Internet of Things (IoT) devices enables real-time monitoring of </w:t>
      </w:r>
      <w:r w:rsidRPr="00AA7C3C">
        <w:rPr>
          <w:rFonts w:ascii="Times New Roman" w:eastAsia="Times New Roman" w:hAnsi="Times New Roman" w:cs="Times New Roman"/>
          <w:kern w:val="0"/>
          <w:lang w:eastAsia="en-GB"/>
          <w14:ligatures w14:val="none"/>
        </w:rPr>
        <w:lastRenderedPageBreak/>
        <w:t>component performance and enhances feedback mechanisms across the supply chain. Predictive analytics can utili</w:t>
      </w:r>
      <w:r w:rsidR="006C71EF">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 xml:space="preserve">e machine learning algorithms to </w:t>
      </w:r>
      <w:r w:rsidR="00866205" w:rsidRPr="00AA7C3C">
        <w:rPr>
          <w:rFonts w:ascii="Times New Roman" w:eastAsia="Times New Roman" w:hAnsi="Times New Roman" w:cs="Times New Roman"/>
          <w:kern w:val="0"/>
          <w:lang w:eastAsia="en-GB"/>
          <w14:ligatures w14:val="none"/>
        </w:rPr>
        <w:t>analyse</w:t>
      </w:r>
      <w:r w:rsidRPr="00AA7C3C">
        <w:rPr>
          <w:rFonts w:ascii="Times New Roman" w:eastAsia="Times New Roman" w:hAnsi="Times New Roman" w:cs="Times New Roman"/>
          <w:kern w:val="0"/>
          <w:lang w:eastAsia="en-GB"/>
          <w14:ligatures w14:val="none"/>
        </w:rPr>
        <w:t xml:space="preserve"> historical performance data, providing actionable insights that can anticipate potential failures and guide timely interventions. Additionally, utili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advanced simulation tools allows manufacturers to experiment with different braking scenarios to ascertain performance metrics under various conditions, enhancing predictive maintenance capabilities.</w:t>
      </w:r>
    </w:p>
    <w:p w14:paraId="461BDD73" w14:textId="3A4DE3AE"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Regulatory Compliance Management</w:t>
      </w:r>
      <w:r w:rsidRPr="00AA7C3C">
        <w:rPr>
          <w:rFonts w:ascii="Times New Roman" w:eastAsia="Times New Roman" w:hAnsi="Times New Roman" w:cs="Times New Roman"/>
          <w:kern w:val="0"/>
          <w:lang w:eastAsia="en-GB"/>
          <w14:ligatures w14:val="none"/>
        </w:rPr>
        <w:t>: Regulatory compliance is essential in the automotive industry, especially concerning safety and environmental standards. Establishing a compliance framework that incorporates continuous monitoring and regular internal audits is vital for ensuring adherence to ever-evolving regulations. Also, manufacturers should maintain transparent communication with regulatory bodies to receive real-time updates on any changes. Building an internal compliance team qualified to oversee regulatory requirements and provide training to all employees on compliance matters is also critical. Emphasi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a culture of compliance throughout the organi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ation ensures that all staff understands the importance of adhering to safety and regulatory standards.</w:t>
      </w:r>
    </w:p>
    <w:p w14:paraId="360B5088" w14:textId="63F3FA55"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Investment in Cybersecurity</w:t>
      </w:r>
      <w:r w:rsidRPr="00AA7C3C">
        <w:rPr>
          <w:rFonts w:ascii="Times New Roman" w:eastAsia="Times New Roman" w:hAnsi="Times New Roman" w:cs="Times New Roman"/>
          <w:kern w:val="0"/>
          <w:lang w:eastAsia="en-GB"/>
          <w14:ligatures w14:val="none"/>
        </w:rPr>
        <w:t>: With the integration of advanced electronic systems and connectivity in vehicles, cybersecurity issues have become paramount. To safeguard against cyberattacks and vulnerabilities, automotive manufacturers must invest heavily in cybersecurity measures. This includes implementing robust encryption protocols for data transmission, utili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firewalls, and regular security assessments of electronic systems and software. Creating an incident response team equipped for fast reaction to potential cybersecurity threats, regular staff training on cybersecurity awareness, and collaborating with external cybersecurity experts to conduct vulnerability assessments are strategies that can enhance the overall security posture of automotive brake systems.</w:t>
      </w:r>
    </w:p>
    <w:p w14:paraId="6B1D3D62" w14:textId="6AA2B9E9" w:rsidR="00AA7C3C" w:rsidRPr="00AA7C3C" w:rsidRDefault="00AA7C3C" w:rsidP="00AA7C3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b/>
          <w:bCs/>
          <w:kern w:val="0"/>
          <w:lang w:eastAsia="en-GB"/>
          <w14:ligatures w14:val="none"/>
        </w:rPr>
        <w:t>Enhanced Logistics Coordination</w:t>
      </w:r>
      <w:r w:rsidRPr="00AA7C3C">
        <w:rPr>
          <w:rFonts w:ascii="Times New Roman" w:eastAsia="Times New Roman" w:hAnsi="Times New Roman" w:cs="Times New Roman"/>
          <w:kern w:val="0"/>
          <w:lang w:eastAsia="en-GB"/>
          <w14:ligatures w14:val="none"/>
        </w:rPr>
        <w:t xml:space="preserve">: Advanced </w:t>
      </w:r>
      <w:r w:rsidR="00C26055" w:rsidRPr="00AA7C3C">
        <w:rPr>
          <w:rFonts w:ascii="Times New Roman" w:eastAsia="Times New Roman" w:hAnsi="Times New Roman" w:cs="Times New Roman"/>
          <w:kern w:val="0"/>
          <w:lang w:eastAsia="en-GB"/>
          <w14:ligatures w14:val="none"/>
        </w:rPr>
        <w:t>coordination</w:t>
      </w:r>
      <w:r w:rsidRPr="00AA7C3C">
        <w:rPr>
          <w:rFonts w:ascii="Times New Roman" w:eastAsia="Times New Roman" w:hAnsi="Times New Roman" w:cs="Times New Roman"/>
          <w:kern w:val="0"/>
          <w:lang w:eastAsia="en-GB"/>
          <w14:ligatures w14:val="none"/>
        </w:rPr>
        <w:t xml:space="preserve"> management is essential for reducing delays and improving the overall efficiency of supply chain operations involving automotive brake systems. Implementing real-time tracking and inventory management systems can ensure that manufacturers have up-to-date visibility of their stock levels and supply chain performance. Developing strong partnerships with logistics providers can enable automotive manufacturers to leverage shared resources and expertise to improve delivery performance. Furthermore, utili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predictive analytics to forecast potential disruptions in the supply chain will allow for quicker strategic adjustments to minimi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e risks.</w:t>
      </w:r>
    </w:p>
    <w:p w14:paraId="2F99B50A" w14:textId="77777777" w:rsidR="008F0876" w:rsidRDefault="008F0876"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60C436D" w14:textId="77777777" w:rsidR="008F0876" w:rsidRDefault="008F0876"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A779B90" w14:textId="77777777" w:rsidR="008F0876" w:rsidRDefault="008F0876"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A019837" w14:textId="77777777" w:rsidR="008F0876" w:rsidRDefault="008F0876"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5E9E281" w14:textId="77777777" w:rsidR="008F0876" w:rsidRDefault="008F0876"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C8B97C" w14:textId="51E2D3F3" w:rsidR="00AA7C3C" w:rsidRPr="00AA7C3C" w:rsidRDefault="00AA7C3C" w:rsidP="00AA7C3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AA7C3C">
        <w:rPr>
          <w:rFonts w:ascii="Times New Roman" w:eastAsia="Times New Roman" w:hAnsi="Times New Roman" w:cs="Times New Roman"/>
          <w:b/>
          <w:bCs/>
          <w:kern w:val="0"/>
          <w:sz w:val="36"/>
          <w:szCs w:val="36"/>
          <w:lang w:eastAsia="en-GB"/>
          <w14:ligatures w14:val="none"/>
        </w:rPr>
        <w:lastRenderedPageBreak/>
        <w:t>Conclusions and Suggestions for Further Work/Research</w:t>
      </w:r>
    </w:p>
    <w:p w14:paraId="3E809EA4" w14:textId="77777777"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In conclusion, the FMEA analysis of the automotive brake systems supply chain has identified critical vulnerabilities that necessitate meticulous attention. The data reveals that component quality, supply disruptions, regulatory compliance, inadequate testing, cybersecurity vulnerabilities, and logistical delays are pressing challenges that automotive manufacturers must address to maintain safety and reliability.</w:t>
      </w:r>
    </w:p>
    <w:p w14:paraId="6752D630" w14:textId="1A6143A1"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 xml:space="preserve">Employing </w:t>
      </w:r>
      <w:r w:rsidR="006C71EF" w:rsidRPr="00AA7C3C">
        <w:rPr>
          <w:rFonts w:ascii="Times New Roman" w:eastAsia="Times New Roman" w:hAnsi="Times New Roman" w:cs="Times New Roman"/>
          <w:kern w:val="0"/>
          <w:lang w:eastAsia="en-GB"/>
          <w14:ligatures w14:val="none"/>
        </w:rPr>
        <w:t>an initiative-taking</w:t>
      </w:r>
      <w:r w:rsidRPr="00AA7C3C">
        <w:rPr>
          <w:rFonts w:ascii="Times New Roman" w:eastAsia="Times New Roman" w:hAnsi="Times New Roman" w:cs="Times New Roman"/>
          <w:kern w:val="0"/>
          <w:lang w:eastAsia="en-GB"/>
          <w14:ligatures w14:val="none"/>
        </w:rPr>
        <w:t xml:space="preserve"> risk management strategy based on the FMEA framework enables automotive stakeholders to prioriti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e their interventions effectively. By investing in component quality enhancement, diversifying the supply chain, integrating technology, managing regulatory compliance, strengthening cybersecurity, and improving logistical coordination, manufacturers can significantly bolster the resilience of their brake systems supply chains.</w:t>
      </w:r>
    </w:p>
    <w:p w14:paraId="6FEFDCC1" w14:textId="71B8EBE4" w:rsidR="00AA7C3C" w:rsidRPr="00AA7C3C"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Future research should focus on the integration of emerging technologies such as Artificial Intelligence (AI) and Machine Learning (ML) in automating risk management processes, particularly in predictive maintenance for brake systems. Additionally, studies examining the impacts of environmental sustainability practices on the brake systems supply chain could provide valuable insights into developing greener alternatives and minimi</w:t>
      </w:r>
      <w:r w:rsidR="00503DEE">
        <w:rPr>
          <w:rFonts w:ascii="Times New Roman" w:eastAsia="Times New Roman" w:hAnsi="Times New Roman" w:cs="Times New Roman"/>
          <w:kern w:val="0"/>
          <w:lang w:eastAsia="en-GB"/>
          <w14:ligatures w14:val="none"/>
        </w:rPr>
        <w:t>s</w:t>
      </w:r>
      <w:r w:rsidRPr="00AA7C3C">
        <w:rPr>
          <w:rFonts w:ascii="Times New Roman" w:eastAsia="Times New Roman" w:hAnsi="Times New Roman" w:cs="Times New Roman"/>
          <w:kern w:val="0"/>
          <w:lang w:eastAsia="en-GB"/>
          <w14:ligatures w14:val="none"/>
        </w:rPr>
        <w:t>ing ecological footprints.</w:t>
      </w:r>
    </w:p>
    <w:p w14:paraId="5300FBD9" w14:textId="2102D64E" w:rsidR="0060667F" w:rsidRDefault="00AA7C3C"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AA7C3C">
        <w:rPr>
          <w:rFonts w:ascii="Times New Roman" w:eastAsia="Times New Roman" w:hAnsi="Times New Roman" w:cs="Times New Roman"/>
          <w:kern w:val="0"/>
          <w:lang w:eastAsia="en-GB"/>
          <w14:ligatures w14:val="none"/>
        </w:rPr>
        <w:t>As the automotive landscape transitions toward electrification and increased automation, understanding the inherent risks associated with these advancements will be essential for maintaining the integrity and reliability of brake systems, which remain critical to automotive safety.</w:t>
      </w:r>
    </w:p>
    <w:p w14:paraId="29330BA9"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BBB9AAC"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019EC4"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FD293B2"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E0FC565"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6300473"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4D4BB38"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8544764"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1E99C07"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A434727" w14:textId="77777777" w:rsidR="001D224A"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4627F07" w14:textId="77777777" w:rsidR="008F0876" w:rsidRDefault="008F0876"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A561D71"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b/>
          <w:bCs/>
          <w:kern w:val="0"/>
          <w:u w:val="single"/>
          <w:lang w:eastAsia="en-GB"/>
          <w14:ligatures w14:val="none"/>
        </w:rPr>
      </w:pPr>
      <w:r w:rsidRPr="001D224A">
        <w:rPr>
          <w:rFonts w:ascii="Times New Roman" w:eastAsia="Times New Roman" w:hAnsi="Times New Roman" w:cs="Times New Roman"/>
          <w:b/>
          <w:bCs/>
          <w:kern w:val="0"/>
          <w:u w:val="single"/>
          <w:lang w:eastAsia="en-GB"/>
          <w14:ligatures w14:val="none"/>
        </w:rPr>
        <w:lastRenderedPageBreak/>
        <w:t>Reference list</w:t>
      </w:r>
    </w:p>
    <w:p w14:paraId="04B45ACF"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Adji, B.M., Bambang </w:t>
      </w:r>
      <w:proofErr w:type="spellStart"/>
      <w:r w:rsidRPr="001D224A">
        <w:rPr>
          <w:rFonts w:ascii="Times New Roman" w:eastAsia="Times New Roman" w:hAnsi="Times New Roman" w:cs="Times New Roman"/>
          <w:kern w:val="0"/>
          <w:lang w:eastAsia="en-GB"/>
          <w14:ligatures w14:val="none"/>
        </w:rPr>
        <w:t>Istijono</w:t>
      </w:r>
      <w:proofErr w:type="spellEnd"/>
      <w:r w:rsidRPr="001D224A">
        <w:rPr>
          <w:rFonts w:ascii="Times New Roman" w:eastAsia="Times New Roman" w:hAnsi="Times New Roman" w:cs="Times New Roman"/>
          <w:kern w:val="0"/>
          <w:lang w:eastAsia="en-GB"/>
          <w14:ligatures w14:val="none"/>
        </w:rPr>
        <w:t xml:space="preserve">, </w:t>
      </w:r>
      <w:proofErr w:type="spellStart"/>
      <w:r w:rsidRPr="001D224A">
        <w:rPr>
          <w:rFonts w:ascii="Times New Roman" w:eastAsia="Times New Roman" w:hAnsi="Times New Roman" w:cs="Times New Roman"/>
          <w:kern w:val="0"/>
          <w:lang w:eastAsia="en-GB"/>
          <w14:ligatures w14:val="none"/>
        </w:rPr>
        <w:t>Muhazir</w:t>
      </w:r>
      <w:proofErr w:type="spellEnd"/>
      <w:r w:rsidRPr="001D224A">
        <w:rPr>
          <w:rFonts w:ascii="Times New Roman" w:eastAsia="Times New Roman" w:hAnsi="Times New Roman" w:cs="Times New Roman"/>
          <w:kern w:val="0"/>
          <w:lang w:eastAsia="en-GB"/>
          <w14:ligatures w14:val="none"/>
        </w:rPr>
        <w:t xml:space="preserve"> Rahendra, Suhana </w:t>
      </w:r>
      <w:proofErr w:type="spellStart"/>
      <w:r w:rsidRPr="001D224A">
        <w:rPr>
          <w:rFonts w:ascii="Times New Roman" w:eastAsia="Times New Roman" w:hAnsi="Times New Roman" w:cs="Times New Roman"/>
          <w:kern w:val="0"/>
          <w:lang w:eastAsia="en-GB"/>
          <w14:ligatures w14:val="none"/>
        </w:rPr>
        <w:t>Koting</w:t>
      </w:r>
      <w:proofErr w:type="spellEnd"/>
      <w:r w:rsidRPr="001D224A">
        <w:rPr>
          <w:rFonts w:ascii="Times New Roman" w:eastAsia="Times New Roman" w:hAnsi="Times New Roman" w:cs="Times New Roman"/>
          <w:kern w:val="0"/>
          <w:lang w:eastAsia="en-GB"/>
          <w14:ligatures w14:val="none"/>
        </w:rPr>
        <w:t xml:space="preserve">, Hakam, A., </w:t>
      </w:r>
      <w:proofErr w:type="spellStart"/>
      <w:r w:rsidRPr="001D224A">
        <w:rPr>
          <w:rFonts w:ascii="Times New Roman" w:eastAsia="Times New Roman" w:hAnsi="Times New Roman" w:cs="Times New Roman"/>
          <w:kern w:val="0"/>
          <w:lang w:eastAsia="en-GB"/>
          <w14:ligatures w14:val="none"/>
        </w:rPr>
        <w:t>Taufika</w:t>
      </w:r>
      <w:proofErr w:type="spellEnd"/>
      <w:r w:rsidRPr="001D224A">
        <w:rPr>
          <w:rFonts w:ascii="Times New Roman" w:eastAsia="Times New Roman" w:hAnsi="Times New Roman" w:cs="Times New Roman"/>
          <w:kern w:val="0"/>
          <w:lang w:eastAsia="en-GB"/>
          <w14:ligatures w14:val="none"/>
        </w:rPr>
        <w:t xml:space="preserve"> </w:t>
      </w:r>
      <w:proofErr w:type="spellStart"/>
      <w:r w:rsidRPr="001D224A">
        <w:rPr>
          <w:rFonts w:ascii="Times New Roman" w:eastAsia="Times New Roman" w:hAnsi="Times New Roman" w:cs="Times New Roman"/>
          <w:kern w:val="0"/>
          <w:lang w:eastAsia="en-GB"/>
          <w14:ligatures w14:val="none"/>
        </w:rPr>
        <w:t>Ophiyandri</w:t>
      </w:r>
      <w:proofErr w:type="spellEnd"/>
      <w:r w:rsidRPr="001D224A">
        <w:rPr>
          <w:rFonts w:ascii="Times New Roman" w:eastAsia="Times New Roman" w:hAnsi="Times New Roman" w:cs="Times New Roman"/>
          <w:kern w:val="0"/>
          <w:lang w:eastAsia="en-GB"/>
          <w14:ligatures w14:val="none"/>
        </w:rPr>
        <w:t xml:space="preserve">, </w:t>
      </w:r>
      <w:proofErr w:type="spellStart"/>
      <w:r w:rsidRPr="001D224A">
        <w:rPr>
          <w:rFonts w:ascii="Times New Roman" w:eastAsia="Times New Roman" w:hAnsi="Times New Roman" w:cs="Times New Roman"/>
          <w:kern w:val="0"/>
          <w:lang w:eastAsia="en-GB"/>
          <w14:ligatures w14:val="none"/>
        </w:rPr>
        <w:t>Masrilayanti</w:t>
      </w:r>
      <w:proofErr w:type="spellEnd"/>
      <w:r w:rsidRPr="001D224A">
        <w:rPr>
          <w:rFonts w:ascii="Times New Roman" w:eastAsia="Times New Roman" w:hAnsi="Times New Roman" w:cs="Times New Roman"/>
          <w:kern w:val="0"/>
          <w:lang w:eastAsia="en-GB"/>
          <w14:ligatures w14:val="none"/>
        </w:rPr>
        <w:t xml:space="preserve"> </w:t>
      </w:r>
      <w:proofErr w:type="spellStart"/>
      <w:r w:rsidRPr="001D224A">
        <w:rPr>
          <w:rFonts w:ascii="Times New Roman" w:eastAsia="Times New Roman" w:hAnsi="Times New Roman" w:cs="Times New Roman"/>
          <w:kern w:val="0"/>
          <w:lang w:eastAsia="en-GB"/>
          <w14:ligatures w14:val="none"/>
        </w:rPr>
        <w:t>Masrilayanti</w:t>
      </w:r>
      <w:proofErr w:type="spellEnd"/>
      <w:r w:rsidRPr="001D224A">
        <w:rPr>
          <w:rFonts w:ascii="Times New Roman" w:eastAsia="Times New Roman" w:hAnsi="Times New Roman" w:cs="Times New Roman"/>
          <w:kern w:val="0"/>
          <w:lang w:eastAsia="en-GB"/>
          <w14:ligatures w14:val="none"/>
        </w:rPr>
        <w:t xml:space="preserve"> and Rezko </w:t>
      </w:r>
      <w:proofErr w:type="spellStart"/>
      <w:r w:rsidRPr="001D224A">
        <w:rPr>
          <w:rFonts w:ascii="Times New Roman" w:eastAsia="Times New Roman" w:hAnsi="Times New Roman" w:cs="Times New Roman"/>
          <w:kern w:val="0"/>
          <w:lang w:eastAsia="en-GB"/>
          <w14:ligatures w14:val="none"/>
        </w:rPr>
        <w:t>Yunanda</w:t>
      </w:r>
      <w:proofErr w:type="spellEnd"/>
      <w:r w:rsidRPr="001D224A">
        <w:rPr>
          <w:rFonts w:ascii="Times New Roman" w:eastAsia="Times New Roman" w:hAnsi="Times New Roman" w:cs="Times New Roman"/>
          <w:kern w:val="0"/>
          <w:lang w:eastAsia="en-GB"/>
          <w14:ligatures w14:val="none"/>
        </w:rPr>
        <w:t xml:space="preserve"> (2025). Failure risk in post-earthquake evacuation and logistics in Padang City. </w:t>
      </w:r>
      <w:r w:rsidRPr="001D224A">
        <w:rPr>
          <w:rFonts w:ascii="Times New Roman" w:eastAsia="Times New Roman" w:hAnsi="Times New Roman" w:cs="Times New Roman"/>
          <w:i/>
          <w:iCs/>
          <w:kern w:val="0"/>
          <w:lang w:eastAsia="en-GB"/>
          <w14:ligatures w14:val="none"/>
        </w:rPr>
        <w:t>PubMed</w:t>
      </w:r>
      <w:r w:rsidRPr="001D224A">
        <w:rPr>
          <w:rFonts w:ascii="Times New Roman" w:eastAsia="Times New Roman" w:hAnsi="Times New Roman" w:cs="Times New Roman"/>
          <w:kern w:val="0"/>
          <w:lang w:eastAsia="en-GB"/>
          <w14:ligatures w14:val="none"/>
        </w:rPr>
        <w:t xml:space="preserve">, [online] 17(1), pp.1773–1773.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://doi.org/10.4102/jamba.v17i1.1773.</w:t>
      </w:r>
    </w:p>
    <w:p w14:paraId="160C7A1D"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Alvarenga, M.Z., Oliveira, M.P.V. de and Oliveira, T.A.G.F. de (2023). The impact of using digital technologies on supply chain resilience and robustness: the role of memory under the covid-19 outbreak. </w:t>
      </w:r>
      <w:r w:rsidRPr="001D224A">
        <w:rPr>
          <w:rFonts w:ascii="Times New Roman" w:eastAsia="Times New Roman" w:hAnsi="Times New Roman" w:cs="Times New Roman"/>
          <w:i/>
          <w:iCs/>
          <w:kern w:val="0"/>
          <w:lang w:eastAsia="en-GB"/>
          <w14:ligatures w14:val="none"/>
        </w:rPr>
        <w:t>Supply Chain Management: An International Journal</w:t>
      </w:r>
      <w:r w:rsidRPr="001D224A">
        <w:rPr>
          <w:rFonts w:ascii="Times New Roman" w:eastAsia="Times New Roman" w:hAnsi="Times New Roman" w:cs="Times New Roman"/>
          <w:kern w:val="0"/>
          <w:lang w:eastAsia="en-GB"/>
          <w14:ligatures w14:val="none"/>
        </w:rPr>
        <w:t xml:space="preserve">, 28(5).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://doi.org/10.1108/scm-06-2022-0217.</w:t>
      </w:r>
    </w:p>
    <w:p w14:paraId="77B565E0"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Buriak, A., </w:t>
      </w:r>
      <w:proofErr w:type="spellStart"/>
      <w:r w:rsidRPr="001D224A">
        <w:rPr>
          <w:rFonts w:ascii="Times New Roman" w:eastAsia="Times New Roman" w:hAnsi="Times New Roman" w:cs="Times New Roman"/>
          <w:kern w:val="0"/>
          <w:lang w:eastAsia="en-GB"/>
          <w14:ligatures w14:val="none"/>
        </w:rPr>
        <w:t>Maslii</w:t>
      </w:r>
      <w:proofErr w:type="spellEnd"/>
      <w:r w:rsidRPr="001D224A">
        <w:rPr>
          <w:rFonts w:ascii="Times New Roman" w:eastAsia="Times New Roman" w:hAnsi="Times New Roman" w:cs="Times New Roman"/>
          <w:kern w:val="0"/>
          <w:lang w:eastAsia="en-GB"/>
          <w14:ligatures w14:val="none"/>
        </w:rPr>
        <w:t xml:space="preserve">, O. and </w:t>
      </w:r>
      <w:proofErr w:type="spellStart"/>
      <w:r w:rsidRPr="001D224A">
        <w:rPr>
          <w:rFonts w:ascii="Times New Roman" w:eastAsia="Times New Roman" w:hAnsi="Times New Roman" w:cs="Times New Roman"/>
          <w:kern w:val="0"/>
          <w:lang w:eastAsia="en-GB"/>
          <w14:ligatures w14:val="none"/>
        </w:rPr>
        <w:t>Kudinova</w:t>
      </w:r>
      <w:proofErr w:type="spellEnd"/>
      <w:r w:rsidRPr="001D224A">
        <w:rPr>
          <w:rFonts w:ascii="Times New Roman" w:eastAsia="Times New Roman" w:hAnsi="Times New Roman" w:cs="Times New Roman"/>
          <w:kern w:val="0"/>
          <w:lang w:eastAsia="en-GB"/>
          <w14:ligatures w14:val="none"/>
        </w:rPr>
        <w:t xml:space="preserve">, A. (2024). IDENTIFICATION OF TRIGGER POINTS IN THE IMPACT OF INFORMATION SECURITY ON ECONOMIC STABILITY UNDER CONDITIONS OF INTERNATIONAL INSTABILITY. </w:t>
      </w:r>
      <w:r w:rsidRPr="001D224A">
        <w:rPr>
          <w:rFonts w:ascii="Times New Roman" w:eastAsia="Times New Roman" w:hAnsi="Times New Roman" w:cs="Times New Roman"/>
          <w:i/>
          <w:iCs/>
          <w:kern w:val="0"/>
          <w:lang w:eastAsia="en-GB"/>
          <w14:ligatures w14:val="none"/>
        </w:rPr>
        <w:t>International Humanitarian University Herald. Economics and Management</w:t>
      </w:r>
      <w:r w:rsidRPr="001D224A">
        <w:rPr>
          <w:rFonts w:ascii="Times New Roman" w:eastAsia="Times New Roman" w:hAnsi="Times New Roman" w:cs="Times New Roman"/>
          <w:kern w:val="0"/>
          <w:lang w:eastAsia="en-GB"/>
          <w14:ligatures w14:val="none"/>
        </w:rPr>
        <w:t xml:space="preserve">, (61).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://doi.org/10.32782/2413-2675/2024-61-5.</w:t>
      </w:r>
    </w:p>
    <w:p w14:paraId="05123D30"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Gary Teng, S., Ho, S.M., Shumar, D. and Liu, P.C. (2006). Implementing FMEA in a collaborative supply chain environment. </w:t>
      </w:r>
      <w:r w:rsidRPr="001D224A">
        <w:rPr>
          <w:rFonts w:ascii="Times New Roman" w:eastAsia="Times New Roman" w:hAnsi="Times New Roman" w:cs="Times New Roman"/>
          <w:i/>
          <w:iCs/>
          <w:kern w:val="0"/>
          <w:lang w:eastAsia="en-GB"/>
          <w14:ligatures w14:val="none"/>
        </w:rPr>
        <w:t>International Journal of Quality &amp; Reliability Management</w:t>
      </w:r>
      <w:r w:rsidRPr="001D224A">
        <w:rPr>
          <w:rFonts w:ascii="Times New Roman" w:eastAsia="Times New Roman" w:hAnsi="Times New Roman" w:cs="Times New Roman"/>
          <w:kern w:val="0"/>
          <w:lang w:eastAsia="en-GB"/>
          <w14:ligatures w14:val="none"/>
        </w:rPr>
        <w:t xml:space="preserve">, 23(2), pp.179–196.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://doi.org/10.1108/02656710610640943.</w:t>
      </w:r>
    </w:p>
    <w:p w14:paraId="27C202D3"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Ghadge, A., Dani, S., Chester, M. and Kalawsky, R. (2013). A systems approach for modelling supply chain risks. </w:t>
      </w:r>
      <w:r w:rsidRPr="001D224A">
        <w:rPr>
          <w:rFonts w:ascii="Times New Roman" w:eastAsia="Times New Roman" w:hAnsi="Times New Roman" w:cs="Times New Roman"/>
          <w:i/>
          <w:iCs/>
          <w:kern w:val="0"/>
          <w:lang w:eastAsia="en-GB"/>
          <w14:ligatures w14:val="none"/>
        </w:rPr>
        <w:t>Supply Chain Management: An International Journal</w:t>
      </w:r>
      <w:r w:rsidRPr="001D224A">
        <w:rPr>
          <w:rFonts w:ascii="Times New Roman" w:eastAsia="Times New Roman" w:hAnsi="Times New Roman" w:cs="Times New Roman"/>
          <w:kern w:val="0"/>
          <w:lang w:eastAsia="en-GB"/>
          <w14:ligatures w14:val="none"/>
        </w:rPr>
        <w:t xml:space="preserve">, 18(5), pp.523–538.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://doi.org/10.1108/scm-11-2012-0366.</w:t>
      </w:r>
    </w:p>
    <w:p w14:paraId="58F32ED2"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Henni </w:t>
      </w:r>
      <w:proofErr w:type="spellStart"/>
      <w:r w:rsidRPr="001D224A">
        <w:rPr>
          <w:rFonts w:ascii="Times New Roman" w:eastAsia="Times New Roman" w:hAnsi="Times New Roman" w:cs="Times New Roman"/>
          <w:kern w:val="0"/>
          <w:lang w:eastAsia="en-GB"/>
          <w14:ligatures w14:val="none"/>
        </w:rPr>
        <w:t>Henni</w:t>
      </w:r>
      <w:proofErr w:type="spellEnd"/>
      <w:r w:rsidRPr="001D224A">
        <w:rPr>
          <w:rFonts w:ascii="Times New Roman" w:eastAsia="Times New Roman" w:hAnsi="Times New Roman" w:cs="Times New Roman"/>
          <w:kern w:val="0"/>
          <w:lang w:eastAsia="en-GB"/>
          <w14:ligatures w14:val="none"/>
        </w:rPr>
        <w:t xml:space="preserve">, Diah Pramestari, Dwi Dinariana, </w:t>
      </w:r>
      <w:proofErr w:type="spellStart"/>
      <w:r w:rsidRPr="001D224A">
        <w:rPr>
          <w:rFonts w:ascii="Times New Roman" w:eastAsia="Times New Roman" w:hAnsi="Times New Roman" w:cs="Times New Roman"/>
          <w:kern w:val="0"/>
          <w:lang w:eastAsia="en-GB"/>
          <w14:ligatures w14:val="none"/>
        </w:rPr>
        <w:t>Fitri</w:t>
      </w:r>
      <w:proofErr w:type="spellEnd"/>
      <w:r w:rsidRPr="001D224A">
        <w:rPr>
          <w:rFonts w:ascii="Times New Roman" w:eastAsia="Times New Roman" w:hAnsi="Times New Roman" w:cs="Times New Roman"/>
          <w:kern w:val="0"/>
          <w:lang w:eastAsia="en-GB"/>
          <w14:ligatures w14:val="none"/>
        </w:rPr>
        <w:t xml:space="preserve"> Suryani, Siti Sujatini and Al Ikbal Arby (2024). Development of Supply Chain Risk Mitigation to Develop an Effective Strategy for Small and Medium Enterprises. </w:t>
      </w:r>
      <w:r w:rsidRPr="001D224A">
        <w:rPr>
          <w:rFonts w:ascii="Times New Roman" w:eastAsia="Times New Roman" w:hAnsi="Times New Roman" w:cs="Times New Roman"/>
          <w:i/>
          <w:iCs/>
          <w:kern w:val="0"/>
          <w:lang w:eastAsia="en-GB"/>
          <w14:ligatures w14:val="none"/>
        </w:rPr>
        <w:t>Logistic and Operation Management Research</w:t>
      </w:r>
      <w:r w:rsidRPr="001D224A">
        <w:rPr>
          <w:rFonts w:ascii="Times New Roman" w:eastAsia="Times New Roman" w:hAnsi="Times New Roman" w:cs="Times New Roman"/>
          <w:kern w:val="0"/>
          <w:lang w:eastAsia="en-GB"/>
          <w14:ligatures w14:val="none"/>
        </w:rPr>
        <w:t xml:space="preserve">, 3(1), pp.17–27.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://doi.org/10.31098/lomr.v3i1.1553.</w:t>
      </w:r>
    </w:p>
    <w:p w14:paraId="045803C9"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Kiani Mavi, R., Kiani Mavi, N., Olaru, D., Biermann, S. and Chi, S. (2022). Innovations in Freight transport: A systematic Literature Evaluation and COVID Implications. </w:t>
      </w:r>
      <w:r w:rsidRPr="001D224A">
        <w:rPr>
          <w:rFonts w:ascii="Times New Roman" w:eastAsia="Times New Roman" w:hAnsi="Times New Roman" w:cs="Times New Roman"/>
          <w:i/>
          <w:iCs/>
          <w:kern w:val="0"/>
          <w:lang w:eastAsia="en-GB"/>
          <w14:ligatures w14:val="none"/>
        </w:rPr>
        <w:t>The International Journal of Logistics Management</w:t>
      </w:r>
      <w:r w:rsidRPr="001D224A">
        <w:rPr>
          <w:rFonts w:ascii="Times New Roman" w:eastAsia="Times New Roman" w:hAnsi="Times New Roman" w:cs="Times New Roman"/>
          <w:kern w:val="0"/>
          <w:lang w:eastAsia="en-GB"/>
          <w14:ligatures w14:val="none"/>
        </w:rPr>
        <w:t xml:space="preserve">, 33(4).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://doi.org/10.1108/ijlm-07-2021-0360.</w:t>
      </w:r>
    </w:p>
    <w:p w14:paraId="3F95F329"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Kravchenko, K., Gruchmann, T., Ivanova, M. and Ivanov, D. (2024). Responding to the ripple effect from systemic disruptions: empirical evidence from the semiconductor shortage during COVID-19. </w:t>
      </w:r>
      <w:r w:rsidRPr="001D224A">
        <w:rPr>
          <w:rFonts w:ascii="Times New Roman" w:eastAsia="Times New Roman" w:hAnsi="Times New Roman" w:cs="Times New Roman"/>
          <w:i/>
          <w:iCs/>
          <w:kern w:val="0"/>
          <w:lang w:eastAsia="en-GB"/>
          <w14:ligatures w14:val="none"/>
        </w:rPr>
        <w:t>Modern Supply Chain Research and Applications</w:t>
      </w:r>
      <w:r w:rsidRPr="001D224A">
        <w:rPr>
          <w:rFonts w:ascii="Times New Roman" w:eastAsia="Times New Roman" w:hAnsi="Times New Roman" w:cs="Times New Roman"/>
          <w:kern w:val="0"/>
          <w:lang w:eastAsia="en-GB"/>
          <w14:ligatures w14:val="none"/>
        </w:rPr>
        <w:t xml:space="preserve">, 6(4), pp.354–375.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://doi.org/10.1108/mscra-03-2024-0011.</w:t>
      </w:r>
    </w:p>
    <w:p w14:paraId="769E4E1F"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Lee, C.K.M., Ching Yeung, Y. and Hong, Z. (2012). An integrated framework for outsourcing risk management. </w:t>
      </w:r>
      <w:r w:rsidRPr="001D224A">
        <w:rPr>
          <w:rFonts w:ascii="Times New Roman" w:eastAsia="Times New Roman" w:hAnsi="Times New Roman" w:cs="Times New Roman"/>
          <w:i/>
          <w:iCs/>
          <w:kern w:val="0"/>
          <w:lang w:eastAsia="en-GB"/>
          <w14:ligatures w14:val="none"/>
        </w:rPr>
        <w:t>Industrial Management &amp; Data Systems</w:t>
      </w:r>
      <w:r w:rsidRPr="001D224A">
        <w:rPr>
          <w:rFonts w:ascii="Times New Roman" w:eastAsia="Times New Roman" w:hAnsi="Times New Roman" w:cs="Times New Roman"/>
          <w:kern w:val="0"/>
          <w:lang w:eastAsia="en-GB"/>
          <w14:ligatures w14:val="none"/>
        </w:rPr>
        <w:t xml:space="preserve">, 112(4), pp.541–558.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://doi.org/10.1108/02635571211225477.</w:t>
      </w:r>
    </w:p>
    <w:p w14:paraId="3228007C"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Lee, K.-J., Ki, Y.-H., Ahn, H.-S., Hwang, G. and Cheon, J.S. (2013). Functional Safety Compliant ECU Design for Electro-Mechanical Brake (EMB) System. </w:t>
      </w:r>
      <w:r w:rsidRPr="001D224A">
        <w:rPr>
          <w:rFonts w:ascii="Times New Roman" w:eastAsia="Times New Roman" w:hAnsi="Times New Roman" w:cs="Times New Roman"/>
          <w:i/>
          <w:iCs/>
          <w:kern w:val="0"/>
          <w:lang w:eastAsia="en-GB"/>
          <w14:ligatures w14:val="none"/>
        </w:rPr>
        <w:t>SAE International Journal of Passenger Cars - Mechanical Systems</w:t>
      </w:r>
      <w:r w:rsidRPr="001D224A">
        <w:rPr>
          <w:rFonts w:ascii="Times New Roman" w:eastAsia="Times New Roman" w:hAnsi="Times New Roman" w:cs="Times New Roman"/>
          <w:kern w:val="0"/>
          <w:lang w:eastAsia="en-GB"/>
          <w14:ligatures w14:val="none"/>
        </w:rPr>
        <w:t xml:space="preserve">, 6(3), pp.1476–1483.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://doi.org/10.4271/2013-01-2062.</w:t>
      </w:r>
    </w:p>
    <w:p w14:paraId="43A76D63"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lastRenderedPageBreak/>
        <w:t xml:space="preserve">Li, Y., Chen, K., Collignon, S. and Ivanov, D. (2020). Ripple Effect in the Supply Chain Network: Forward and Backward Disruption Propagation, Network Health and Firm Vulnerability. </w:t>
      </w:r>
      <w:r w:rsidRPr="001D224A">
        <w:rPr>
          <w:rFonts w:ascii="Times New Roman" w:eastAsia="Times New Roman" w:hAnsi="Times New Roman" w:cs="Times New Roman"/>
          <w:i/>
          <w:iCs/>
          <w:kern w:val="0"/>
          <w:lang w:eastAsia="en-GB"/>
          <w14:ligatures w14:val="none"/>
        </w:rPr>
        <w:t>European Journal of Operational Research</w:t>
      </w:r>
      <w:r w:rsidRPr="001D224A">
        <w:rPr>
          <w:rFonts w:ascii="Times New Roman" w:eastAsia="Times New Roman" w:hAnsi="Times New Roman" w:cs="Times New Roman"/>
          <w:kern w:val="0"/>
          <w:lang w:eastAsia="en-GB"/>
          <w14:ligatures w14:val="none"/>
        </w:rPr>
        <w:t xml:space="preserve">, 291(3).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://doi.org/10.1016/j.ejor.2020.09.053.</w:t>
      </w:r>
    </w:p>
    <w:p w14:paraId="091C4EBA"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1D224A">
        <w:rPr>
          <w:rFonts w:ascii="Times New Roman" w:eastAsia="Times New Roman" w:hAnsi="Times New Roman" w:cs="Times New Roman"/>
          <w:kern w:val="0"/>
          <w:lang w:eastAsia="en-GB"/>
          <w14:ligatures w14:val="none"/>
        </w:rPr>
        <w:t>Mzougui</w:t>
      </w:r>
      <w:proofErr w:type="spellEnd"/>
      <w:r w:rsidRPr="001D224A">
        <w:rPr>
          <w:rFonts w:ascii="Times New Roman" w:eastAsia="Times New Roman" w:hAnsi="Times New Roman" w:cs="Times New Roman"/>
          <w:kern w:val="0"/>
          <w:lang w:eastAsia="en-GB"/>
          <w14:ligatures w14:val="none"/>
        </w:rPr>
        <w:t xml:space="preserve">, I., </w:t>
      </w:r>
      <w:proofErr w:type="spellStart"/>
      <w:r w:rsidRPr="001D224A">
        <w:rPr>
          <w:rFonts w:ascii="Times New Roman" w:eastAsia="Times New Roman" w:hAnsi="Times New Roman" w:cs="Times New Roman"/>
          <w:kern w:val="0"/>
          <w:lang w:eastAsia="en-GB"/>
          <w14:ligatures w14:val="none"/>
        </w:rPr>
        <w:t>Carpitella</w:t>
      </w:r>
      <w:proofErr w:type="spellEnd"/>
      <w:r w:rsidRPr="001D224A">
        <w:rPr>
          <w:rFonts w:ascii="Times New Roman" w:eastAsia="Times New Roman" w:hAnsi="Times New Roman" w:cs="Times New Roman"/>
          <w:kern w:val="0"/>
          <w:lang w:eastAsia="en-GB"/>
          <w14:ligatures w14:val="none"/>
        </w:rPr>
        <w:t xml:space="preserve">, S., Certa, A., El </w:t>
      </w:r>
      <w:proofErr w:type="spellStart"/>
      <w:r w:rsidRPr="001D224A">
        <w:rPr>
          <w:rFonts w:ascii="Times New Roman" w:eastAsia="Times New Roman" w:hAnsi="Times New Roman" w:cs="Times New Roman"/>
          <w:kern w:val="0"/>
          <w:lang w:eastAsia="en-GB"/>
          <w14:ligatures w14:val="none"/>
        </w:rPr>
        <w:t>Felsoufi</w:t>
      </w:r>
      <w:proofErr w:type="spellEnd"/>
      <w:r w:rsidRPr="001D224A">
        <w:rPr>
          <w:rFonts w:ascii="Times New Roman" w:eastAsia="Times New Roman" w:hAnsi="Times New Roman" w:cs="Times New Roman"/>
          <w:kern w:val="0"/>
          <w:lang w:eastAsia="en-GB"/>
          <w14:ligatures w14:val="none"/>
        </w:rPr>
        <w:t xml:space="preserve">, Z. and Izquierdo, J. (2020). Assessing Supply Chain Risks in the Automotive Industry through a Modified MCDM-Based FMECA. </w:t>
      </w:r>
      <w:r w:rsidRPr="001D224A">
        <w:rPr>
          <w:rFonts w:ascii="Times New Roman" w:eastAsia="Times New Roman" w:hAnsi="Times New Roman" w:cs="Times New Roman"/>
          <w:i/>
          <w:iCs/>
          <w:kern w:val="0"/>
          <w:lang w:eastAsia="en-GB"/>
          <w14:ligatures w14:val="none"/>
        </w:rPr>
        <w:t>Processes</w:t>
      </w:r>
      <w:r w:rsidRPr="001D224A">
        <w:rPr>
          <w:rFonts w:ascii="Times New Roman" w:eastAsia="Times New Roman" w:hAnsi="Times New Roman" w:cs="Times New Roman"/>
          <w:kern w:val="0"/>
          <w:lang w:eastAsia="en-GB"/>
          <w14:ligatures w14:val="none"/>
        </w:rPr>
        <w:t xml:space="preserve">, [online] 8(5), p.579.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://doi.org/10.3390/pr8050579.</w:t>
      </w:r>
    </w:p>
    <w:p w14:paraId="1E04EE4B"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Narayan, C.D., Rao, S.J. and Mishra, R. (2025). Supply Chain Risk Prioritization in Indian 4-Wheeler Electric Vehicles based on MCDM-IVIFS.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://doi.org/10.21203/rs.3.rs-6952318/v1.</w:t>
      </w:r>
    </w:p>
    <w:p w14:paraId="3E3679FB"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Nordhagen, S., </w:t>
      </w:r>
      <w:proofErr w:type="spellStart"/>
      <w:r w:rsidRPr="001D224A">
        <w:rPr>
          <w:rFonts w:ascii="Times New Roman" w:eastAsia="Times New Roman" w:hAnsi="Times New Roman" w:cs="Times New Roman"/>
          <w:kern w:val="0"/>
          <w:lang w:eastAsia="en-GB"/>
          <w14:ligatures w14:val="none"/>
        </w:rPr>
        <w:t>Igbeka</w:t>
      </w:r>
      <w:proofErr w:type="spellEnd"/>
      <w:r w:rsidRPr="001D224A">
        <w:rPr>
          <w:rFonts w:ascii="Times New Roman" w:eastAsia="Times New Roman" w:hAnsi="Times New Roman" w:cs="Times New Roman"/>
          <w:kern w:val="0"/>
          <w:lang w:eastAsia="en-GB"/>
          <w14:ligatures w14:val="none"/>
        </w:rPr>
        <w:t xml:space="preserve">, U., Rowlands, H., Shine, R.S., Heneghan, E. and Tench, J. (2021). COVID-19 and small enterprises in the food supply chain: Early impacts and implications for longer-term food system resilience in low- and middle-income countries. </w:t>
      </w:r>
      <w:r w:rsidRPr="001D224A">
        <w:rPr>
          <w:rFonts w:ascii="Times New Roman" w:eastAsia="Times New Roman" w:hAnsi="Times New Roman" w:cs="Times New Roman"/>
          <w:i/>
          <w:iCs/>
          <w:kern w:val="0"/>
          <w:lang w:eastAsia="en-GB"/>
          <w14:ligatures w14:val="none"/>
        </w:rPr>
        <w:t>World Development</w:t>
      </w:r>
      <w:r w:rsidRPr="001D224A">
        <w:rPr>
          <w:rFonts w:ascii="Times New Roman" w:eastAsia="Times New Roman" w:hAnsi="Times New Roman" w:cs="Times New Roman"/>
          <w:kern w:val="0"/>
          <w:lang w:eastAsia="en-GB"/>
          <w14:ligatures w14:val="none"/>
        </w:rPr>
        <w:t xml:space="preserve">, 141(1), p.105405.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://doi.org/10.1016/j.worlddev.2021.105405.</w:t>
      </w:r>
    </w:p>
    <w:p w14:paraId="4AF257A4"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Nyoman </w:t>
      </w:r>
      <w:proofErr w:type="spellStart"/>
      <w:r w:rsidRPr="001D224A">
        <w:rPr>
          <w:rFonts w:ascii="Times New Roman" w:eastAsia="Times New Roman" w:hAnsi="Times New Roman" w:cs="Times New Roman"/>
          <w:kern w:val="0"/>
          <w:lang w:eastAsia="en-GB"/>
          <w14:ligatures w14:val="none"/>
        </w:rPr>
        <w:t>Pujawan</w:t>
      </w:r>
      <w:proofErr w:type="spellEnd"/>
      <w:r w:rsidRPr="001D224A">
        <w:rPr>
          <w:rFonts w:ascii="Times New Roman" w:eastAsia="Times New Roman" w:hAnsi="Times New Roman" w:cs="Times New Roman"/>
          <w:kern w:val="0"/>
          <w:lang w:eastAsia="en-GB"/>
          <w14:ligatures w14:val="none"/>
        </w:rPr>
        <w:t xml:space="preserve">, I. and Geraldin, L.H. (2009). House of risk: a model for proactive supply chain risk management. </w:t>
      </w:r>
      <w:r w:rsidRPr="001D224A">
        <w:rPr>
          <w:rFonts w:ascii="Times New Roman" w:eastAsia="Times New Roman" w:hAnsi="Times New Roman" w:cs="Times New Roman"/>
          <w:i/>
          <w:iCs/>
          <w:kern w:val="0"/>
          <w:lang w:eastAsia="en-GB"/>
          <w14:ligatures w14:val="none"/>
        </w:rPr>
        <w:t>Business Process Management Journal</w:t>
      </w:r>
      <w:r w:rsidRPr="001D224A">
        <w:rPr>
          <w:rFonts w:ascii="Times New Roman" w:eastAsia="Times New Roman" w:hAnsi="Times New Roman" w:cs="Times New Roman"/>
          <w:kern w:val="0"/>
          <w:lang w:eastAsia="en-GB"/>
          <w14:ligatures w14:val="none"/>
        </w:rPr>
        <w:t xml:space="preserve">, 15(6), pp.953–967.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://doi.org/10.1108/14637150911003801.</w:t>
      </w:r>
    </w:p>
    <w:p w14:paraId="4E191707"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1D224A">
        <w:rPr>
          <w:rFonts w:ascii="Times New Roman" w:eastAsia="Times New Roman" w:hAnsi="Times New Roman" w:cs="Times New Roman"/>
          <w:kern w:val="0"/>
          <w:lang w:eastAsia="en-GB"/>
          <w14:ligatures w14:val="none"/>
        </w:rPr>
        <w:t>Ponis</w:t>
      </w:r>
      <w:proofErr w:type="spellEnd"/>
      <w:r w:rsidRPr="001D224A">
        <w:rPr>
          <w:rFonts w:ascii="Times New Roman" w:eastAsia="Times New Roman" w:hAnsi="Times New Roman" w:cs="Times New Roman"/>
          <w:kern w:val="0"/>
          <w:lang w:eastAsia="en-GB"/>
          <w14:ligatures w14:val="none"/>
        </w:rPr>
        <w:t xml:space="preserve">, S.T. and Koronis, E. (2012). Supply Chain Resilience: Definition Of Concept And Its Formative Elements. </w:t>
      </w:r>
      <w:r w:rsidRPr="001D224A">
        <w:rPr>
          <w:rFonts w:ascii="Times New Roman" w:eastAsia="Times New Roman" w:hAnsi="Times New Roman" w:cs="Times New Roman"/>
          <w:i/>
          <w:iCs/>
          <w:kern w:val="0"/>
          <w:lang w:eastAsia="en-GB"/>
          <w14:ligatures w14:val="none"/>
        </w:rPr>
        <w:t>Journal of Applied Business Research (JABR)</w:t>
      </w:r>
      <w:r w:rsidRPr="001D224A">
        <w:rPr>
          <w:rFonts w:ascii="Times New Roman" w:eastAsia="Times New Roman" w:hAnsi="Times New Roman" w:cs="Times New Roman"/>
          <w:kern w:val="0"/>
          <w:lang w:eastAsia="en-GB"/>
          <w14:ligatures w14:val="none"/>
        </w:rPr>
        <w:t xml:space="preserve">, 28(5), p.921.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://doi.org/10.19030/jabr.v28i5.7234.</w:t>
      </w:r>
    </w:p>
    <w:p w14:paraId="33954953"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Sameer Kumar, Brooke C. Boice and Mark J. Shepherd (2013). Risk Assessment and Operational Approaches to Manage Risk in Global Supply Chains. </w:t>
      </w:r>
      <w:r w:rsidRPr="001D224A">
        <w:rPr>
          <w:rFonts w:ascii="Times New Roman" w:eastAsia="Times New Roman" w:hAnsi="Times New Roman" w:cs="Times New Roman"/>
          <w:i/>
          <w:iCs/>
          <w:kern w:val="0"/>
          <w:lang w:eastAsia="en-GB"/>
          <w14:ligatures w14:val="none"/>
        </w:rPr>
        <w:t>Transportation Journal</w:t>
      </w:r>
      <w:r w:rsidRPr="001D224A">
        <w:rPr>
          <w:rFonts w:ascii="Times New Roman" w:eastAsia="Times New Roman" w:hAnsi="Times New Roman" w:cs="Times New Roman"/>
          <w:kern w:val="0"/>
          <w:lang w:eastAsia="en-GB"/>
          <w14:ligatures w14:val="none"/>
        </w:rPr>
        <w:t xml:space="preserve">, 52(3), p.391.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://doi.org/10.5325/transportationj.52.3.0391.</w:t>
      </w:r>
    </w:p>
    <w:p w14:paraId="012AD092"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Sudan, T. and </w:t>
      </w:r>
      <w:proofErr w:type="spellStart"/>
      <w:r w:rsidRPr="001D224A">
        <w:rPr>
          <w:rFonts w:ascii="Times New Roman" w:eastAsia="Times New Roman" w:hAnsi="Times New Roman" w:cs="Times New Roman"/>
          <w:kern w:val="0"/>
          <w:lang w:eastAsia="en-GB"/>
          <w14:ligatures w14:val="none"/>
        </w:rPr>
        <w:t>Taggar</w:t>
      </w:r>
      <w:proofErr w:type="spellEnd"/>
      <w:r w:rsidRPr="001D224A">
        <w:rPr>
          <w:rFonts w:ascii="Times New Roman" w:eastAsia="Times New Roman" w:hAnsi="Times New Roman" w:cs="Times New Roman"/>
          <w:kern w:val="0"/>
          <w:lang w:eastAsia="en-GB"/>
          <w14:ligatures w14:val="none"/>
        </w:rPr>
        <w:t xml:space="preserve">, R. (2022). COVID-19 Induced Supply Chain Disruptions and Automotive Industry: A Case Study of Maruti Suzuki India Limited and Mitigation Strategies. </w:t>
      </w:r>
      <w:r w:rsidRPr="001D224A">
        <w:rPr>
          <w:rFonts w:ascii="Times New Roman" w:eastAsia="Times New Roman" w:hAnsi="Times New Roman" w:cs="Times New Roman"/>
          <w:i/>
          <w:iCs/>
          <w:kern w:val="0"/>
          <w:lang w:eastAsia="en-GB"/>
          <w14:ligatures w14:val="none"/>
        </w:rPr>
        <w:t>Global Economics Science</w:t>
      </w:r>
      <w:r w:rsidRPr="001D224A">
        <w:rPr>
          <w:rFonts w:ascii="Times New Roman" w:eastAsia="Times New Roman" w:hAnsi="Times New Roman" w:cs="Times New Roman"/>
          <w:kern w:val="0"/>
          <w:lang w:eastAsia="en-GB"/>
          <w14:ligatures w14:val="none"/>
        </w:rPr>
        <w:t xml:space="preserve">, 3(1), pp.36–53.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://doi.org/10.37256/ges.3120221095.</w:t>
      </w:r>
    </w:p>
    <w:p w14:paraId="6290153A"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Sun, J.-J., Yeh, T.-M. and Pai, F.-Y. (2022). Application of Monte Carlo Simulation to Study the Probability of Confidence Level under the PFMEA’s Action Priority. </w:t>
      </w:r>
      <w:r w:rsidRPr="001D224A">
        <w:rPr>
          <w:rFonts w:ascii="Times New Roman" w:eastAsia="Times New Roman" w:hAnsi="Times New Roman" w:cs="Times New Roman"/>
          <w:i/>
          <w:iCs/>
          <w:kern w:val="0"/>
          <w:lang w:eastAsia="en-GB"/>
          <w14:ligatures w14:val="none"/>
        </w:rPr>
        <w:t>Mathematics</w:t>
      </w:r>
      <w:r w:rsidRPr="001D224A">
        <w:rPr>
          <w:rFonts w:ascii="Times New Roman" w:eastAsia="Times New Roman" w:hAnsi="Times New Roman" w:cs="Times New Roman"/>
          <w:kern w:val="0"/>
          <w:lang w:eastAsia="en-GB"/>
          <w14:ligatures w14:val="none"/>
        </w:rPr>
        <w:t xml:space="preserve">, 10(15), p.2596.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://doi.org/10.3390/math10152596.</w:t>
      </w:r>
    </w:p>
    <w:p w14:paraId="4C8B4802"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Supply Chain Disruptions Mitigation Plan Using Six Sigma Method for Sustainable Technology Infrastructure. (2023). </w:t>
      </w:r>
      <w:r w:rsidRPr="001D224A">
        <w:rPr>
          <w:rFonts w:ascii="Times New Roman" w:eastAsia="Times New Roman" w:hAnsi="Times New Roman" w:cs="Times New Roman"/>
          <w:i/>
          <w:iCs/>
          <w:kern w:val="0"/>
          <w:lang w:eastAsia="en-GB"/>
          <w14:ligatures w14:val="none"/>
        </w:rPr>
        <w:t>Management and Production Engineering Review</w:t>
      </w:r>
      <w:r w:rsidRPr="001D224A">
        <w:rPr>
          <w:rFonts w:ascii="Times New Roman" w:eastAsia="Times New Roman" w:hAnsi="Times New Roman" w:cs="Times New Roman"/>
          <w:kern w:val="0"/>
          <w:lang w:eastAsia="en-GB"/>
          <w14:ligatures w14:val="none"/>
        </w:rPr>
        <w:t xml:space="preserve">.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://doi.org/10.24425/mper.2022.142397.</w:t>
      </w:r>
    </w:p>
    <w:p w14:paraId="16565649"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Takeda-Berger, S.L., Tortorella, G.L., Rodriguez, C.M.T., </w:t>
      </w:r>
      <w:proofErr w:type="spellStart"/>
      <w:r w:rsidRPr="001D224A">
        <w:rPr>
          <w:rFonts w:ascii="Times New Roman" w:eastAsia="Times New Roman" w:hAnsi="Times New Roman" w:cs="Times New Roman"/>
          <w:kern w:val="0"/>
          <w:lang w:eastAsia="en-GB"/>
          <w14:ligatures w14:val="none"/>
        </w:rPr>
        <w:t>Frazzon</w:t>
      </w:r>
      <w:proofErr w:type="spellEnd"/>
      <w:r w:rsidRPr="001D224A">
        <w:rPr>
          <w:rFonts w:ascii="Times New Roman" w:eastAsia="Times New Roman" w:hAnsi="Times New Roman" w:cs="Times New Roman"/>
          <w:kern w:val="0"/>
          <w:lang w:eastAsia="en-GB"/>
          <w14:ligatures w14:val="none"/>
        </w:rPr>
        <w:t xml:space="preserve">, E.M., Yokoyama, T.T. and Oliveira, M.A. de (2021). Analysis of the relationship between barriers and practices in the lean supply chain management. </w:t>
      </w:r>
      <w:r w:rsidRPr="001D224A">
        <w:rPr>
          <w:rFonts w:ascii="Times New Roman" w:eastAsia="Times New Roman" w:hAnsi="Times New Roman" w:cs="Times New Roman"/>
          <w:i/>
          <w:iCs/>
          <w:kern w:val="0"/>
          <w:lang w:eastAsia="en-GB"/>
          <w14:ligatures w14:val="none"/>
        </w:rPr>
        <w:t>International Journal of Lean Six Sigma</w:t>
      </w:r>
      <w:r w:rsidRPr="001D224A">
        <w:rPr>
          <w:rFonts w:ascii="Times New Roman" w:eastAsia="Times New Roman" w:hAnsi="Times New Roman" w:cs="Times New Roman"/>
          <w:kern w:val="0"/>
          <w:lang w:eastAsia="en-GB"/>
          <w14:ligatures w14:val="none"/>
        </w:rPr>
        <w:t xml:space="preserve">, ahead-of-print(ahead-of-print).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://doi.org/10.1108/ijlss-01-2019-0003.</w:t>
      </w:r>
    </w:p>
    <w:p w14:paraId="0938F508"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lastRenderedPageBreak/>
        <w:t xml:space="preserve">Talluri, S.S., Kull, T.J., Yildiz, H. and Yoon, J. (2013). Assessing the Efficiency of Risk Mitigation Strategies in Supply Chains. </w:t>
      </w:r>
      <w:r w:rsidRPr="001D224A">
        <w:rPr>
          <w:rFonts w:ascii="Times New Roman" w:eastAsia="Times New Roman" w:hAnsi="Times New Roman" w:cs="Times New Roman"/>
          <w:i/>
          <w:iCs/>
          <w:kern w:val="0"/>
          <w:lang w:eastAsia="en-GB"/>
          <w14:ligatures w14:val="none"/>
        </w:rPr>
        <w:t>Journal of Business Logistics</w:t>
      </w:r>
      <w:r w:rsidRPr="001D224A">
        <w:rPr>
          <w:rFonts w:ascii="Times New Roman" w:eastAsia="Times New Roman" w:hAnsi="Times New Roman" w:cs="Times New Roman"/>
          <w:kern w:val="0"/>
          <w:lang w:eastAsia="en-GB"/>
          <w14:ligatures w14:val="none"/>
        </w:rPr>
        <w:t xml:space="preserve">, [online] 34(4), pp.253–269.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://doi.org/10.1111/jbl.12025.</w:t>
      </w:r>
    </w:p>
    <w:p w14:paraId="691CE475"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Vinodh, S. and Santhosh, D. (2012). Application of FMEA to an automotive leaf spring manufacturing organization. </w:t>
      </w:r>
      <w:r w:rsidRPr="001D224A">
        <w:rPr>
          <w:rFonts w:ascii="Times New Roman" w:eastAsia="Times New Roman" w:hAnsi="Times New Roman" w:cs="Times New Roman"/>
          <w:i/>
          <w:iCs/>
          <w:kern w:val="0"/>
          <w:lang w:eastAsia="en-GB"/>
          <w14:ligatures w14:val="none"/>
        </w:rPr>
        <w:t>The TQM Journal</w:t>
      </w:r>
      <w:r w:rsidRPr="001D224A">
        <w:rPr>
          <w:rFonts w:ascii="Times New Roman" w:eastAsia="Times New Roman" w:hAnsi="Times New Roman" w:cs="Times New Roman"/>
          <w:kern w:val="0"/>
          <w:lang w:eastAsia="en-GB"/>
          <w14:ligatures w14:val="none"/>
        </w:rPr>
        <w:t xml:space="preserve">, 24(3), pp.260–274.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://doi.org/10.1108/17542731211226772.</w:t>
      </w:r>
    </w:p>
    <w:p w14:paraId="14755152"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Wieland, A. and </w:t>
      </w:r>
      <w:proofErr w:type="spellStart"/>
      <w:r w:rsidRPr="001D224A">
        <w:rPr>
          <w:rFonts w:ascii="Times New Roman" w:eastAsia="Times New Roman" w:hAnsi="Times New Roman" w:cs="Times New Roman"/>
          <w:kern w:val="0"/>
          <w:lang w:eastAsia="en-GB"/>
          <w14:ligatures w14:val="none"/>
        </w:rPr>
        <w:t>Durach</w:t>
      </w:r>
      <w:proofErr w:type="spellEnd"/>
      <w:r w:rsidRPr="001D224A">
        <w:rPr>
          <w:rFonts w:ascii="Times New Roman" w:eastAsia="Times New Roman" w:hAnsi="Times New Roman" w:cs="Times New Roman"/>
          <w:kern w:val="0"/>
          <w:lang w:eastAsia="en-GB"/>
          <w14:ligatures w14:val="none"/>
        </w:rPr>
        <w:t xml:space="preserve">, C.F. (2021). Two perspectives on supply chain resilience. </w:t>
      </w:r>
      <w:r w:rsidRPr="001D224A">
        <w:rPr>
          <w:rFonts w:ascii="Times New Roman" w:eastAsia="Times New Roman" w:hAnsi="Times New Roman" w:cs="Times New Roman"/>
          <w:i/>
          <w:iCs/>
          <w:kern w:val="0"/>
          <w:lang w:eastAsia="en-GB"/>
          <w14:ligatures w14:val="none"/>
        </w:rPr>
        <w:t>Journal of Business Logistics</w:t>
      </w:r>
      <w:r w:rsidRPr="001D224A">
        <w:rPr>
          <w:rFonts w:ascii="Times New Roman" w:eastAsia="Times New Roman" w:hAnsi="Times New Roman" w:cs="Times New Roman"/>
          <w:kern w:val="0"/>
          <w:lang w:eastAsia="en-GB"/>
          <w14:ligatures w14:val="none"/>
        </w:rPr>
        <w:t xml:space="preserve">, 42(3), pp.315–322.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://doi.org/10.1111/jbl.12271.</w:t>
      </w:r>
    </w:p>
    <w:p w14:paraId="73BD7115"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Wu, L. (2009). Supplier selection under uncertainty: a switching options perspective. </w:t>
      </w:r>
      <w:r w:rsidRPr="001D224A">
        <w:rPr>
          <w:rFonts w:ascii="Times New Roman" w:eastAsia="Times New Roman" w:hAnsi="Times New Roman" w:cs="Times New Roman"/>
          <w:i/>
          <w:iCs/>
          <w:kern w:val="0"/>
          <w:lang w:eastAsia="en-GB"/>
          <w14:ligatures w14:val="none"/>
        </w:rPr>
        <w:t>Industrial Management &amp; Data Systems</w:t>
      </w:r>
      <w:r w:rsidRPr="001D224A">
        <w:rPr>
          <w:rFonts w:ascii="Times New Roman" w:eastAsia="Times New Roman" w:hAnsi="Times New Roman" w:cs="Times New Roman"/>
          <w:kern w:val="0"/>
          <w:lang w:eastAsia="en-GB"/>
          <w14:ligatures w14:val="none"/>
        </w:rPr>
        <w:t xml:space="preserve">, 109(2), pp.191–205.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://doi.org/10.1108/02635570910930091.</w:t>
      </w:r>
    </w:p>
    <w:p w14:paraId="45A8189B"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Zandi, P., Rahmani, M., </w:t>
      </w:r>
      <w:proofErr w:type="spellStart"/>
      <w:r w:rsidRPr="001D224A">
        <w:rPr>
          <w:rFonts w:ascii="Times New Roman" w:eastAsia="Times New Roman" w:hAnsi="Times New Roman" w:cs="Times New Roman"/>
          <w:kern w:val="0"/>
          <w:lang w:eastAsia="en-GB"/>
          <w14:ligatures w14:val="none"/>
        </w:rPr>
        <w:t>Khanian</w:t>
      </w:r>
      <w:proofErr w:type="spellEnd"/>
      <w:r w:rsidRPr="001D224A">
        <w:rPr>
          <w:rFonts w:ascii="Times New Roman" w:eastAsia="Times New Roman" w:hAnsi="Times New Roman" w:cs="Times New Roman"/>
          <w:kern w:val="0"/>
          <w:lang w:eastAsia="en-GB"/>
          <w14:ligatures w14:val="none"/>
        </w:rPr>
        <w:t xml:space="preserve">, M. and </w:t>
      </w:r>
      <w:proofErr w:type="spellStart"/>
      <w:r w:rsidRPr="001D224A">
        <w:rPr>
          <w:rFonts w:ascii="Times New Roman" w:eastAsia="Times New Roman" w:hAnsi="Times New Roman" w:cs="Times New Roman"/>
          <w:kern w:val="0"/>
          <w:lang w:eastAsia="en-GB"/>
          <w14:ligatures w14:val="none"/>
        </w:rPr>
        <w:t>Mosavi</w:t>
      </w:r>
      <w:proofErr w:type="spellEnd"/>
      <w:r w:rsidRPr="001D224A">
        <w:rPr>
          <w:rFonts w:ascii="Times New Roman" w:eastAsia="Times New Roman" w:hAnsi="Times New Roman" w:cs="Times New Roman"/>
          <w:kern w:val="0"/>
          <w:lang w:eastAsia="en-GB"/>
          <w14:ligatures w14:val="none"/>
        </w:rPr>
        <w:t xml:space="preserve">, A. (2020). Agricultural Risk Management Using Fuzzy TOPSIS Analytical Hierarchy Process (AHP) and Failure Mode and Effects Analysis (FMEA). </w:t>
      </w:r>
      <w:r w:rsidRPr="001D224A">
        <w:rPr>
          <w:rFonts w:ascii="Times New Roman" w:eastAsia="Times New Roman" w:hAnsi="Times New Roman" w:cs="Times New Roman"/>
          <w:i/>
          <w:iCs/>
          <w:kern w:val="0"/>
          <w:lang w:eastAsia="en-GB"/>
          <w14:ligatures w14:val="none"/>
        </w:rPr>
        <w:t>Agriculture</w:t>
      </w:r>
      <w:r w:rsidRPr="001D224A">
        <w:rPr>
          <w:rFonts w:ascii="Times New Roman" w:eastAsia="Times New Roman" w:hAnsi="Times New Roman" w:cs="Times New Roman"/>
          <w:kern w:val="0"/>
          <w:lang w:eastAsia="en-GB"/>
          <w14:ligatures w14:val="none"/>
        </w:rPr>
        <w:t xml:space="preserve">, 10(11), p.504.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://doi.org/10.3390/agriculture10110504.</w:t>
      </w:r>
    </w:p>
    <w:p w14:paraId="5CC4D463" w14:textId="77777777" w:rsidR="001D224A" w:rsidRPr="001D224A" w:rsidRDefault="001D224A" w:rsidP="001D224A">
      <w:pPr>
        <w:spacing w:before="100" w:beforeAutospacing="1" w:after="100" w:afterAutospacing="1" w:line="240" w:lineRule="auto"/>
        <w:rPr>
          <w:rFonts w:ascii="Times New Roman" w:eastAsia="Times New Roman" w:hAnsi="Times New Roman" w:cs="Times New Roman"/>
          <w:kern w:val="0"/>
          <w:lang w:eastAsia="en-GB"/>
          <w14:ligatures w14:val="none"/>
        </w:rPr>
      </w:pPr>
      <w:r w:rsidRPr="001D224A">
        <w:rPr>
          <w:rFonts w:ascii="Times New Roman" w:eastAsia="Times New Roman" w:hAnsi="Times New Roman" w:cs="Times New Roman"/>
          <w:kern w:val="0"/>
          <w:lang w:eastAsia="en-GB"/>
          <w14:ligatures w14:val="none"/>
        </w:rPr>
        <w:t xml:space="preserve">Zhu, Q., </w:t>
      </w:r>
      <w:proofErr w:type="spellStart"/>
      <w:r w:rsidRPr="001D224A">
        <w:rPr>
          <w:rFonts w:ascii="Times New Roman" w:eastAsia="Times New Roman" w:hAnsi="Times New Roman" w:cs="Times New Roman"/>
          <w:kern w:val="0"/>
          <w:lang w:eastAsia="en-GB"/>
          <w14:ligatures w14:val="none"/>
        </w:rPr>
        <w:t>Golrizgashti</w:t>
      </w:r>
      <w:proofErr w:type="spellEnd"/>
      <w:r w:rsidRPr="001D224A">
        <w:rPr>
          <w:rFonts w:ascii="Times New Roman" w:eastAsia="Times New Roman" w:hAnsi="Times New Roman" w:cs="Times New Roman"/>
          <w:kern w:val="0"/>
          <w:lang w:eastAsia="en-GB"/>
          <w14:ligatures w14:val="none"/>
        </w:rPr>
        <w:t xml:space="preserve">, S. and Sarkis, J. (2020). Product deletion and supply chain repercussions: risk management using FMEA. </w:t>
      </w:r>
      <w:r w:rsidRPr="001D224A">
        <w:rPr>
          <w:rFonts w:ascii="Times New Roman" w:eastAsia="Times New Roman" w:hAnsi="Times New Roman" w:cs="Times New Roman"/>
          <w:i/>
          <w:iCs/>
          <w:kern w:val="0"/>
          <w:lang w:eastAsia="en-GB"/>
          <w14:ligatures w14:val="none"/>
        </w:rPr>
        <w:t>Benchmarking: An International Journal</w:t>
      </w:r>
      <w:r w:rsidRPr="001D224A">
        <w:rPr>
          <w:rFonts w:ascii="Times New Roman" w:eastAsia="Times New Roman" w:hAnsi="Times New Roman" w:cs="Times New Roman"/>
          <w:kern w:val="0"/>
          <w:lang w:eastAsia="en-GB"/>
          <w14:ligatures w14:val="none"/>
        </w:rPr>
        <w:t xml:space="preserve">, 28(2), pp.409–437. </w:t>
      </w:r>
      <w:proofErr w:type="spellStart"/>
      <w:r w:rsidRPr="001D224A">
        <w:rPr>
          <w:rFonts w:ascii="Times New Roman" w:eastAsia="Times New Roman" w:hAnsi="Times New Roman" w:cs="Times New Roman"/>
          <w:kern w:val="0"/>
          <w:lang w:eastAsia="en-GB"/>
          <w14:ligatures w14:val="none"/>
        </w:rPr>
        <w:t>doi:https</w:t>
      </w:r>
      <w:proofErr w:type="spellEnd"/>
      <w:r w:rsidRPr="001D224A">
        <w:rPr>
          <w:rFonts w:ascii="Times New Roman" w:eastAsia="Times New Roman" w:hAnsi="Times New Roman" w:cs="Times New Roman"/>
          <w:kern w:val="0"/>
          <w:lang w:eastAsia="en-GB"/>
          <w14:ligatures w14:val="none"/>
        </w:rPr>
        <w:t>://doi.org/10.1108/bij-01-2020-0007.</w:t>
      </w:r>
    </w:p>
    <w:p w14:paraId="6B5D7108" w14:textId="77777777" w:rsidR="001D224A" w:rsidRPr="009A28F5" w:rsidRDefault="001D224A" w:rsidP="00AA7C3C">
      <w:pPr>
        <w:spacing w:before="100" w:beforeAutospacing="1" w:after="100" w:afterAutospacing="1" w:line="240" w:lineRule="auto"/>
        <w:rPr>
          <w:rFonts w:ascii="Times New Roman" w:eastAsia="Times New Roman" w:hAnsi="Times New Roman" w:cs="Times New Roman"/>
          <w:kern w:val="0"/>
          <w:lang w:eastAsia="en-GB"/>
          <w14:ligatures w14:val="none"/>
        </w:rPr>
      </w:pPr>
    </w:p>
    <w:sectPr w:rsidR="001D224A" w:rsidRPr="009A28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20BB2" w14:textId="77777777" w:rsidR="00131F8D" w:rsidRDefault="00131F8D" w:rsidP="006D0626">
      <w:pPr>
        <w:spacing w:after="0" w:line="240" w:lineRule="auto"/>
      </w:pPr>
      <w:r>
        <w:separator/>
      </w:r>
    </w:p>
  </w:endnote>
  <w:endnote w:type="continuationSeparator" w:id="0">
    <w:p w14:paraId="523F2CE0" w14:textId="77777777" w:rsidR="00131F8D" w:rsidRDefault="00131F8D" w:rsidP="006D0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0421E8" w14:textId="6A54CC71" w:rsidR="006D0626" w:rsidRDefault="000C1BD0">
    <w:pPr>
      <w:pStyle w:val="Footer"/>
    </w:pPr>
    <w:r>
      <w:t>Josh Millard – 2412673 – ACHA 7024 – Improving Supply Chain Performance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38BB37" w14:textId="77777777" w:rsidR="00131F8D" w:rsidRDefault="00131F8D" w:rsidP="006D0626">
      <w:pPr>
        <w:spacing w:after="0" w:line="240" w:lineRule="auto"/>
      </w:pPr>
      <w:r>
        <w:separator/>
      </w:r>
    </w:p>
  </w:footnote>
  <w:footnote w:type="continuationSeparator" w:id="0">
    <w:p w14:paraId="7A8720C5" w14:textId="77777777" w:rsidR="00131F8D" w:rsidRDefault="00131F8D" w:rsidP="006D06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9A4D16"/>
    <w:multiLevelType w:val="multilevel"/>
    <w:tmpl w:val="FB3830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DB40EF"/>
    <w:multiLevelType w:val="multilevel"/>
    <w:tmpl w:val="C11CF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049159E"/>
    <w:multiLevelType w:val="multilevel"/>
    <w:tmpl w:val="10F4C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FC81320"/>
    <w:multiLevelType w:val="multilevel"/>
    <w:tmpl w:val="E03289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72230492">
    <w:abstractNumId w:val="2"/>
  </w:num>
  <w:num w:numId="2" w16cid:durableId="451940716">
    <w:abstractNumId w:val="3"/>
  </w:num>
  <w:num w:numId="3" w16cid:durableId="688338566">
    <w:abstractNumId w:val="1"/>
  </w:num>
  <w:num w:numId="4" w16cid:durableId="4044256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8F5"/>
    <w:rsid w:val="00083F12"/>
    <w:rsid w:val="000C1BD0"/>
    <w:rsid w:val="00131F8D"/>
    <w:rsid w:val="001D224A"/>
    <w:rsid w:val="00251C36"/>
    <w:rsid w:val="0030445A"/>
    <w:rsid w:val="0032260A"/>
    <w:rsid w:val="003724D8"/>
    <w:rsid w:val="003930F6"/>
    <w:rsid w:val="003C23F4"/>
    <w:rsid w:val="00461B24"/>
    <w:rsid w:val="004B081B"/>
    <w:rsid w:val="004F094E"/>
    <w:rsid w:val="00503DEE"/>
    <w:rsid w:val="005D6ECF"/>
    <w:rsid w:val="0060626A"/>
    <w:rsid w:val="0060667F"/>
    <w:rsid w:val="006A4BE6"/>
    <w:rsid w:val="006C71EF"/>
    <w:rsid w:val="006D0626"/>
    <w:rsid w:val="006D7C68"/>
    <w:rsid w:val="00866205"/>
    <w:rsid w:val="008F0876"/>
    <w:rsid w:val="00917CF9"/>
    <w:rsid w:val="009A28F5"/>
    <w:rsid w:val="00A47378"/>
    <w:rsid w:val="00AA7C3C"/>
    <w:rsid w:val="00BB3BEF"/>
    <w:rsid w:val="00C00F7D"/>
    <w:rsid w:val="00C26055"/>
    <w:rsid w:val="00CC2575"/>
    <w:rsid w:val="00D61BE0"/>
    <w:rsid w:val="00E004E2"/>
    <w:rsid w:val="00ED30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BB8E"/>
  <w15:chartTrackingRefBased/>
  <w15:docId w15:val="{AD1CE660-BDCE-4BEA-92A0-9F51C2261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28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8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8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8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8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8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8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8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8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28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8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8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8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8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8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8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8F5"/>
    <w:rPr>
      <w:rFonts w:eastAsiaTheme="majorEastAsia" w:cstheme="majorBidi"/>
      <w:color w:val="272727" w:themeColor="text1" w:themeTint="D8"/>
    </w:rPr>
  </w:style>
  <w:style w:type="paragraph" w:styleId="Title">
    <w:name w:val="Title"/>
    <w:basedOn w:val="Normal"/>
    <w:next w:val="Normal"/>
    <w:link w:val="TitleChar"/>
    <w:uiPriority w:val="10"/>
    <w:qFormat/>
    <w:rsid w:val="009A28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8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8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8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8F5"/>
    <w:pPr>
      <w:spacing w:before="160"/>
      <w:jc w:val="center"/>
    </w:pPr>
    <w:rPr>
      <w:i/>
      <w:iCs/>
      <w:color w:val="404040" w:themeColor="text1" w:themeTint="BF"/>
    </w:rPr>
  </w:style>
  <w:style w:type="character" w:customStyle="1" w:styleId="QuoteChar">
    <w:name w:val="Quote Char"/>
    <w:basedOn w:val="DefaultParagraphFont"/>
    <w:link w:val="Quote"/>
    <w:uiPriority w:val="29"/>
    <w:rsid w:val="009A28F5"/>
    <w:rPr>
      <w:i/>
      <w:iCs/>
      <w:color w:val="404040" w:themeColor="text1" w:themeTint="BF"/>
    </w:rPr>
  </w:style>
  <w:style w:type="paragraph" w:styleId="ListParagraph">
    <w:name w:val="List Paragraph"/>
    <w:basedOn w:val="Normal"/>
    <w:uiPriority w:val="34"/>
    <w:qFormat/>
    <w:rsid w:val="009A28F5"/>
    <w:pPr>
      <w:ind w:left="720"/>
      <w:contextualSpacing/>
    </w:pPr>
  </w:style>
  <w:style w:type="character" w:styleId="IntenseEmphasis">
    <w:name w:val="Intense Emphasis"/>
    <w:basedOn w:val="DefaultParagraphFont"/>
    <w:uiPriority w:val="21"/>
    <w:qFormat/>
    <w:rsid w:val="009A28F5"/>
    <w:rPr>
      <w:i/>
      <w:iCs/>
      <w:color w:val="0F4761" w:themeColor="accent1" w:themeShade="BF"/>
    </w:rPr>
  </w:style>
  <w:style w:type="paragraph" w:styleId="IntenseQuote">
    <w:name w:val="Intense Quote"/>
    <w:basedOn w:val="Normal"/>
    <w:next w:val="Normal"/>
    <w:link w:val="IntenseQuoteChar"/>
    <w:uiPriority w:val="30"/>
    <w:qFormat/>
    <w:rsid w:val="009A28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8F5"/>
    <w:rPr>
      <w:i/>
      <w:iCs/>
      <w:color w:val="0F4761" w:themeColor="accent1" w:themeShade="BF"/>
    </w:rPr>
  </w:style>
  <w:style w:type="character" w:styleId="IntenseReference">
    <w:name w:val="Intense Reference"/>
    <w:basedOn w:val="DefaultParagraphFont"/>
    <w:uiPriority w:val="32"/>
    <w:qFormat/>
    <w:rsid w:val="009A28F5"/>
    <w:rPr>
      <w:b/>
      <w:bCs/>
      <w:smallCaps/>
      <w:color w:val="0F4761" w:themeColor="accent1" w:themeShade="BF"/>
      <w:spacing w:val="5"/>
    </w:rPr>
  </w:style>
  <w:style w:type="paragraph" w:styleId="Header">
    <w:name w:val="header"/>
    <w:basedOn w:val="Normal"/>
    <w:link w:val="HeaderChar"/>
    <w:uiPriority w:val="99"/>
    <w:unhideWhenUsed/>
    <w:rsid w:val="006D0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0626"/>
  </w:style>
  <w:style w:type="paragraph" w:styleId="Footer">
    <w:name w:val="footer"/>
    <w:basedOn w:val="Normal"/>
    <w:link w:val="FooterChar"/>
    <w:uiPriority w:val="99"/>
    <w:unhideWhenUsed/>
    <w:rsid w:val="006D0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0626"/>
  </w:style>
  <w:style w:type="character" w:styleId="Strong">
    <w:name w:val="Strong"/>
    <w:basedOn w:val="DefaultParagraphFont"/>
    <w:uiPriority w:val="22"/>
    <w:qFormat/>
    <w:rsid w:val="004B081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15286">
      <w:bodyDiv w:val="1"/>
      <w:marLeft w:val="0"/>
      <w:marRight w:val="0"/>
      <w:marTop w:val="0"/>
      <w:marBottom w:val="0"/>
      <w:divBdr>
        <w:top w:val="none" w:sz="0" w:space="0" w:color="auto"/>
        <w:left w:val="none" w:sz="0" w:space="0" w:color="auto"/>
        <w:bottom w:val="none" w:sz="0" w:space="0" w:color="auto"/>
        <w:right w:val="none" w:sz="0" w:space="0" w:color="auto"/>
      </w:divBdr>
      <w:divsChild>
        <w:div w:id="730469277">
          <w:marLeft w:val="0"/>
          <w:marRight w:val="0"/>
          <w:marTop w:val="0"/>
          <w:marBottom w:val="0"/>
          <w:divBdr>
            <w:top w:val="none" w:sz="0" w:space="0" w:color="auto"/>
            <w:left w:val="none" w:sz="0" w:space="0" w:color="auto"/>
            <w:bottom w:val="none" w:sz="0" w:space="0" w:color="auto"/>
            <w:right w:val="none" w:sz="0" w:space="0" w:color="auto"/>
          </w:divBdr>
        </w:div>
      </w:divsChild>
    </w:div>
    <w:div w:id="606159360">
      <w:bodyDiv w:val="1"/>
      <w:marLeft w:val="0"/>
      <w:marRight w:val="0"/>
      <w:marTop w:val="0"/>
      <w:marBottom w:val="0"/>
      <w:divBdr>
        <w:top w:val="none" w:sz="0" w:space="0" w:color="auto"/>
        <w:left w:val="none" w:sz="0" w:space="0" w:color="auto"/>
        <w:bottom w:val="none" w:sz="0" w:space="0" w:color="auto"/>
        <w:right w:val="none" w:sz="0" w:space="0" w:color="auto"/>
      </w:divBdr>
    </w:div>
    <w:div w:id="1209611178">
      <w:bodyDiv w:val="1"/>
      <w:marLeft w:val="0"/>
      <w:marRight w:val="0"/>
      <w:marTop w:val="0"/>
      <w:marBottom w:val="0"/>
      <w:divBdr>
        <w:top w:val="none" w:sz="0" w:space="0" w:color="auto"/>
        <w:left w:val="none" w:sz="0" w:space="0" w:color="auto"/>
        <w:bottom w:val="none" w:sz="0" w:space="0" w:color="auto"/>
        <w:right w:val="none" w:sz="0" w:space="0" w:color="auto"/>
      </w:divBdr>
      <w:divsChild>
        <w:div w:id="1265529789">
          <w:marLeft w:val="0"/>
          <w:marRight w:val="0"/>
          <w:marTop w:val="0"/>
          <w:marBottom w:val="0"/>
          <w:divBdr>
            <w:top w:val="none" w:sz="0" w:space="0" w:color="auto"/>
            <w:left w:val="none" w:sz="0" w:space="0" w:color="auto"/>
            <w:bottom w:val="none" w:sz="0" w:space="0" w:color="auto"/>
            <w:right w:val="none" w:sz="0" w:space="0" w:color="auto"/>
          </w:divBdr>
        </w:div>
      </w:divsChild>
    </w:div>
    <w:div w:id="1529217448">
      <w:bodyDiv w:val="1"/>
      <w:marLeft w:val="0"/>
      <w:marRight w:val="0"/>
      <w:marTop w:val="0"/>
      <w:marBottom w:val="0"/>
      <w:divBdr>
        <w:top w:val="none" w:sz="0" w:space="0" w:color="auto"/>
        <w:left w:val="none" w:sz="0" w:space="0" w:color="auto"/>
        <w:bottom w:val="none" w:sz="0" w:space="0" w:color="auto"/>
        <w:right w:val="none" w:sz="0" w:space="0" w:color="auto"/>
      </w:divBdr>
      <w:divsChild>
        <w:div w:id="834981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185</TotalTime>
  <Pages>13</Pages>
  <Words>4001</Words>
  <Characters>24367</Characters>
  <Application>Microsoft Office Word</Application>
  <DocSecurity>0</DocSecurity>
  <Lines>1522</Lines>
  <Paragraphs>272</Paragraphs>
  <ScaleCrop>false</ScaleCrop>
  <Company/>
  <LinksUpToDate>false</LinksUpToDate>
  <CharactersWithSpaces>28096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Millard</dc:creator>
  <cp:keywords/>
  <dc:description/>
  <cp:lastModifiedBy>Josh Millard</cp:lastModifiedBy>
  <cp:revision>30</cp:revision>
  <dcterms:created xsi:type="dcterms:W3CDTF">2025-11-19T09:26:00Z</dcterms:created>
  <dcterms:modified xsi:type="dcterms:W3CDTF">2025-11-20T22:11:00Z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a7b25a8-32e9-4044-88bd-391cf0513fa4_Enabled">
    <vt:lpwstr>true</vt:lpwstr>
  </property>
  <property fmtid="{D5CDD505-2E9C-101B-9397-08002B2CF9AE}" pid="3" name="MSIP_Label_1a7b25a8-32e9-4044-88bd-391cf0513fa4_SetDate">
    <vt:lpwstr>2025-11-19T09:38:17Z</vt:lpwstr>
  </property>
  <property fmtid="{D5CDD505-2E9C-101B-9397-08002B2CF9AE}" pid="4" name="MSIP_Label_1a7b25a8-32e9-4044-88bd-391cf0513fa4_Method">
    <vt:lpwstr>Privileged</vt:lpwstr>
  </property>
  <property fmtid="{D5CDD505-2E9C-101B-9397-08002B2CF9AE}" pid="5" name="MSIP_Label_1a7b25a8-32e9-4044-88bd-391cf0513fa4_Name">
    <vt:lpwstr>NOT PROTECTIVELY MARKED</vt:lpwstr>
  </property>
  <property fmtid="{D5CDD505-2E9C-101B-9397-08002B2CF9AE}" pid="6" name="MSIP_Label_1a7b25a8-32e9-4044-88bd-391cf0513fa4_SiteId">
    <vt:lpwstr>1a67444e-6d14-4022-b01c-c225b1c02a3c</vt:lpwstr>
  </property>
  <property fmtid="{D5CDD505-2E9C-101B-9397-08002B2CF9AE}" pid="7" name="MSIP_Label_1a7b25a8-32e9-4044-88bd-391cf0513fa4_ActionId">
    <vt:lpwstr>25eafad9-7064-466a-8a76-127582ec9ff5</vt:lpwstr>
  </property>
  <property fmtid="{D5CDD505-2E9C-101B-9397-08002B2CF9AE}" pid="8" name="MSIP_Label_1a7b25a8-32e9-4044-88bd-391cf0513fa4_ContentBits">
    <vt:lpwstr>0</vt:lpwstr>
  </property>
  <property fmtid="{D5CDD505-2E9C-101B-9397-08002B2CF9AE}" pid="9" name="MSIP_Label_1a7b25a8-32e9-4044-88bd-391cf0513fa4_Tag">
    <vt:lpwstr>10, 0, 1, 1</vt:lpwstr>
  </property>
</Properties>
</file>