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93822" w14:textId="77777777" w:rsidR="00B4591E" w:rsidRPr="00B4591E" w:rsidRDefault="00B4591E" w:rsidP="00B4591E">
      <w:pPr>
        <w:spacing w:line="259" w:lineRule="auto"/>
        <w:jc w:val="center"/>
        <w:rPr>
          <w:rFonts w:ascii="Arial" w:hAnsi="Arial" w:cs="Arial"/>
          <w:color w:val="000000" w:themeColor="text1"/>
          <w:sz w:val="48"/>
          <w:szCs w:val="48"/>
        </w:rPr>
      </w:pPr>
    </w:p>
    <w:p w14:paraId="0BA69EAC" w14:textId="77777777" w:rsidR="00B4591E" w:rsidRPr="00B4591E" w:rsidRDefault="00B4591E" w:rsidP="00B4591E">
      <w:pPr>
        <w:jc w:val="center"/>
        <w:rPr>
          <w:rFonts w:ascii="Arial" w:hAnsi="Arial" w:cs="Arial"/>
          <w:sz w:val="48"/>
          <w:szCs w:val="48"/>
        </w:rPr>
      </w:pPr>
    </w:p>
    <w:p w14:paraId="3AA1FAA2" w14:textId="77777777" w:rsidR="00B4591E" w:rsidRPr="00B4591E" w:rsidRDefault="00B4591E" w:rsidP="00B4591E">
      <w:pPr>
        <w:jc w:val="center"/>
        <w:rPr>
          <w:rFonts w:ascii="Arial" w:hAnsi="Arial" w:cs="Arial"/>
          <w:sz w:val="48"/>
          <w:szCs w:val="48"/>
        </w:rPr>
      </w:pPr>
    </w:p>
    <w:p w14:paraId="1C85801C" w14:textId="77777777" w:rsidR="00B4591E" w:rsidRPr="00B4591E" w:rsidRDefault="00B4591E" w:rsidP="00B4591E">
      <w:pPr>
        <w:jc w:val="center"/>
        <w:rPr>
          <w:rFonts w:ascii="Arial" w:hAnsi="Arial" w:cs="Arial"/>
          <w:sz w:val="48"/>
          <w:szCs w:val="48"/>
        </w:rPr>
      </w:pPr>
    </w:p>
    <w:p w14:paraId="66B521AE" w14:textId="77777777" w:rsidR="00B4591E" w:rsidRPr="00B4591E" w:rsidRDefault="00B4591E" w:rsidP="00B4591E">
      <w:pPr>
        <w:jc w:val="center"/>
        <w:rPr>
          <w:rFonts w:ascii="Arial" w:hAnsi="Arial" w:cs="Arial"/>
          <w:sz w:val="48"/>
          <w:szCs w:val="48"/>
        </w:rPr>
      </w:pPr>
    </w:p>
    <w:p w14:paraId="413609DF" w14:textId="77777777" w:rsidR="00B4591E" w:rsidRPr="00B4591E" w:rsidRDefault="00B4591E" w:rsidP="00B4591E">
      <w:pPr>
        <w:jc w:val="center"/>
        <w:rPr>
          <w:rFonts w:ascii="Arial" w:hAnsi="Arial" w:cs="Arial"/>
          <w:sz w:val="48"/>
          <w:szCs w:val="48"/>
        </w:rPr>
      </w:pPr>
    </w:p>
    <w:p w14:paraId="3F47D74C" w14:textId="421B4591" w:rsidR="00B4591E" w:rsidRPr="00B4591E" w:rsidRDefault="00B4591E" w:rsidP="00B4591E">
      <w:pPr>
        <w:tabs>
          <w:tab w:val="left" w:pos="3117"/>
          <w:tab w:val="center" w:pos="4513"/>
          <w:tab w:val="left" w:pos="5541"/>
        </w:tabs>
        <w:rPr>
          <w:rFonts w:ascii="Arial" w:hAnsi="Arial" w:cs="Arial"/>
          <w:sz w:val="48"/>
          <w:szCs w:val="48"/>
        </w:rPr>
      </w:pPr>
      <w:r w:rsidRPr="00B4591E">
        <w:rPr>
          <w:rFonts w:ascii="Arial" w:hAnsi="Arial" w:cs="Arial"/>
          <w:sz w:val="48"/>
          <w:szCs w:val="48"/>
        </w:rPr>
        <w:tab/>
      </w:r>
      <w:r w:rsidRPr="00B4591E">
        <w:rPr>
          <w:rFonts w:ascii="Arial" w:hAnsi="Arial" w:cs="Arial"/>
          <w:sz w:val="48"/>
          <w:szCs w:val="48"/>
        </w:rPr>
        <w:tab/>
        <w:t>ECAD7004</w:t>
      </w:r>
      <w:r w:rsidRPr="00B4591E">
        <w:rPr>
          <w:rFonts w:ascii="Arial" w:hAnsi="Arial" w:cs="Arial"/>
          <w:sz w:val="48"/>
          <w:szCs w:val="48"/>
        </w:rPr>
        <w:tab/>
      </w:r>
    </w:p>
    <w:p w14:paraId="5038433A" w14:textId="02F293D0" w:rsidR="00B4591E" w:rsidRPr="00B4591E" w:rsidRDefault="00B4591E" w:rsidP="00B4591E">
      <w:pPr>
        <w:tabs>
          <w:tab w:val="left" w:pos="1750"/>
        </w:tabs>
        <w:spacing w:line="259" w:lineRule="auto"/>
        <w:jc w:val="center"/>
        <w:rPr>
          <w:rFonts w:ascii="Arial" w:hAnsi="Arial" w:cs="Arial"/>
          <w:color w:val="000000" w:themeColor="text1"/>
          <w:sz w:val="48"/>
          <w:szCs w:val="48"/>
        </w:rPr>
      </w:pPr>
      <w:r w:rsidRPr="00B4591E">
        <w:rPr>
          <w:rFonts w:ascii="Arial" w:hAnsi="Arial" w:cs="Arial"/>
          <w:color w:val="000000" w:themeColor="text1"/>
          <w:sz w:val="48"/>
          <w:szCs w:val="48"/>
        </w:rPr>
        <w:t>How do young children in early years education understand and engage with the Assessment for Learning (AFL) strategy, the Lego Challenge?</w:t>
      </w:r>
    </w:p>
    <w:p w14:paraId="5FF87756" w14:textId="6CC1C920" w:rsidR="00B4591E" w:rsidRPr="00B4591E" w:rsidRDefault="00B4591E" w:rsidP="00B4591E">
      <w:pPr>
        <w:tabs>
          <w:tab w:val="left" w:pos="1750"/>
        </w:tabs>
        <w:spacing w:line="259" w:lineRule="auto"/>
        <w:jc w:val="center"/>
        <w:rPr>
          <w:rFonts w:ascii="Arial" w:hAnsi="Arial" w:cs="Arial"/>
          <w:color w:val="000000" w:themeColor="text1"/>
          <w:sz w:val="48"/>
          <w:szCs w:val="48"/>
        </w:rPr>
      </w:pPr>
      <w:r w:rsidRPr="00B4591E">
        <w:rPr>
          <w:rFonts w:ascii="Arial" w:hAnsi="Arial" w:cs="Arial"/>
          <w:color w:val="000000" w:themeColor="text1"/>
          <w:sz w:val="48"/>
          <w:szCs w:val="48"/>
        </w:rPr>
        <w:t>2305953</w:t>
      </w:r>
    </w:p>
    <w:p w14:paraId="00DE2BF1" w14:textId="47FE9F29" w:rsidR="00B4591E" w:rsidRPr="00B4591E" w:rsidRDefault="00B4591E" w:rsidP="00B4591E">
      <w:pPr>
        <w:tabs>
          <w:tab w:val="left" w:pos="1750"/>
        </w:tabs>
        <w:spacing w:line="259" w:lineRule="auto"/>
        <w:jc w:val="center"/>
        <w:rPr>
          <w:rFonts w:ascii="Arial" w:hAnsi="Arial" w:cs="Arial"/>
          <w:color w:val="000000" w:themeColor="text1"/>
          <w:sz w:val="48"/>
          <w:szCs w:val="48"/>
        </w:rPr>
      </w:pPr>
      <w:r w:rsidRPr="00B4591E">
        <w:rPr>
          <w:rFonts w:ascii="Arial" w:hAnsi="Arial" w:cs="Arial"/>
          <w:color w:val="000000" w:themeColor="text1"/>
          <w:sz w:val="48"/>
          <w:szCs w:val="48"/>
        </w:rPr>
        <w:t>Donovan Griffin</w:t>
      </w:r>
    </w:p>
    <w:p w14:paraId="1D16A9B9" w14:textId="560E94DA" w:rsidR="00B4591E" w:rsidRPr="00B4591E" w:rsidRDefault="00B4591E" w:rsidP="00B4591E">
      <w:pPr>
        <w:tabs>
          <w:tab w:val="left" w:pos="1750"/>
        </w:tabs>
        <w:spacing w:line="259" w:lineRule="auto"/>
        <w:jc w:val="center"/>
        <w:rPr>
          <w:rFonts w:ascii="Arial" w:hAnsi="Arial" w:cs="Arial"/>
          <w:color w:val="000000" w:themeColor="text1"/>
          <w:sz w:val="48"/>
          <w:szCs w:val="48"/>
        </w:rPr>
      </w:pPr>
      <w:r w:rsidRPr="00B4591E">
        <w:rPr>
          <w:rFonts w:ascii="Arial" w:hAnsi="Arial" w:cs="Arial"/>
          <w:color w:val="000000" w:themeColor="text1"/>
          <w:sz w:val="48"/>
          <w:szCs w:val="48"/>
        </w:rPr>
        <w:t>4262 words</w:t>
      </w:r>
    </w:p>
    <w:p w14:paraId="6559233E" w14:textId="77777777" w:rsidR="00B4591E" w:rsidRPr="00B4591E" w:rsidRDefault="00B4591E" w:rsidP="00B4591E">
      <w:pPr>
        <w:tabs>
          <w:tab w:val="left" w:pos="1750"/>
        </w:tabs>
        <w:spacing w:line="259" w:lineRule="auto"/>
        <w:jc w:val="center"/>
        <w:rPr>
          <w:rFonts w:ascii="Arial" w:hAnsi="Arial" w:cs="Arial"/>
          <w:color w:val="000000" w:themeColor="text1"/>
          <w:sz w:val="48"/>
          <w:szCs w:val="48"/>
        </w:rPr>
      </w:pPr>
    </w:p>
    <w:p w14:paraId="049471A0" w14:textId="4AF5BBF3" w:rsidR="00F90C9E" w:rsidRPr="00B4591E" w:rsidRDefault="00B4591E" w:rsidP="00B4591E">
      <w:pPr>
        <w:spacing w:line="480" w:lineRule="auto"/>
        <w:rPr>
          <w:rFonts w:ascii="Arial" w:hAnsi="Arial" w:cs="Arial"/>
          <w:b/>
          <w:bCs/>
          <w:color w:val="000000" w:themeColor="text1"/>
        </w:rPr>
      </w:pPr>
      <w:r w:rsidRPr="00B4591E">
        <w:br w:type="column"/>
      </w:r>
      <w:r w:rsidR="00F90C9E" w:rsidRPr="00B4591E">
        <w:rPr>
          <w:rFonts w:ascii="Arial" w:hAnsi="Arial" w:cs="Arial"/>
          <w:b/>
          <w:bCs/>
          <w:color w:val="000000" w:themeColor="text1"/>
        </w:rPr>
        <w:lastRenderedPageBreak/>
        <w:t xml:space="preserve"> </w:t>
      </w:r>
      <w:r w:rsidR="00F90C9E" w:rsidRPr="00B4591E">
        <w:rPr>
          <w:rFonts w:ascii="Arial" w:hAnsi="Arial" w:cs="Arial"/>
          <w:b/>
          <w:bCs/>
          <w:vanish/>
          <w:color w:val="000000" w:themeColor="text1"/>
        </w:rPr>
        <w:t>Top of Form</w:t>
      </w:r>
      <w:r w:rsidR="00F90C9E" w:rsidRPr="00B4591E">
        <w:rPr>
          <w:rFonts w:ascii="Arial" w:hAnsi="Arial" w:cs="Arial"/>
          <w:b/>
          <w:bCs/>
          <w:color w:val="000000" w:themeColor="text1"/>
        </w:rPr>
        <w:t>Intro</w:t>
      </w:r>
      <w:r w:rsidR="00633FB0" w:rsidRPr="00B4591E">
        <w:rPr>
          <w:rFonts w:ascii="Arial" w:hAnsi="Arial" w:cs="Arial"/>
          <w:b/>
          <w:bCs/>
          <w:color w:val="000000" w:themeColor="text1"/>
        </w:rPr>
        <w:t>duction</w:t>
      </w:r>
      <w:r w:rsidR="00F90C9E" w:rsidRPr="00B4591E">
        <w:rPr>
          <w:rFonts w:ascii="Arial" w:hAnsi="Arial" w:cs="Arial"/>
          <w:b/>
          <w:bCs/>
          <w:color w:val="000000" w:themeColor="text1"/>
        </w:rPr>
        <w:t xml:space="preserve"> </w:t>
      </w:r>
    </w:p>
    <w:p w14:paraId="4DD7B74E" w14:textId="651F3482"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Despite the widespread implementation of Assessment for Learning (AFL) strategies in early years education, there remains a gap in understanding how early years learners perceive and comprehend these strategies. The lack of empirical research on early years learners' understanding of AFL strategies hinders our ability to assess its effectiveness and tailor instructional approaches to meet the diverse needs of young learners. </w:t>
      </w:r>
    </w:p>
    <w:p w14:paraId="679FFD4E" w14:textId="7777777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Therefore, the research problem lies in investigating how early years learners interpret, engage with, and derive benefit from AFL strategies, with a view to informing more effective pedagogical practices in early childhood education. </w:t>
      </w:r>
    </w:p>
    <w:p w14:paraId="7FC58E98" w14:textId="7777777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This paper presents a small-scale study, conducted whilst on a PTE placement,  that explores the views of learners from an early </w:t>
      </w:r>
      <w:proofErr w:type="gramStart"/>
      <w:r w:rsidRPr="00B4591E">
        <w:rPr>
          <w:rFonts w:ascii="Arial" w:hAnsi="Arial" w:cs="Arial"/>
          <w:color w:val="000000" w:themeColor="text1"/>
        </w:rPr>
        <w:t>years</w:t>
      </w:r>
      <w:proofErr w:type="gramEnd"/>
      <w:r w:rsidRPr="00B4591E">
        <w:rPr>
          <w:rFonts w:ascii="Arial" w:hAnsi="Arial" w:cs="Arial"/>
          <w:color w:val="000000" w:themeColor="text1"/>
        </w:rPr>
        <w:t xml:space="preserve"> classroom at a primary school, in West Wales. The classroom consisted of 32 learners aged 3-4. The aim of the research was to investigate the learning experiences of early years learners when engaging with one particular AFL strategy, the Lego Challenge, aiming to understand how they perceive, interpret, and respond to this educational approach in early childhood settings. To realise </w:t>
      </w:r>
      <w:proofErr w:type="gramStart"/>
      <w:r w:rsidRPr="00B4591E">
        <w:rPr>
          <w:rFonts w:ascii="Arial" w:hAnsi="Arial" w:cs="Arial"/>
          <w:color w:val="000000" w:themeColor="text1"/>
        </w:rPr>
        <w:t>this</w:t>
      </w:r>
      <w:proofErr w:type="gramEnd"/>
      <w:r w:rsidRPr="00B4591E">
        <w:rPr>
          <w:rFonts w:ascii="Arial" w:hAnsi="Arial" w:cs="Arial"/>
          <w:color w:val="000000" w:themeColor="text1"/>
        </w:rPr>
        <w:t xml:space="preserve"> aim the research question focused on: </w:t>
      </w:r>
    </w:p>
    <w:p w14:paraId="58FC67AF" w14:textId="77777777" w:rsidR="00F90C9E" w:rsidRPr="00B4591E" w:rsidRDefault="00F90C9E" w:rsidP="00B4591E">
      <w:pPr>
        <w:pStyle w:val="ListParagraph"/>
        <w:numPr>
          <w:ilvl w:val="0"/>
          <w:numId w:val="1"/>
        </w:numPr>
        <w:spacing w:line="480" w:lineRule="auto"/>
        <w:rPr>
          <w:rFonts w:ascii="Arial" w:hAnsi="Arial" w:cs="Arial"/>
          <w:vanish/>
          <w:color w:val="000000" w:themeColor="text1"/>
        </w:rPr>
      </w:pPr>
      <w:r w:rsidRPr="00B4591E">
        <w:rPr>
          <w:rFonts w:ascii="Arial" w:hAnsi="Arial" w:cs="Arial"/>
          <w:color w:val="000000" w:themeColor="text1"/>
        </w:rPr>
        <w:t xml:space="preserve">How do young children in early years education comprehend and engage with the Assessment for Learning (AFL) strategy, the Lego Challenge? </w:t>
      </w:r>
      <w:r w:rsidRPr="00B4591E">
        <w:rPr>
          <w:rFonts w:ascii="Arial" w:hAnsi="Arial" w:cs="Arial"/>
          <w:vanish/>
          <w:color w:val="000000" w:themeColor="text1"/>
        </w:rPr>
        <w:t>Top of Form</w:t>
      </w:r>
    </w:p>
    <w:p w14:paraId="66229830" w14:textId="77777777" w:rsidR="00F90C9E" w:rsidRPr="00B4591E" w:rsidRDefault="00F90C9E" w:rsidP="00B4591E">
      <w:pPr>
        <w:spacing w:line="480" w:lineRule="auto"/>
        <w:rPr>
          <w:rFonts w:ascii="Arial" w:hAnsi="Arial" w:cs="Arial"/>
          <w:color w:val="000000" w:themeColor="text1"/>
        </w:rPr>
      </w:pPr>
    </w:p>
    <w:p w14:paraId="58354DB1" w14:textId="77777777" w:rsidR="00F90C9E" w:rsidRDefault="00F90C9E" w:rsidP="00B4591E">
      <w:pPr>
        <w:spacing w:line="480" w:lineRule="auto"/>
        <w:rPr>
          <w:rFonts w:ascii="Arial" w:hAnsi="Arial" w:cs="Arial"/>
          <w:color w:val="000000" w:themeColor="text1"/>
        </w:rPr>
      </w:pPr>
      <w:r w:rsidRPr="00B4591E">
        <w:rPr>
          <w:rFonts w:ascii="Arial" w:hAnsi="Arial" w:cs="Arial"/>
          <w:color w:val="000000" w:themeColor="text1"/>
        </w:rPr>
        <w:t>For ethical purposes and to maintain anonymity of the school and all learners participating in this research, BERA (2018) guidelines will be followed for the whole of this assignment; henceforth the school will be known as ‘School A’ and participants known as ‘Learner A, B, C.’</w:t>
      </w:r>
    </w:p>
    <w:p w14:paraId="2A73ADA3" w14:textId="77777777" w:rsidR="00B4591E" w:rsidRPr="00B4591E" w:rsidRDefault="00B4591E" w:rsidP="00B4591E">
      <w:pPr>
        <w:spacing w:line="480" w:lineRule="auto"/>
        <w:rPr>
          <w:rFonts w:ascii="Arial" w:hAnsi="Arial" w:cs="Arial"/>
          <w:color w:val="000000" w:themeColor="text1"/>
        </w:rPr>
      </w:pPr>
    </w:p>
    <w:p w14:paraId="475412D1" w14:textId="26B993C8" w:rsidR="00F90C9E" w:rsidRPr="00B4591E" w:rsidRDefault="00F90C9E" w:rsidP="00B4591E">
      <w:pPr>
        <w:spacing w:line="480" w:lineRule="auto"/>
        <w:rPr>
          <w:rFonts w:ascii="Arial" w:hAnsi="Arial" w:cs="Arial"/>
          <w:b/>
          <w:bCs/>
          <w:color w:val="000000" w:themeColor="text1"/>
        </w:rPr>
      </w:pPr>
      <w:r w:rsidRPr="00B4591E">
        <w:rPr>
          <w:rFonts w:ascii="Arial" w:hAnsi="Arial" w:cs="Arial"/>
          <w:b/>
          <w:bCs/>
          <w:color w:val="000000" w:themeColor="text1"/>
        </w:rPr>
        <w:lastRenderedPageBreak/>
        <w:t>Literature Review</w:t>
      </w:r>
      <w:r w:rsidRPr="00B4591E">
        <w:rPr>
          <w:rFonts w:ascii="Arial" w:hAnsi="Arial" w:cs="Arial"/>
          <w:b/>
          <w:bCs/>
          <w:color w:val="000000" w:themeColor="text1"/>
        </w:rPr>
        <w:t xml:space="preserve"> </w:t>
      </w:r>
    </w:p>
    <w:p w14:paraId="2C7E167F" w14:textId="3ECC869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Assessment for learning (AfL) stands as a cornerstone of effective teaching, prioritizing assessment's role in informing and supporting student learning rather than mere accountability or ranking purposes. Black and </w:t>
      </w:r>
      <w:proofErr w:type="spellStart"/>
      <w:r w:rsidRPr="00B4591E">
        <w:rPr>
          <w:rFonts w:ascii="Arial" w:hAnsi="Arial" w:cs="Arial"/>
          <w:color w:val="000000" w:themeColor="text1"/>
        </w:rPr>
        <w:t>Wiliam</w:t>
      </w:r>
      <w:proofErr w:type="spellEnd"/>
      <w:r w:rsidRPr="00B4591E">
        <w:rPr>
          <w:rFonts w:ascii="Arial" w:hAnsi="Arial" w:cs="Arial"/>
          <w:color w:val="000000" w:themeColor="text1"/>
        </w:rPr>
        <w:t xml:space="preserve"> (1998) define AfL as assessments designed primarily to promote pupils' learning, distinguishing it from assessments aimed at certification or accountability. </w:t>
      </w:r>
      <w:proofErr w:type="spellStart"/>
      <w:r w:rsidRPr="00B4591E">
        <w:rPr>
          <w:rFonts w:ascii="Arial" w:hAnsi="Arial" w:cs="Arial"/>
          <w:color w:val="000000" w:themeColor="text1"/>
        </w:rPr>
        <w:t>Stiggins</w:t>
      </w:r>
      <w:proofErr w:type="spellEnd"/>
      <w:r w:rsidRPr="00B4591E">
        <w:rPr>
          <w:rFonts w:ascii="Arial" w:hAnsi="Arial" w:cs="Arial"/>
          <w:color w:val="000000" w:themeColor="text1"/>
        </w:rPr>
        <w:t xml:space="preserve"> (2005) underscores how AfL transforms assessment into a powerful tool for elevating student achievement and bolstering teachers' confidence. Harlen (2005) emphasizes </w:t>
      </w:r>
      <w:proofErr w:type="spellStart"/>
      <w:r w:rsidRPr="00B4591E">
        <w:rPr>
          <w:rFonts w:ascii="Arial" w:hAnsi="Arial" w:cs="Arial"/>
          <w:color w:val="000000" w:themeColor="text1"/>
        </w:rPr>
        <w:t>AfL's</w:t>
      </w:r>
      <w:proofErr w:type="spellEnd"/>
      <w:r w:rsidRPr="00B4591E">
        <w:rPr>
          <w:rFonts w:ascii="Arial" w:hAnsi="Arial" w:cs="Arial"/>
          <w:color w:val="000000" w:themeColor="text1"/>
        </w:rPr>
        <w:t xml:space="preserve"> core purpose: empowering students to become reflective, self-regulated learners capable of understanding and improving their learning processes. Shepard (2000) encapsulates the essence of AfL in teaching students how to learn, marking a shift from passive reception to active engagement in the learning journey. OECD (2005) highlights the significant positive impact of AfL on student learning, especially for low-achieving students. Hattie and Timperley (2007) stress that AfL strategies like feedback, self-assessment, and peer assessment are most effective when seamlessly integrated into everyday teaching and learning practices. </w:t>
      </w:r>
      <w:proofErr w:type="spellStart"/>
      <w:r w:rsidRPr="00B4591E">
        <w:rPr>
          <w:rFonts w:ascii="Arial" w:hAnsi="Arial" w:cs="Arial"/>
          <w:color w:val="000000" w:themeColor="text1"/>
        </w:rPr>
        <w:t>Wiliam</w:t>
      </w:r>
      <w:proofErr w:type="spellEnd"/>
      <w:r w:rsidRPr="00B4591E">
        <w:rPr>
          <w:rFonts w:ascii="Arial" w:hAnsi="Arial" w:cs="Arial"/>
          <w:color w:val="000000" w:themeColor="text1"/>
        </w:rPr>
        <w:t xml:space="preserve"> (2011) explains </w:t>
      </w:r>
      <w:proofErr w:type="spellStart"/>
      <w:r w:rsidRPr="00B4591E">
        <w:rPr>
          <w:rFonts w:ascii="Arial" w:hAnsi="Arial" w:cs="Arial"/>
          <w:color w:val="000000" w:themeColor="text1"/>
        </w:rPr>
        <w:t>AfL's</w:t>
      </w:r>
      <w:proofErr w:type="spellEnd"/>
      <w:r w:rsidRPr="00B4591E">
        <w:rPr>
          <w:rFonts w:ascii="Arial" w:hAnsi="Arial" w:cs="Arial"/>
          <w:color w:val="000000" w:themeColor="text1"/>
        </w:rPr>
        <w:t xml:space="preserve"> ultimate goal: cultivating independent, self-regulated learners who can set goals, monitor progress, and adapt learning strategies accordingly. Sadler (1998) underscores the importance of clear learning targets, regular feedback, and opportunities for self-assessment and peer assessment within the framework of AfL. Together, these quotes and references affirm the transformative impact of AfL on teaching and learning processes, advocating for a student-</w:t>
      </w:r>
      <w:r w:rsidRPr="00B4591E">
        <w:rPr>
          <w:rFonts w:ascii="Arial" w:hAnsi="Arial" w:cs="Arial"/>
          <w:color w:val="000000" w:themeColor="text1"/>
        </w:rPr>
        <w:t>centred</w:t>
      </w:r>
      <w:r w:rsidRPr="00B4591E">
        <w:rPr>
          <w:rFonts w:ascii="Arial" w:hAnsi="Arial" w:cs="Arial"/>
          <w:color w:val="000000" w:themeColor="text1"/>
        </w:rPr>
        <w:t xml:space="preserve"> approach that fosters engagement, reflection, and growth.</w:t>
      </w:r>
    </w:p>
    <w:p w14:paraId="6186045D" w14:textId="5D6A2EE8"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Self-assessment, a cornerstone of Assessment for Learning (AfL), is a potent strategy that empowers students to take charge of their learning journey. As </w:t>
      </w:r>
      <w:r w:rsidR="00541655" w:rsidRPr="00B4591E">
        <w:rPr>
          <w:rFonts w:ascii="Arial" w:hAnsi="Arial" w:cs="Arial"/>
          <w:color w:val="000000" w:themeColor="text1"/>
        </w:rPr>
        <w:t xml:space="preserve">Schunk </w:t>
      </w:r>
      <w:r w:rsidR="00541655" w:rsidRPr="00B4591E">
        <w:rPr>
          <w:rFonts w:ascii="Arial" w:hAnsi="Arial" w:cs="Arial"/>
          <w:color w:val="000000" w:themeColor="text1"/>
        </w:rPr>
        <w:lastRenderedPageBreak/>
        <w:t xml:space="preserve">and </w:t>
      </w:r>
      <w:r w:rsidRPr="00B4591E">
        <w:rPr>
          <w:rFonts w:ascii="Arial" w:hAnsi="Arial" w:cs="Arial"/>
          <w:color w:val="000000" w:themeColor="text1"/>
        </w:rPr>
        <w:t>Zimmerman (</w:t>
      </w:r>
      <w:r w:rsidR="00541655" w:rsidRPr="00B4591E">
        <w:rPr>
          <w:rFonts w:ascii="Arial" w:hAnsi="Arial" w:cs="Arial"/>
          <w:color w:val="000000" w:themeColor="text1"/>
        </w:rPr>
        <w:t>1998</w:t>
      </w:r>
      <w:r w:rsidRPr="00B4591E">
        <w:rPr>
          <w:rFonts w:ascii="Arial" w:hAnsi="Arial" w:cs="Arial"/>
          <w:color w:val="000000" w:themeColor="text1"/>
        </w:rPr>
        <w:t xml:space="preserve">) elucidates, it nurtures self-regulated learning by enabling students to monitor progress, identify areas for improvement, and set meaningful goals. This sentiment is echoed by Black and </w:t>
      </w:r>
      <w:proofErr w:type="spellStart"/>
      <w:r w:rsidRPr="00B4591E">
        <w:rPr>
          <w:rFonts w:ascii="Arial" w:hAnsi="Arial" w:cs="Arial"/>
          <w:color w:val="000000" w:themeColor="text1"/>
        </w:rPr>
        <w:t>Wiliam</w:t>
      </w:r>
      <w:proofErr w:type="spellEnd"/>
      <w:r w:rsidRPr="00B4591E">
        <w:rPr>
          <w:rFonts w:ascii="Arial" w:hAnsi="Arial" w:cs="Arial"/>
          <w:color w:val="000000" w:themeColor="text1"/>
        </w:rPr>
        <w:t xml:space="preserve"> (1998), who underscore self-assessment's role in fostering a culture of continuous improvement, where students actively engage in evaluating and enhancing their learning outcomes. Nicol and Macfarlane-Dick (2006) highlight self-assessment's capacity to promote metacognitive processes, enhancing students' understanding of their learning strengths and weaknesses. Additionally, </w:t>
      </w:r>
      <w:proofErr w:type="spellStart"/>
      <w:r w:rsidRPr="00B4591E">
        <w:rPr>
          <w:rFonts w:ascii="Arial" w:hAnsi="Arial" w:cs="Arial"/>
          <w:color w:val="000000" w:themeColor="text1"/>
        </w:rPr>
        <w:t>Boud</w:t>
      </w:r>
      <w:proofErr w:type="spellEnd"/>
      <w:r w:rsidRPr="00B4591E">
        <w:rPr>
          <w:rFonts w:ascii="Arial" w:hAnsi="Arial" w:cs="Arial"/>
          <w:color w:val="000000" w:themeColor="text1"/>
        </w:rPr>
        <w:t xml:space="preserve"> and </w:t>
      </w:r>
      <w:proofErr w:type="spellStart"/>
      <w:r w:rsidRPr="00B4591E">
        <w:rPr>
          <w:rFonts w:ascii="Arial" w:hAnsi="Arial" w:cs="Arial"/>
          <w:color w:val="000000" w:themeColor="text1"/>
        </w:rPr>
        <w:t>Falchikov</w:t>
      </w:r>
      <w:proofErr w:type="spellEnd"/>
      <w:r w:rsidRPr="00B4591E">
        <w:rPr>
          <w:rFonts w:ascii="Arial" w:hAnsi="Arial" w:cs="Arial"/>
          <w:color w:val="000000" w:themeColor="text1"/>
        </w:rPr>
        <w:t xml:space="preserve"> (2007) emphasize how self-assessment cultivates student autonomy and agency, encouraging them to take responsibility for their learning. Finally, Andrade (2005) stresses that self-assessment transcends mere performance evaluation; it involves reflecting on the learning process and setting meaningful goals for future growth. Together, these insights underscore the transformative impact of self-assessment on student agency, metacognition, and continuous improvement within the learning process.</w:t>
      </w:r>
    </w:p>
    <w:p w14:paraId="34AB0B47" w14:textId="4E8345D9"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Multiple studies have demonstrated that self-assessment enhances student achievement</w:t>
      </w:r>
      <w:r w:rsidR="00541655" w:rsidRPr="00B4591E">
        <w:rPr>
          <w:rFonts w:ascii="Arial" w:hAnsi="Arial" w:cs="Arial"/>
          <w:color w:val="000000" w:themeColor="text1"/>
        </w:rPr>
        <w:t xml:space="preserve">, </w:t>
      </w:r>
      <w:r w:rsidRPr="00B4591E">
        <w:rPr>
          <w:rFonts w:ascii="Arial" w:hAnsi="Arial" w:cs="Arial"/>
          <w:color w:val="000000" w:themeColor="text1"/>
        </w:rPr>
        <w:t>especially when educators offer explicit headlines on self-assessment techniques. (Ross</w:t>
      </w:r>
      <w:r w:rsidR="00541655" w:rsidRPr="00B4591E">
        <w:rPr>
          <w:rFonts w:ascii="Arial" w:hAnsi="Arial" w:cs="Arial"/>
          <w:color w:val="000000" w:themeColor="text1"/>
        </w:rPr>
        <w:t xml:space="preserve"> 2019</w:t>
      </w:r>
      <w:r w:rsidRPr="00B4591E">
        <w:rPr>
          <w:rFonts w:ascii="Arial" w:hAnsi="Arial" w:cs="Arial"/>
          <w:color w:val="000000" w:themeColor="text1"/>
        </w:rPr>
        <w:t>).</w:t>
      </w:r>
      <w:r w:rsidR="00541655" w:rsidRPr="00B4591E">
        <w:rPr>
          <w:rFonts w:ascii="Arial" w:hAnsi="Arial" w:cs="Arial"/>
          <w:color w:val="000000" w:themeColor="text1"/>
        </w:rPr>
        <w:t xml:space="preserve"> </w:t>
      </w:r>
      <w:r w:rsidRPr="00B4591E">
        <w:rPr>
          <w:rFonts w:ascii="Arial" w:hAnsi="Arial" w:cs="Arial"/>
          <w:color w:val="000000" w:themeColor="text1"/>
        </w:rPr>
        <w:t>Ross</w:t>
      </w:r>
      <w:r w:rsidR="00541655" w:rsidRPr="00B4591E">
        <w:rPr>
          <w:rFonts w:ascii="Arial" w:hAnsi="Arial" w:cs="Arial"/>
          <w:color w:val="000000" w:themeColor="text1"/>
        </w:rPr>
        <w:t xml:space="preserve"> and Bruce</w:t>
      </w:r>
      <w:r w:rsidRPr="00B4591E">
        <w:rPr>
          <w:rFonts w:ascii="Arial" w:hAnsi="Arial" w:cs="Arial"/>
          <w:color w:val="000000" w:themeColor="text1"/>
        </w:rPr>
        <w:t xml:space="preserve"> (200</w:t>
      </w:r>
      <w:r w:rsidR="00541655" w:rsidRPr="00B4591E">
        <w:rPr>
          <w:rFonts w:ascii="Arial" w:hAnsi="Arial" w:cs="Arial"/>
          <w:color w:val="000000" w:themeColor="text1"/>
        </w:rPr>
        <w:t>7</w:t>
      </w:r>
      <w:r w:rsidRPr="00B4591E">
        <w:rPr>
          <w:rFonts w:ascii="Arial" w:hAnsi="Arial" w:cs="Arial"/>
          <w:color w:val="000000" w:themeColor="text1"/>
        </w:rPr>
        <w:t xml:space="preserve">) </w:t>
      </w:r>
      <w:proofErr w:type="gramStart"/>
      <w:r w:rsidRPr="00B4591E">
        <w:rPr>
          <w:rFonts w:ascii="Arial" w:hAnsi="Arial" w:cs="Arial"/>
          <w:color w:val="000000" w:themeColor="text1"/>
        </w:rPr>
        <w:t>suggests</w:t>
      </w:r>
      <w:proofErr w:type="gramEnd"/>
      <w:r w:rsidRPr="00B4591E">
        <w:rPr>
          <w:rFonts w:ascii="Arial" w:hAnsi="Arial" w:cs="Arial"/>
          <w:color w:val="000000" w:themeColor="text1"/>
        </w:rPr>
        <w:t xml:space="preserve"> Teachers primary apprehension regarding self-assessment revolves around the worry that relinquishing assessment control to students might dimmish standards and incentivize students to exaggerate their assessments.</w:t>
      </w:r>
      <w:r w:rsidR="00541655" w:rsidRPr="00B4591E">
        <w:rPr>
          <w:rFonts w:ascii="Arial" w:hAnsi="Arial" w:cs="Arial"/>
          <w:color w:val="000000" w:themeColor="text1"/>
        </w:rPr>
        <w:t xml:space="preserve"> </w:t>
      </w:r>
      <w:r w:rsidRPr="00B4591E">
        <w:rPr>
          <w:rFonts w:ascii="Arial" w:hAnsi="Arial" w:cs="Arial"/>
          <w:color w:val="000000" w:themeColor="text1"/>
        </w:rPr>
        <w:t>Teachers have various strategies at their disposal to promote meaningful self-assessment in their classrooms. Students are provided with opportunities to reflect on their learning both during and at the end of sessions.</w:t>
      </w:r>
      <w:r w:rsidRPr="00B4591E">
        <w:rPr>
          <w:rFonts w:ascii="Arial" w:hAnsi="Arial" w:cs="Arial"/>
          <w:color w:val="000000" w:themeColor="text1"/>
        </w:rPr>
        <w:t xml:space="preserve"> </w:t>
      </w:r>
      <w:r w:rsidRPr="00B4591E">
        <w:rPr>
          <w:rFonts w:ascii="Arial" w:hAnsi="Arial" w:cs="Arial"/>
          <w:color w:val="000000" w:themeColor="text1"/>
        </w:rPr>
        <w:t xml:space="preserve">Black and William (1998) </w:t>
      </w:r>
      <w:r w:rsidRPr="00B4591E">
        <w:rPr>
          <w:rFonts w:ascii="Arial" w:hAnsi="Arial" w:cs="Arial"/>
          <w:color w:val="000000" w:themeColor="text1"/>
        </w:rPr>
        <w:t xml:space="preserve">suggest </w:t>
      </w:r>
      <w:r w:rsidRPr="00B4591E">
        <w:rPr>
          <w:rFonts w:ascii="Arial" w:hAnsi="Arial" w:cs="Arial"/>
          <w:color w:val="000000" w:themeColor="text1"/>
        </w:rPr>
        <w:t>Assessment for learning is any assessment for which the first priority in its design an</w:t>
      </w:r>
      <w:r w:rsidRPr="00B4591E">
        <w:rPr>
          <w:rFonts w:ascii="Arial" w:hAnsi="Arial" w:cs="Arial"/>
          <w:color w:val="000000" w:themeColor="text1"/>
        </w:rPr>
        <w:t xml:space="preserve">d </w:t>
      </w:r>
      <w:r w:rsidRPr="00B4591E">
        <w:rPr>
          <w:rFonts w:ascii="Arial" w:hAnsi="Arial" w:cs="Arial"/>
          <w:color w:val="000000" w:themeColor="text1"/>
        </w:rPr>
        <w:t>practice is to serve the purpose of promoting pupils' learning. It thus differs from assessment</w:t>
      </w:r>
      <w:r w:rsidR="00541655" w:rsidRPr="00B4591E">
        <w:rPr>
          <w:rFonts w:ascii="Arial" w:hAnsi="Arial" w:cs="Arial"/>
          <w:color w:val="000000" w:themeColor="text1"/>
        </w:rPr>
        <w:t xml:space="preserve"> </w:t>
      </w:r>
      <w:r w:rsidRPr="00B4591E">
        <w:rPr>
          <w:rFonts w:ascii="Arial" w:hAnsi="Arial" w:cs="Arial"/>
          <w:color w:val="000000" w:themeColor="text1"/>
        </w:rPr>
        <w:lastRenderedPageBreak/>
        <w:t xml:space="preserve">designed primarily to serve the purposes of accountability, or of ranking, or of certifying competence." </w:t>
      </w:r>
    </w:p>
    <w:p w14:paraId="0A5F9EE2" w14:textId="20DC7C7C"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 Examples include ‘KWL’ grids, where learners have to fill out a grid saying what they know at the start of a lesson, what they want to know and what they have learnt at the end of the lesson. Traffic lights is another example, where learners ‘RAG’ (red, amber, green) rate their work or the teachers used it for the same purpose, this provides quick, </w:t>
      </w:r>
      <w:proofErr w:type="gramStart"/>
      <w:r w:rsidRPr="00B4591E">
        <w:rPr>
          <w:rFonts w:ascii="Arial" w:hAnsi="Arial" w:cs="Arial"/>
          <w:color w:val="000000" w:themeColor="text1"/>
        </w:rPr>
        <w:t>visual</w:t>
      </w:r>
      <w:proofErr w:type="gramEnd"/>
      <w:r w:rsidRPr="00B4591E">
        <w:rPr>
          <w:rFonts w:ascii="Arial" w:hAnsi="Arial" w:cs="Arial"/>
          <w:color w:val="000000" w:themeColor="text1"/>
        </w:rPr>
        <w:t xml:space="preserve"> and effective feedback for the teacher from the students or for the students to express their understanding in tasks. Another example is simple but effective especially for time purposes and younger students is the simple thumbs up/thumbs down. Teachers can utilise this method by once again being able to gauge the understanding of classes in lessons and it is very quick and easy. </w:t>
      </w:r>
    </w:p>
    <w:p w14:paraId="400550EB" w14:textId="0D4DA23A"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Th</w:t>
      </w:r>
      <w:r w:rsidRPr="00B4591E">
        <w:rPr>
          <w:rFonts w:ascii="Arial" w:hAnsi="Arial" w:cs="Arial"/>
          <w:color w:val="000000" w:themeColor="text1"/>
        </w:rPr>
        <w:t xml:space="preserve">e Lego Challenge used by School A is an adaptation of the traffic light method but using Lego bricks instead. Learners use red, </w:t>
      </w:r>
      <w:proofErr w:type="gramStart"/>
      <w:r w:rsidRPr="00B4591E">
        <w:rPr>
          <w:rFonts w:ascii="Arial" w:hAnsi="Arial" w:cs="Arial"/>
          <w:color w:val="000000" w:themeColor="text1"/>
        </w:rPr>
        <w:t>yellow</w:t>
      </w:r>
      <w:proofErr w:type="gramEnd"/>
      <w:r w:rsidRPr="00B4591E">
        <w:rPr>
          <w:rFonts w:ascii="Arial" w:hAnsi="Arial" w:cs="Arial"/>
          <w:color w:val="000000" w:themeColor="text1"/>
        </w:rPr>
        <w:t xml:space="preserve"> and green Lego bricks to use as visuals</w:t>
      </w:r>
      <w:r w:rsidRPr="00B4591E">
        <w:rPr>
          <w:rFonts w:ascii="Arial" w:hAnsi="Arial" w:cs="Arial"/>
          <w:color w:val="000000" w:themeColor="text1"/>
        </w:rPr>
        <w:t>.</w:t>
      </w:r>
    </w:p>
    <w:p w14:paraId="1F56008E" w14:textId="77777777" w:rsidR="00541655" w:rsidRPr="00B4591E" w:rsidRDefault="00541655"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Case study research</w:t>
      </w:r>
    </w:p>
    <w:p w14:paraId="41600DCB"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Case study research is a qualitative research method that involves in-depth exploration and analysis of a particular phenomenon, individual, group, or situation within its real-life context.</w:t>
      </w:r>
    </w:p>
    <w:p w14:paraId="1CFE0628"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Stake (1995) suggests Case study research is not a methodological choice but a choice of what is to be studied.</w:t>
      </w:r>
    </w:p>
    <w:p w14:paraId="583EE51A"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Meriam (2009) highlights the benefits of doing case study’s, suggesting ‘Case studies facilitate the exploration of unique cases, allowing researchers to uncover rich, diverse perspectives and to develop comprehensive understandings of complex </w:t>
      </w:r>
      <w:proofErr w:type="gramStart"/>
      <w:r w:rsidRPr="00B4591E">
        <w:rPr>
          <w:rFonts w:ascii="Arial" w:hAnsi="Arial" w:cs="Arial"/>
          <w:color w:val="000000" w:themeColor="text1"/>
        </w:rPr>
        <w:t>issues’</w:t>
      </w:r>
      <w:proofErr w:type="gramEnd"/>
      <w:r w:rsidRPr="00B4591E">
        <w:rPr>
          <w:rFonts w:ascii="Arial" w:hAnsi="Arial" w:cs="Arial"/>
          <w:color w:val="000000" w:themeColor="text1"/>
        </w:rPr>
        <w:t>.</w:t>
      </w:r>
    </w:p>
    <w:p w14:paraId="7FE7F59A"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lastRenderedPageBreak/>
        <w:t xml:space="preserve">However, Stake (1995) discusses the limitations of taking part in case study research, saying ‘Case studies can be time-consuming and resource-intensive, requiring extensive data collection and analysis efforts, which may not always be feasible within the constraints of a research project.’ </w:t>
      </w:r>
    </w:p>
    <w:p w14:paraId="00C60903"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Cottrell (2019) further highlights the need of case </w:t>
      </w:r>
      <w:proofErr w:type="spellStart"/>
      <w:r w:rsidRPr="00B4591E">
        <w:rPr>
          <w:rFonts w:ascii="Arial" w:hAnsi="Arial" w:cs="Arial"/>
          <w:color w:val="000000" w:themeColor="text1"/>
        </w:rPr>
        <w:t>study’s</w:t>
      </w:r>
      <w:proofErr w:type="spellEnd"/>
      <w:r w:rsidRPr="00B4591E">
        <w:rPr>
          <w:rFonts w:ascii="Arial" w:hAnsi="Arial" w:cs="Arial"/>
          <w:color w:val="000000" w:themeColor="text1"/>
        </w:rPr>
        <w:t xml:space="preserve"> by suggesting ‘The aims of case study research is to help the researcher gain an understanding to a complex interaction of many variables that can play a part in the research.</w:t>
      </w:r>
    </w:p>
    <w:p w14:paraId="48547981"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The case study in focus is based around the AfL strategy the Lego challenge, a modification of an a recognised AfL strategy, RAG rating used to accommodate for the early year’s learners in the class. Through qualitative methods including observations, interviews and document analysis, this study aims to uncover the perceptions, experiences and learning outcomes of early years learners participating in the Lego Challenge. Findings form this study will provide insights into the effectiveness of this AfL strategy in promoting meaningful learning experiences and inform pedagogical practices in early childhood education.  </w:t>
      </w:r>
    </w:p>
    <w:p w14:paraId="6BC6134B"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The case study will work in line with the WG (2020) pedagogy standard of refining teaching: assessment. The case study is allowing the researcher to gather evidence from a range of methods which will then be </w:t>
      </w:r>
      <w:proofErr w:type="gramStart"/>
      <w:r w:rsidRPr="00B4591E">
        <w:rPr>
          <w:rFonts w:ascii="Arial" w:hAnsi="Arial" w:cs="Arial"/>
          <w:color w:val="000000" w:themeColor="text1"/>
        </w:rPr>
        <w:t>collated</w:t>
      </w:r>
      <w:proofErr w:type="gramEnd"/>
      <w:r w:rsidRPr="00B4591E">
        <w:rPr>
          <w:rFonts w:ascii="Arial" w:hAnsi="Arial" w:cs="Arial"/>
          <w:color w:val="000000" w:themeColor="text1"/>
        </w:rPr>
        <w:t xml:space="preserve"> and findings discussed in this small case study research project, with benefits and limitations discussed throughout before drawing to a conclusion based on the data collected and the evidence provided by the researcher. </w:t>
      </w:r>
    </w:p>
    <w:p w14:paraId="28DF09DA" w14:textId="77777777" w:rsidR="00541655"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The participants of this case study will all be from the early years class from a PTE placement. Early years learners </w:t>
      </w:r>
      <w:proofErr w:type="gramStart"/>
      <w:r w:rsidRPr="00B4591E">
        <w:rPr>
          <w:rFonts w:ascii="Arial" w:hAnsi="Arial" w:cs="Arial"/>
          <w:color w:val="000000" w:themeColor="text1"/>
        </w:rPr>
        <w:t>age</w:t>
      </w:r>
      <w:proofErr w:type="gramEnd"/>
      <w:r w:rsidRPr="00B4591E">
        <w:rPr>
          <w:rFonts w:ascii="Arial" w:hAnsi="Arial" w:cs="Arial"/>
          <w:color w:val="000000" w:themeColor="text1"/>
        </w:rPr>
        <w:t xml:space="preserve"> 3-4 from a single classroom will be used, with </w:t>
      </w:r>
      <w:r w:rsidRPr="00B4591E">
        <w:rPr>
          <w:rFonts w:ascii="Arial" w:hAnsi="Arial" w:cs="Arial"/>
          <w:color w:val="000000" w:themeColor="text1"/>
        </w:rPr>
        <w:lastRenderedPageBreak/>
        <w:t xml:space="preserve">10 learners being used for the observation and 6 learners for the group interview process. </w:t>
      </w:r>
    </w:p>
    <w:p w14:paraId="7738BF50" w14:textId="1E998AD0" w:rsidR="00C60FEC" w:rsidRPr="00B4591E" w:rsidRDefault="00541655" w:rsidP="00B4591E">
      <w:pPr>
        <w:spacing w:line="480" w:lineRule="auto"/>
        <w:rPr>
          <w:rFonts w:ascii="Arial" w:hAnsi="Arial" w:cs="Arial"/>
          <w:color w:val="000000" w:themeColor="text1"/>
        </w:rPr>
      </w:pPr>
      <w:r w:rsidRPr="00B4591E">
        <w:rPr>
          <w:rFonts w:ascii="Arial" w:hAnsi="Arial" w:cs="Arial"/>
          <w:color w:val="000000" w:themeColor="text1"/>
        </w:rPr>
        <w:t xml:space="preserve">The observation process was simple and was done from an unbiased situation of sitting behind the group to avoid any interruptions and seeing what learners pre knowledge of the Lego Challenge was like. The group interview process was conducted of 6 learners, chosen by the researcher consisting of a variety of ages and how long the learners had been attending full time education, with some learners only just arriving since the most recent intake at easter time. </w:t>
      </w:r>
    </w:p>
    <w:p w14:paraId="4C9B448D" w14:textId="7D30D061"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 xml:space="preserve">Research </w:t>
      </w:r>
      <w:proofErr w:type="gramStart"/>
      <w:r w:rsidRPr="00B4591E">
        <w:rPr>
          <w:rFonts w:ascii="Arial" w:eastAsia="Aptos" w:hAnsi="Arial" w:cs="Arial"/>
          <w:b/>
          <w:bCs/>
          <w:color w:val="000000" w:themeColor="text1"/>
        </w:rPr>
        <w:t>methods</w:t>
      </w:r>
      <w:proofErr w:type="gramEnd"/>
      <w:r w:rsidRPr="00B4591E">
        <w:rPr>
          <w:rFonts w:ascii="Arial" w:eastAsia="Aptos" w:hAnsi="Arial" w:cs="Arial"/>
          <w:b/>
          <w:bCs/>
          <w:color w:val="000000" w:themeColor="text1"/>
        </w:rPr>
        <w:t xml:space="preserve"> </w:t>
      </w:r>
    </w:p>
    <w:p w14:paraId="7BA1A77E" w14:textId="784C3B62"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Research is a combination of both experience and reasoning and must be regarded as the most successful approach to the discovery of truth, particularly as far as the natural sciences are concerned</w:t>
      </w:r>
      <w:r w:rsidR="00633FB0" w:rsidRPr="00B4591E">
        <w:rPr>
          <w:rFonts w:ascii="Arial" w:eastAsia="Aptos" w:hAnsi="Arial" w:cs="Arial"/>
          <w:color w:val="000000" w:themeColor="text1"/>
        </w:rPr>
        <w:t xml:space="preserve">. </w:t>
      </w:r>
      <w:r w:rsidRPr="00B4591E">
        <w:rPr>
          <w:rFonts w:ascii="Arial" w:eastAsia="Aptos" w:hAnsi="Arial" w:cs="Arial"/>
          <w:color w:val="000000" w:themeColor="text1"/>
        </w:rPr>
        <w:t xml:space="preserve">Borg </w:t>
      </w:r>
      <w:r w:rsidR="00633FB0" w:rsidRPr="00B4591E">
        <w:rPr>
          <w:rFonts w:ascii="Arial" w:eastAsia="Aptos" w:hAnsi="Arial" w:cs="Arial"/>
          <w:color w:val="000000" w:themeColor="text1"/>
        </w:rPr>
        <w:t>and Gall (1989)</w:t>
      </w:r>
    </w:p>
    <w:p w14:paraId="312E098E" w14:textId="11A8A10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Cohen and Crabtree (200</w:t>
      </w:r>
      <w:r w:rsidR="00633FB0" w:rsidRPr="00B4591E">
        <w:rPr>
          <w:rFonts w:ascii="Arial" w:eastAsia="Aptos" w:hAnsi="Arial" w:cs="Arial"/>
          <w:color w:val="000000" w:themeColor="text1"/>
        </w:rPr>
        <w:t>8</w:t>
      </w:r>
      <w:r w:rsidRPr="00B4591E">
        <w:rPr>
          <w:rFonts w:ascii="Arial" w:eastAsia="Aptos" w:hAnsi="Arial" w:cs="Arial"/>
          <w:color w:val="000000" w:themeColor="text1"/>
        </w:rPr>
        <w:t xml:space="preserve">) suggest "Observational groups are often used in research to study phenomena as they occur naturally, without intervention or manipulation by the researcher. The observation group consisted of ten children, picked at random, participating in a normal twenty-minute teacher-led lesson. </w:t>
      </w:r>
    </w:p>
    <w:p w14:paraId="4E31624E" w14:textId="77777777" w:rsidR="00F90C9E" w:rsidRPr="00B4591E" w:rsidRDefault="00F90C9E" w:rsidP="00B4591E">
      <w:pPr>
        <w:spacing w:line="480" w:lineRule="auto"/>
        <w:rPr>
          <w:rFonts w:ascii="Arial" w:eastAsia="Aptos" w:hAnsi="Arial" w:cs="Arial"/>
          <w:color w:val="000000" w:themeColor="text1"/>
        </w:rPr>
      </w:pPr>
      <w:proofErr w:type="spellStart"/>
      <w:r w:rsidRPr="00B4591E">
        <w:rPr>
          <w:rFonts w:ascii="Arial" w:eastAsia="Aptos" w:hAnsi="Arial" w:cs="Arial"/>
          <w:color w:val="000000" w:themeColor="text1"/>
        </w:rPr>
        <w:t>Angrosino</w:t>
      </w:r>
      <w:proofErr w:type="spellEnd"/>
      <w:r w:rsidRPr="00B4591E">
        <w:rPr>
          <w:rFonts w:ascii="Arial" w:eastAsia="Aptos" w:hAnsi="Arial" w:cs="Arial"/>
          <w:color w:val="000000" w:themeColor="text1"/>
        </w:rPr>
        <w:t xml:space="preserve"> (2007) suggests observation groups provide valuable insights into social interactions, behaviours, and patterns within natural settings. However, Bernard (2017) highlights one limitation of observational groups is the potential for observer bias, where the researcher's expectations or interpretations influence the observation process. This is further supported by Adair (1984) who argues another limitation of observational groups is the ‘Hawthorne effect’, where individuals alter their behaviour due to being observed, leading to skewed results. With this in mind the researcher positioned themselves out of eye-line of any of the group, at the back of the </w:t>
      </w:r>
      <w:r w:rsidRPr="00B4591E">
        <w:rPr>
          <w:rFonts w:ascii="Arial" w:eastAsia="Aptos" w:hAnsi="Arial" w:cs="Arial"/>
          <w:color w:val="000000" w:themeColor="text1"/>
        </w:rPr>
        <w:lastRenderedPageBreak/>
        <w:t xml:space="preserve">classroom, to avoid becoming a distraction. From this vantage point the researcher was able to observe the group in a natural learning environment.  </w:t>
      </w:r>
    </w:p>
    <w:p w14:paraId="0E6EB179" w14:textId="0F136FE8" w:rsidR="00F90C9E" w:rsidRPr="00B4591E" w:rsidRDefault="00F90C9E" w:rsidP="00B4591E">
      <w:pPr>
        <w:spacing w:line="480" w:lineRule="auto"/>
        <w:rPr>
          <w:rFonts w:ascii="Arial" w:eastAsia="Aptos" w:hAnsi="Arial" w:cs="Arial"/>
          <w:color w:val="000000" w:themeColor="text1"/>
        </w:rPr>
      </w:pPr>
      <w:proofErr w:type="spellStart"/>
      <w:r w:rsidRPr="00B4591E">
        <w:rPr>
          <w:rFonts w:ascii="Arial" w:eastAsia="Aptos" w:hAnsi="Arial" w:cs="Arial"/>
          <w:color w:val="000000" w:themeColor="text1"/>
        </w:rPr>
        <w:t>Einarsdottir</w:t>
      </w:r>
      <w:proofErr w:type="spellEnd"/>
      <w:r w:rsidRPr="00B4591E">
        <w:rPr>
          <w:rFonts w:ascii="Arial" w:eastAsia="Aptos" w:hAnsi="Arial" w:cs="Arial"/>
          <w:color w:val="000000" w:themeColor="text1"/>
        </w:rPr>
        <w:t xml:space="preserve"> (2007) describes interviews as the most common form of data collection in children’s research. The group interview took place during the afternoon in a familiar classroom with no distractions. The group consisted of six learners, four four-year olds and two three-year olds. </w:t>
      </w:r>
      <w:r w:rsidRPr="00B4591E">
        <w:rPr>
          <w:rFonts w:ascii="Arial" w:eastAsia="Aptos" w:hAnsi="Arial" w:cs="Arial"/>
          <w:color w:val="000000" w:themeColor="text1"/>
        </w:rPr>
        <w:t xml:space="preserve">Lewis (1992) suggests the reason for conducting group interviews was that pupils would likely be more </w:t>
      </w:r>
      <w:proofErr w:type="gramStart"/>
      <w:r w:rsidRPr="00B4591E">
        <w:rPr>
          <w:rFonts w:ascii="Arial" w:eastAsia="Aptos" w:hAnsi="Arial" w:cs="Arial"/>
          <w:color w:val="000000" w:themeColor="text1"/>
        </w:rPr>
        <w:t>forthcoming</w:t>
      </w:r>
      <w:proofErr w:type="gramEnd"/>
      <w:r w:rsidRPr="00B4591E">
        <w:rPr>
          <w:rFonts w:ascii="Arial" w:eastAsia="Aptos" w:hAnsi="Arial" w:cs="Arial"/>
          <w:color w:val="000000" w:themeColor="text1"/>
        </w:rPr>
        <w:t xml:space="preserve"> and the talk would be more natural in a group of their peers.</w:t>
      </w:r>
    </w:p>
    <w:p w14:paraId="479B2894"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All questions asked in the group interview were as open and non-directive as possible to allow the participants to answer without feeling pressure to conform to any preconceived notions of what they might feel to be an ‘acceptable’ answer. </w:t>
      </w:r>
    </w:p>
    <w:p w14:paraId="26708365"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In total, five questions were asked to the group, with the aim that the pupils should see the interview as a chat about classroom practices, rather than a formal interview. Lewis (1992) describes group interviews as ‘a group conversational encounter with a research purpose’.  Learners were selected randomly to answer the questions so that no one child was the first to answer any question twice (see below for questions): </w:t>
      </w:r>
    </w:p>
    <w:p w14:paraId="456D740F" w14:textId="77777777" w:rsidR="00F90C9E" w:rsidRPr="00B4591E" w:rsidRDefault="00F90C9E" w:rsidP="00B4591E">
      <w:pPr>
        <w:numPr>
          <w:ilvl w:val="0"/>
          <w:numId w:val="2"/>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are these bricks used for? (showed red, amber, green bricks)</w:t>
      </w:r>
    </w:p>
    <w:p w14:paraId="130A5066" w14:textId="77777777" w:rsidR="00F90C9E" w:rsidRPr="00B4591E" w:rsidRDefault="00F90C9E" w:rsidP="00B4591E">
      <w:pPr>
        <w:numPr>
          <w:ilvl w:val="0"/>
          <w:numId w:val="2"/>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 xml:space="preserve"> What do these bricks mean? (showed red, amber, green bricks)</w:t>
      </w:r>
    </w:p>
    <w:p w14:paraId="0DBB1094" w14:textId="77777777" w:rsidR="00F90C9E" w:rsidRPr="00B4591E" w:rsidRDefault="00F90C9E" w:rsidP="00B4591E">
      <w:pPr>
        <w:numPr>
          <w:ilvl w:val="0"/>
          <w:numId w:val="2"/>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Why do we use these bricks? (showed red, amber, green bricks)</w:t>
      </w:r>
    </w:p>
    <w:p w14:paraId="5C77C818" w14:textId="77777777" w:rsidR="00F90C9E" w:rsidRPr="00B4591E" w:rsidRDefault="00F90C9E" w:rsidP="00B4591E">
      <w:pPr>
        <w:numPr>
          <w:ilvl w:val="0"/>
          <w:numId w:val="2"/>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is the difference in the red and green brick? (showed red and green brick)</w:t>
      </w:r>
    </w:p>
    <w:p w14:paraId="7A4421BF" w14:textId="77777777" w:rsidR="00F90C9E" w:rsidRPr="00B4591E" w:rsidRDefault="00F90C9E" w:rsidP="00B4591E">
      <w:pPr>
        <w:numPr>
          <w:ilvl w:val="0"/>
          <w:numId w:val="2"/>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does it mean if we get all our bricks in the lesson? (showed red, amber, green brick)</w:t>
      </w:r>
    </w:p>
    <w:p w14:paraId="22CFA535"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lastRenderedPageBreak/>
        <w:t>There were, as to be expected from interviewing groups of young children, a number of challenges that arose during the research. Clark (2010) suggests group interviews can be a complex and challenging task.</w:t>
      </w:r>
    </w:p>
    <w:p w14:paraId="1301AFCF"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Indeed, due to the learners young age the answers provided were often brief, </w:t>
      </w:r>
      <w:proofErr w:type="gramStart"/>
      <w:r w:rsidRPr="00B4591E">
        <w:rPr>
          <w:rFonts w:ascii="Arial" w:eastAsia="Aptos" w:hAnsi="Arial" w:cs="Arial"/>
          <w:color w:val="000000" w:themeColor="text1"/>
        </w:rPr>
        <w:t>simplistic</w:t>
      </w:r>
      <w:proofErr w:type="gramEnd"/>
      <w:r w:rsidRPr="00B4591E">
        <w:rPr>
          <w:rFonts w:ascii="Arial" w:eastAsia="Aptos" w:hAnsi="Arial" w:cs="Arial"/>
          <w:color w:val="000000" w:themeColor="text1"/>
        </w:rPr>
        <w:t xml:space="preserve"> and superficial. The researcher tried to elicit more depth from the learners by prompting with why, </w:t>
      </w:r>
      <w:proofErr w:type="gramStart"/>
      <w:r w:rsidRPr="00B4591E">
        <w:rPr>
          <w:rFonts w:ascii="Arial" w:eastAsia="Aptos" w:hAnsi="Arial" w:cs="Arial"/>
          <w:color w:val="000000" w:themeColor="text1"/>
        </w:rPr>
        <w:t>what</w:t>
      </w:r>
      <w:proofErr w:type="gramEnd"/>
      <w:r w:rsidRPr="00B4591E">
        <w:rPr>
          <w:rFonts w:ascii="Arial" w:eastAsia="Aptos" w:hAnsi="Arial" w:cs="Arial"/>
          <w:color w:val="000000" w:themeColor="text1"/>
        </w:rPr>
        <w:t xml:space="preserve"> and how questions. Christensen and </w:t>
      </w:r>
      <w:proofErr w:type="spellStart"/>
      <w:r w:rsidRPr="00B4591E">
        <w:rPr>
          <w:rFonts w:ascii="Arial" w:eastAsia="Aptos" w:hAnsi="Arial" w:cs="Arial"/>
          <w:color w:val="000000" w:themeColor="text1"/>
        </w:rPr>
        <w:t>Prout</w:t>
      </w:r>
      <w:proofErr w:type="spellEnd"/>
      <w:r w:rsidRPr="00B4591E">
        <w:rPr>
          <w:rFonts w:ascii="Arial" w:eastAsia="Aptos" w:hAnsi="Arial" w:cs="Arial"/>
          <w:color w:val="000000" w:themeColor="text1"/>
        </w:rPr>
        <w:t xml:space="preserve"> (2002) argue that while interviewing reception age children offers valuable insights, researchers must remain mindful of the limitations imposed by their cognitive abilities, requiring adaptable strategies to elicit meaningful responses.</w:t>
      </w:r>
    </w:p>
    <w:p w14:paraId="42C24B9A" w14:textId="77777777" w:rsidR="00F90C9E" w:rsidRPr="00B4591E" w:rsidRDefault="00F90C9E" w:rsidP="00B4591E">
      <w:pPr>
        <w:spacing w:line="480" w:lineRule="auto"/>
        <w:rPr>
          <w:rFonts w:ascii="Arial" w:eastAsia="Aptos" w:hAnsi="Arial" w:cs="Arial"/>
          <w:i/>
          <w:iCs/>
          <w:color w:val="000000" w:themeColor="text1"/>
        </w:rPr>
      </w:pPr>
      <w:r w:rsidRPr="00B4591E">
        <w:rPr>
          <w:rFonts w:ascii="Arial" w:eastAsia="Aptos" w:hAnsi="Arial" w:cs="Arial"/>
          <w:color w:val="000000" w:themeColor="text1"/>
        </w:rPr>
        <w:t xml:space="preserve">Being of such a young age, the learners struggled maintaining levels of concentration, and to sit still, for the full 10-15 minute duration of the interview. To counteract this the reward of a sticker and a class point was offered as a reward to all learners who saw the interview through to the end, which incentivised them all. Fleer and Li (2016) confirm this indicating that many researchers have commented on the difficulty of engaging young children in the interview process and that the question-answer format is less successful than entering into a dialogue or extended conversation. </w:t>
      </w:r>
    </w:p>
    <w:p w14:paraId="32DB1DA6"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On a couple of occasions, it was evident that learners were copying other group members answers rather than expressing their own views and opinions. This was addressed during the interview with the researcher gently suggesting learners try their best to think of answer for themselves. Holstein and </w:t>
      </w:r>
      <w:proofErr w:type="spellStart"/>
      <w:r w:rsidRPr="00B4591E">
        <w:rPr>
          <w:rFonts w:ascii="Arial" w:eastAsia="Aptos" w:hAnsi="Arial" w:cs="Arial"/>
          <w:color w:val="000000" w:themeColor="text1"/>
        </w:rPr>
        <w:t>Gubrium</w:t>
      </w:r>
      <w:proofErr w:type="spellEnd"/>
      <w:r w:rsidRPr="00B4591E">
        <w:rPr>
          <w:rFonts w:ascii="Arial" w:eastAsia="Aptos" w:hAnsi="Arial" w:cs="Arial"/>
          <w:color w:val="000000" w:themeColor="text1"/>
        </w:rPr>
        <w:t xml:space="preserve"> (2003) highlight the importance of doing group interviews with young children ‘group interviews allow participants to build on each other’s thoughts, and that a wider range of experiences and opinions may develop than in individual interviews. Clark (2010) however, noted </w:t>
      </w:r>
      <w:r w:rsidRPr="00B4591E">
        <w:rPr>
          <w:rFonts w:ascii="Arial" w:eastAsia="Aptos" w:hAnsi="Arial" w:cs="Arial"/>
          <w:color w:val="000000" w:themeColor="text1"/>
        </w:rPr>
        <w:lastRenderedPageBreak/>
        <w:t xml:space="preserve">that while some children will only respond if asked in a group, others will only answer in a one-to-one situation. </w:t>
      </w:r>
    </w:p>
    <w:p w14:paraId="1B0D46D1" w14:textId="2FA8269D" w:rsidR="00F90C9E" w:rsidRPr="00B4591E" w:rsidRDefault="00F90C9E" w:rsidP="00B4591E">
      <w:pPr>
        <w:spacing w:line="480" w:lineRule="auto"/>
        <w:rPr>
          <w:rFonts w:ascii="Arial" w:hAnsi="Arial" w:cs="Arial"/>
          <w:color w:val="000000" w:themeColor="text1"/>
        </w:rPr>
      </w:pPr>
      <w:r w:rsidRPr="00B4591E">
        <w:rPr>
          <w:rFonts w:ascii="Arial" w:eastAsia="Aptos" w:hAnsi="Arial" w:cs="Arial"/>
          <w:color w:val="000000" w:themeColor="text1"/>
        </w:rPr>
        <w:t xml:space="preserve">The five questions that were asked of the learners were created following a review of the distinguishable points of the observation research.  </w:t>
      </w:r>
      <w:r w:rsidRPr="00B4591E">
        <w:rPr>
          <w:rFonts w:ascii="Arial" w:hAnsi="Arial" w:cs="Arial"/>
          <w:color w:val="000000" w:themeColor="text1"/>
        </w:rPr>
        <w:t>Cohen et al (2</w:t>
      </w:r>
      <w:r w:rsidR="00633FB0" w:rsidRPr="00B4591E">
        <w:rPr>
          <w:rFonts w:ascii="Arial" w:hAnsi="Arial" w:cs="Arial"/>
          <w:color w:val="000000" w:themeColor="text1"/>
        </w:rPr>
        <w:t>018</w:t>
      </w:r>
      <w:r w:rsidRPr="00B4591E">
        <w:rPr>
          <w:rFonts w:ascii="Arial" w:hAnsi="Arial" w:cs="Arial"/>
          <w:color w:val="000000" w:themeColor="text1"/>
        </w:rPr>
        <w:t>) warns that ‘open questions can lead to irrelevant and redundant information ; they may be too open-ended for the respondent to know what kind of information is being sought’</w:t>
      </w:r>
      <w:r w:rsidRPr="00B4591E">
        <w:rPr>
          <w:rFonts w:ascii="Arial" w:hAnsi="Arial" w:cs="Arial"/>
          <w:color w:val="000000" w:themeColor="text1"/>
        </w:rPr>
        <w:t xml:space="preserve"> </w:t>
      </w:r>
      <w:r w:rsidRPr="00B4591E">
        <w:rPr>
          <w:rFonts w:ascii="Arial" w:eastAsia="Aptos" w:hAnsi="Arial" w:cs="Arial"/>
          <w:color w:val="000000" w:themeColor="text1"/>
        </w:rPr>
        <w:t>Bearing this in mind, questions were formulated that were clear, concise, engaging and written in a language that young learners could comprehend.</w:t>
      </w:r>
      <w:r w:rsidRPr="00B4591E">
        <w:rPr>
          <w:rFonts w:ascii="Arial" w:hAnsi="Arial" w:cs="Arial"/>
          <w:color w:val="000000" w:themeColor="text1"/>
        </w:rPr>
        <w:t xml:space="preserve"> </w:t>
      </w:r>
      <w:proofErr w:type="spellStart"/>
      <w:r w:rsidRPr="00B4591E">
        <w:rPr>
          <w:rFonts w:ascii="Arial" w:eastAsia="Aptos" w:hAnsi="Arial" w:cs="Arial"/>
          <w:color w:val="000000" w:themeColor="text1"/>
        </w:rPr>
        <w:t>Mayall</w:t>
      </w:r>
      <w:proofErr w:type="spellEnd"/>
      <w:r w:rsidRPr="00B4591E">
        <w:rPr>
          <w:rFonts w:ascii="Arial" w:eastAsia="Aptos" w:hAnsi="Arial" w:cs="Arial"/>
          <w:color w:val="000000" w:themeColor="text1"/>
        </w:rPr>
        <w:t xml:space="preserve"> (2002) suggests that navigating the limitations of interviewing reception age children requires sensitivity to their developmental stage, ensuring questions are clear, engaging, and respectful of their emerging language skills. Clark and Moss (2011) suggest that the limitations of interviewing reception age children underscore the necessity for age-appropriate questioning techniques and the cultivation of a supportive environment conducive to open communication.’ </w:t>
      </w:r>
    </w:p>
    <w:p w14:paraId="78D218EE" w14:textId="77777777" w:rsidR="00F90C9E" w:rsidRPr="00B4591E" w:rsidRDefault="00F90C9E" w:rsidP="00B4591E">
      <w:pPr>
        <w:spacing w:line="480" w:lineRule="auto"/>
        <w:rPr>
          <w:rFonts w:ascii="Arial" w:hAnsi="Arial" w:cs="Arial"/>
          <w:b/>
          <w:bCs/>
          <w:color w:val="000000" w:themeColor="text1"/>
        </w:rPr>
      </w:pPr>
      <w:r w:rsidRPr="00B4591E">
        <w:rPr>
          <w:rFonts w:ascii="Arial" w:hAnsi="Arial" w:cs="Arial"/>
          <w:b/>
          <w:bCs/>
          <w:color w:val="000000" w:themeColor="text1"/>
        </w:rPr>
        <w:t>Data Presentation</w:t>
      </w:r>
    </w:p>
    <w:p w14:paraId="2F13692F" w14:textId="7777777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Merriam and </w:t>
      </w:r>
      <w:proofErr w:type="spellStart"/>
      <w:r w:rsidRPr="00B4591E">
        <w:rPr>
          <w:rFonts w:ascii="Arial" w:hAnsi="Arial" w:cs="Arial"/>
          <w:color w:val="000000" w:themeColor="text1"/>
        </w:rPr>
        <w:t>Tisdell</w:t>
      </w:r>
      <w:proofErr w:type="spellEnd"/>
      <w:r w:rsidRPr="00B4591E">
        <w:rPr>
          <w:rFonts w:ascii="Arial" w:hAnsi="Arial" w:cs="Arial"/>
          <w:color w:val="000000" w:themeColor="text1"/>
        </w:rPr>
        <w:t xml:space="preserve"> (2016 )suggest "Qualitative data </w:t>
      </w:r>
      <w:proofErr w:type="gramStart"/>
      <w:r w:rsidRPr="00B4591E">
        <w:rPr>
          <w:rFonts w:ascii="Arial" w:hAnsi="Arial" w:cs="Arial"/>
          <w:color w:val="000000" w:themeColor="text1"/>
        </w:rPr>
        <w:t>offers</w:t>
      </w:r>
      <w:proofErr w:type="gramEnd"/>
      <w:r w:rsidRPr="00B4591E">
        <w:rPr>
          <w:rFonts w:ascii="Arial" w:hAnsi="Arial" w:cs="Arial"/>
          <w:color w:val="000000" w:themeColor="text1"/>
        </w:rPr>
        <w:t xml:space="preserve"> rich, in-depth insights into human experiences, perceptions, and behaviours, allowing researchers to explore complex phenomena in context."</w:t>
      </w:r>
    </w:p>
    <w:p w14:paraId="16B6FA55" w14:textId="7B68138E"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The methods used for this data, due it the data collected being qualitative data was thematic analysis. Braun and Clarke (2006) define thematic analysis as:  “a method for identifying, analysing and reporting patterns within data”. </w:t>
      </w:r>
    </w:p>
    <w:p w14:paraId="04AE4295" w14:textId="7777777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 xml:space="preserve">Caulfield (2022) argues that thematic analysis allows for a lot of flexibility in interpreting </w:t>
      </w:r>
      <w:proofErr w:type="gramStart"/>
      <w:r w:rsidRPr="00B4591E">
        <w:rPr>
          <w:rFonts w:ascii="Arial" w:hAnsi="Arial" w:cs="Arial"/>
          <w:color w:val="000000" w:themeColor="text1"/>
        </w:rPr>
        <w:t>data, but</w:t>
      </w:r>
      <w:proofErr w:type="gramEnd"/>
      <w:r w:rsidRPr="00B4591E">
        <w:rPr>
          <w:rFonts w:ascii="Arial" w:hAnsi="Arial" w:cs="Arial"/>
          <w:color w:val="000000" w:themeColor="text1"/>
        </w:rPr>
        <w:t xml:space="preserve"> is often quite subjective and involves the risk of missing nuisances in the data.</w:t>
      </w:r>
    </w:p>
    <w:p w14:paraId="2C3D0E58" w14:textId="77777777" w:rsidR="00F90C9E"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lastRenderedPageBreak/>
        <w:t>Braun and Clarkes (2006) 6 steps of thematic analysis was followed for the data collection. The steps were as followed. After familiarisation of the data, the data was then coded to identify the patterns, following these codes were organised in themes and shared meanings, themes were then reviewed by comparing them against the data collected, the themes were then labelled with concise labelling to make the themes clear, finally followed by writing/typing the findings. (see appendix 3)</w:t>
      </w:r>
    </w:p>
    <w:p w14:paraId="2C8B6518" w14:textId="0E1C3FAE" w:rsidR="00541655" w:rsidRPr="00B4591E" w:rsidRDefault="00F90C9E" w:rsidP="00B4591E">
      <w:pPr>
        <w:spacing w:line="480" w:lineRule="auto"/>
        <w:rPr>
          <w:rFonts w:ascii="Arial" w:hAnsi="Arial" w:cs="Arial"/>
          <w:color w:val="000000" w:themeColor="text1"/>
        </w:rPr>
      </w:pPr>
      <w:r w:rsidRPr="00B4591E">
        <w:rPr>
          <w:rFonts w:ascii="Arial" w:hAnsi="Arial" w:cs="Arial"/>
          <w:color w:val="000000" w:themeColor="text1"/>
        </w:rPr>
        <w:t>To ensure every learner had the same opportunity and to keep reliability and trustworthiness throughout the data collection, every student had the same questions asked and had the same opportunity to answer, with using a hands up system to avoid other learners being spoken over.</w:t>
      </w:r>
    </w:p>
    <w:p w14:paraId="018FA67F" w14:textId="77777777" w:rsidR="00633FB0" w:rsidRPr="00B4591E" w:rsidRDefault="00633FB0" w:rsidP="00B4591E">
      <w:pPr>
        <w:spacing w:line="480" w:lineRule="auto"/>
        <w:rPr>
          <w:rFonts w:ascii="Arial" w:hAnsi="Arial" w:cs="Arial"/>
          <w:color w:val="000000" w:themeColor="text1"/>
        </w:rPr>
      </w:pPr>
    </w:p>
    <w:p w14:paraId="28A7FE3E" w14:textId="77777777" w:rsidR="00541655" w:rsidRPr="00B4591E" w:rsidRDefault="00541655" w:rsidP="00B4591E">
      <w:pPr>
        <w:spacing w:line="480" w:lineRule="auto"/>
        <w:rPr>
          <w:rFonts w:ascii="Arial" w:hAnsi="Arial" w:cs="Arial"/>
          <w:color w:val="000000" w:themeColor="text1"/>
        </w:rPr>
      </w:pPr>
    </w:p>
    <w:p w14:paraId="0952A2C9" w14:textId="77777777" w:rsidR="00541655" w:rsidRPr="00B4591E" w:rsidRDefault="00541655" w:rsidP="00B4591E">
      <w:pPr>
        <w:spacing w:line="480" w:lineRule="auto"/>
        <w:rPr>
          <w:rFonts w:ascii="Arial" w:hAnsi="Arial" w:cs="Arial"/>
          <w:b/>
          <w:bCs/>
          <w:color w:val="000000" w:themeColor="text1"/>
        </w:rPr>
      </w:pPr>
      <w:r w:rsidRPr="00B4591E">
        <w:rPr>
          <w:rFonts w:ascii="Arial" w:hAnsi="Arial" w:cs="Arial"/>
          <w:b/>
          <w:bCs/>
          <w:color w:val="000000" w:themeColor="text1"/>
        </w:rPr>
        <w:t>Ethical Considerations</w:t>
      </w:r>
    </w:p>
    <w:p w14:paraId="423BBF87" w14:textId="77777777" w:rsidR="00541655" w:rsidRPr="00B4591E" w:rsidRDefault="00541655"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Prior to commencement of the research project, an ethical form (see appendix 1) was submitted to the University for approval, to ensure all elements of the research project adhered to the University and BERA (2018) ethical codes of conduct.</w:t>
      </w:r>
    </w:p>
    <w:p w14:paraId="092F74F7" w14:textId="77777777" w:rsidR="00541655" w:rsidRPr="00B4591E" w:rsidRDefault="00541655" w:rsidP="00B4591E">
      <w:pPr>
        <w:spacing w:line="480" w:lineRule="auto"/>
        <w:rPr>
          <w:rFonts w:ascii="Arial" w:hAnsi="Arial" w:cs="Arial"/>
          <w:color w:val="000000" w:themeColor="text1"/>
        </w:rPr>
      </w:pPr>
      <w:r w:rsidRPr="00B4591E">
        <w:rPr>
          <w:rFonts w:ascii="Arial" w:eastAsia="Aptos" w:hAnsi="Arial" w:cs="Arial"/>
          <w:color w:val="000000" w:themeColor="text1"/>
        </w:rPr>
        <w:t xml:space="preserve">A number of ethical considerations had to be considered. Informed consent had to be obtained from parents who were provided with a consent sheet which they had to sign to confirm approval for their children taking part in the project. (see appendix 2). </w:t>
      </w:r>
      <w:r w:rsidRPr="00B4591E">
        <w:rPr>
          <w:rFonts w:ascii="Arial" w:hAnsi="Arial" w:cs="Arial"/>
          <w:color w:val="000000" w:themeColor="text1"/>
        </w:rPr>
        <w:t xml:space="preserve">Department for Education, DfE (2024) define consent as making sure participants have had the right information about your research, participants can understand the information you have communicated to </w:t>
      </w:r>
      <w:proofErr w:type="gramStart"/>
      <w:r w:rsidRPr="00B4591E">
        <w:rPr>
          <w:rFonts w:ascii="Arial" w:hAnsi="Arial" w:cs="Arial"/>
          <w:color w:val="000000" w:themeColor="text1"/>
        </w:rPr>
        <w:t>them</w:t>
      </w:r>
      <w:proofErr w:type="gramEnd"/>
      <w:r w:rsidRPr="00B4591E">
        <w:rPr>
          <w:rFonts w:ascii="Arial" w:hAnsi="Arial" w:cs="Arial"/>
          <w:color w:val="000000" w:themeColor="text1"/>
        </w:rPr>
        <w:t xml:space="preserve"> and participants are able to make an informed decision about their involvement with the research.</w:t>
      </w:r>
    </w:p>
    <w:p w14:paraId="7CA6CFD0" w14:textId="77777777" w:rsidR="00541655" w:rsidRPr="00B4591E" w:rsidRDefault="00541655" w:rsidP="00B4591E">
      <w:pPr>
        <w:spacing w:line="480" w:lineRule="auto"/>
        <w:rPr>
          <w:rFonts w:ascii="Arial" w:hAnsi="Arial" w:cs="Arial"/>
          <w:color w:val="000000" w:themeColor="text1"/>
        </w:rPr>
      </w:pPr>
      <w:r w:rsidRPr="00B4591E">
        <w:rPr>
          <w:rFonts w:ascii="Arial" w:eastAsia="Aptos" w:hAnsi="Arial" w:cs="Arial"/>
          <w:color w:val="000000" w:themeColor="text1"/>
        </w:rPr>
        <w:lastRenderedPageBreak/>
        <w:t xml:space="preserve">Assent was sought from the children, with participants confirming they were happy to </w:t>
      </w:r>
      <w:proofErr w:type="gramStart"/>
      <w:r w:rsidRPr="00B4591E">
        <w:rPr>
          <w:rFonts w:ascii="Arial" w:eastAsia="Aptos" w:hAnsi="Arial" w:cs="Arial"/>
          <w:color w:val="000000" w:themeColor="text1"/>
        </w:rPr>
        <w:t>participate</w:t>
      </w:r>
      <w:proofErr w:type="gramEnd"/>
      <w:r w:rsidRPr="00B4591E">
        <w:rPr>
          <w:rFonts w:ascii="Arial" w:eastAsia="Aptos" w:hAnsi="Arial" w:cs="Arial"/>
          <w:color w:val="000000" w:themeColor="text1"/>
        </w:rPr>
        <w:t xml:space="preserve"> and it being explained to them that they could remove themselves from the interview at any time (i.e. voluntary participation). </w:t>
      </w:r>
      <w:r w:rsidRPr="00B4591E">
        <w:rPr>
          <w:rFonts w:ascii="Arial" w:hAnsi="Arial" w:cs="Arial"/>
          <w:color w:val="000000" w:themeColor="text1"/>
        </w:rPr>
        <w:t xml:space="preserve">Al </w:t>
      </w:r>
      <w:proofErr w:type="spellStart"/>
      <w:r w:rsidRPr="00B4591E">
        <w:rPr>
          <w:rFonts w:ascii="Arial" w:hAnsi="Arial" w:cs="Arial"/>
          <w:color w:val="000000" w:themeColor="text1"/>
        </w:rPr>
        <w:t>Sheyab</w:t>
      </w:r>
      <w:proofErr w:type="spellEnd"/>
      <w:r w:rsidRPr="00B4591E">
        <w:rPr>
          <w:rFonts w:ascii="Arial" w:hAnsi="Arial" w:cs="Arial"/>
          <w:color w:val="000000" w:themeColor="text1"/>
        </w:rPr>
        <w:t xml:space="preserve"> et. Al. (2019) suggests depending on the child’s developmental level, child assent involves independent approval to participate in research, given parental approval had been sought and granted.</w:t>
      </w:r>
    </w:p>
    <w:p w14:paraId="628AFE82" w14:textId="24BACB60" w:rsidR="00541655" w:rsidRPr="00B4591E" w:rsidRDefault="00541655"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To further clarify this, information was provided to the group at the start of the interview informing them that they had the option to remove themselves at any time during the interview, without any questions or consequences, and were further provided a red traffic light to hold up any time should they not want to answer a question for any reason. </w:t>
      </w:r>
      <w:proofErr w:type="spellStart"/>
      <w:r w:rsidRPr="00B4591E">
        <w:rPr>
          <w:rFonts w:ascii="Arial" w:hAnsi="Arial" w:cs="Arial"/>
          <w:color w:val="000000" w:themeColor="text1"/>
        </w:rPr>
        <w:t>Cotrim</w:t>
      </w:r>
      <w:proofErr w:type="spellEnd"/>
      <w:r w:rsidRPr="00B4591E">
        <w:rPr>
          <w:rFonts w:ascii="Arial" w:hAnsi="Arial" w:cs="Arial"/>
          <w:color w:val="000000" w:themeColor="text1"/>
        </w:rPr>
        <w:t xml:space="preserve"> et al (2021) argues the term “informed assent” introduces a broader view on the capacity of decision making, recognizing that children to some extent should participate in decision making and that they can agree with treatment or participation in research without precisely understanding all of its consequences or without complying with all aspects of full consent. </w:t>
      </w:r>
      <w:r w:rsidRPr="00B4591E">
        <w:rPr>
          <w:rFonts w:ascii="Arial" w:eastAsia="Aptos" w:hAnsi="Arial" w:cs="Arial"/>
          <w:color w:val="000000" w:themeColor="text1"/>
        </w:rPr>
        <w:t>Collected data was kept on a password protected hard drive to maintain confidentially and anonymity.</w:t>
      </w:r>
    </w:p>
    <w:p w14:paraId="0203C01B"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Results / Analysis of results / Discussion</w:t>
      </w:r>
    </w:p>
    <w:p w14:paraId="64ED6B20" w14:textId="77777777" w:rsidR="00F90C9E" w:rsidRPr="00B4591E" w:rsidRDefault="00F90C9E" w:rsidP="00B4591E">
      <w:pPr>
        <w:spacing w:line="480" w:lineRule="auto"/>
        <w:rPr>
          <w:rFonts w:ascii="Arial" w:eastAsia="Aptos" w:hAnsi="Arial" w:cs="Arial"/>
          <w:color w:val="000000" w:themeColor="text1"/>
        </w:rPr>
      </w:pPr>
      <w:proofErr w:type="gramStart"/>
      <w:r w:rsidRPr="00B4591E">
        <w:rPr>
          <w:rFonts w:ascii="Arial" w:eastAsia="Aptos" w:hAnsi="Arial" w:cs="Arial"/>
          <w:color w:val="000000" w:themeColor="text1"/>
        </w:rPr>
        <w:t>The observation group,</w:t>
      </w:r>
      <w:proofErr w:type="gramEnd"/>
      <w:r w:rsidRPr="00B4591E">
        <w:rPr>
          <w:rFonts w:ascii="Arial" w:eastAsia="Aptos" w:hAnsi="Arial" w:cs="Arial"/>
          <w:color w:val="000000" w:themeColor="text1"/>
        </w:rPr>
        <w:t xml:space="preserve"> allowed the researcher to observe the students’ attitudes, behaviour, body language and reactions to receiving another brick in the Lego Challenge. The observation group three main findings were:</w:t>
      </w:r>
    </w:p>
    <w:p w14:paraId="0333A7FD" w14:textId="77777777" w:rsidR="00F90C9E" w:rsidRPr="00B4591E" w:rsidRDefault="00F90C9E" w:rsidP="00B4591E">
      <w:pPr>
        <w:numPr>
          <w:ilvl w:val="0"/>
          <w:numId w:val="3"/>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 xml:space="preserve">Students attitude and attainment in the lessons seemed to improve when receiving the next Lego brick in the Lego Challenge. </w:t>
      </w:r>
    </w:p>
    <w:p w14:paraId="6FC0349A" w14:textId="77777777" w:rsidR="00F90C9E" w:rsidRPr="00B4591E" w:rsidRDefault="00F90C9E" w:rsidP="00B4591E">
      <w:pPr>
        <w:numPr>
          <w:ilvl w:val="0"/>
          <w:numId w:val="3"/>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lastRenderedPageBreak/>
        <w:t>Six out of ten learners were engaged in the visuals of the Lego bricks, and it seemed to motivate them.</w:t>
      </w:r>
    </w:p>
    <w:p w14:paraId="3BAEF1C8" w14:textId="77777777" w:rsidR="00F90C9E" w:rsidRPr="00B4591E" w:rsidRDefault="00F90C9E" w:rsidP="00B4591E">
      <w:pPr>
        <w:numPr>
          <w:ilvl w:val="0"/>
          <w:numId w:val="3"/>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The four learners who were new to the class, having started after the Easter half term, were already beginning to gain an understanding of the Lego Challenge.</w:t>
      </w:r>
    </w:p>
    <w:p w14:paraId="417E5D8C"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These three main observations enabled the researcher to create five questions to ask in the group interview that were deemed best suited to obtain usable data that would best answer the research question:</w:t>
      </w:r>
    </w:p>
    <w:p w14:paraId="27D7A02C" w14:textId="77777777" w:rsidR="00F90C9E" w:rsidRPr="00B4591E" w:rsidRDefault="00F90C9E" w:rsidP="00B4591E">
      <w:pPr>
        <w:numPr>
          <w:ilvl w:val="0"/>
          <w:numId w:val="4"/>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are these bricks used for? (showed red, amber, green bricks)</w:t>
      </w:r>
    </w:p>
    <w:p w14:paraId="1628896F" w14:textId="77777777" w:rsidR="00F90C9E" w:rsidRPr="00B4591E" w:rsidRDefault="00F90C9E" w:rsidP="00B4591E">
      <w:pPr>
        <w:numPr>
          <w:ilvl w:val="0"/>
          <w:numId w:val="4"/>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do these bricks mean? (showed red, amber, green bricks)</w:t>
      </w:r>
    </w:p>
    <w:p w14:paraId="2C2D2BCF" w14:textId="77777777" w:rsidR="00F90C9E" w:rsidRPr="00B4591E" w:rsidRDefault="00F90C9E" w:rsidP="00B4591E">
      <w:pPr>
        <w:numPr>
          <w:ilvl w:val="0"/>
          <w:numId w:val="4"/>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Why do we use these bricks? (showed red, amber, green bricks)</w:t>
      </w:r>
    </w:p>
    <w:p w14:paraId="5BF67EC9" w14:textId="77777777" w:rsidR="00F90C9E" w:rsidRPr="00B4591E" w:rsidRDefault="00F90C9E" w:rsidP="00B4591E">
      <w:pPr>
        <w:numPr>
          <w:ilvl w:val="0"/>
          <w:numId w:val="4"/>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is the difference in the red and green brick? (showed red and green brick)</w:t>
      </w:r>
    </w:p>
    <w:p w14:paraId="1A6AD604" w14:textId="77777777" w:rsidR="00F90C9E" w:rsidRPr="00B4591E" w:rsidRDefault="00F90C9E" w:rsidP="00B4591E">
      <w:pPr>
        <w:numPr>
          <w:ilvl w:val="0"/>
          <w:numId w:val="4"/>
        </w:numPr>
        <w:spacing w:line="480" w:lineRule="auto"/>
        <w:contextualSpacing/>
        <w:rPr>
          <w:rFonts w:ascii="Arial" w:eastAsia="Aptos" w:hAnsi="Arial" w:cs="Arial"/>
          <w:color w:val="000000" w:themeColor="text1"/>
        </w:rPr>
      </w:pPr>
      <w:r w:rsidRPr="00B4591E">
        <w:rPr>
          <w:rFonts w:ascii="Arial" w:eastAsia="Aptos" w:hAnsi="Arial" w:cs="Arial"/>
          <w:color w:val="000000" w:themeColor="text1"/>
        </w:rPr>
        <w:t>What does it mean if we get all our bricks in the lesson? (showed red, amber, green brick)</w:t>
      </w:r>
    </w:p>
    <w:p w14:paraId="0FA107A3"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Braun and Clarkes (2006) six step thematic analysis process was applied to the transcripts collected from the group interview, which elicited key concepts that were evident in the data. These themes, viewed as essential in determining the understanding of all the participants of the Lego Challenge, were labelled as “good understanding” “moderate understanding” “little understanding,” and “no understanding.”</w:t>
      </w:r>
    </w:p>
    <w:p w14:paraId="2FAEA3D3"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The full results can be seen in appendix 3.</w:t>
      </w:r>
    </w:p>
    <w:p w14:paraId="59CFA48D" w14:textId="77777777" w:rsidR="00F90C9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Main findings: </w:t>
      </w:r>
    </w:p>
    <w:p w14:paraId="7EF27127" w14:textId="77777777" w:rsidR="00B4591E" w:rsidRPr="00B4591E" w:rsidRDefault="00B4591E" w:rsidP="00B4591E">
      <w:pPr>
        <w:spacing w:line="480" w:lineRule="auto"/>
        <w:rPr>
          <w:rFonts w:ascii="Arial" w:eastAsia="Aptos" w:hAnsi="Arial" w:cs="Arial"/>
          <w:color w:val="000000" w:themeColor="text1"/>
        </w:rPr>
      </w:pPr>
    </w:p>
    <w:p w14:paraId="0DE89955"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lastRenderedPageBreak/>
        <w:t>Question 1 – What were the bricks used for?</w:t>
      </w:r>
    </w:p>
    <w:p w14:paraId="2F4EF8C5"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The first question showed that all learners understood, to a greater or lesser degree, the reason the bricks are used. Three learners demonstrated good understanding by suggesting ‘the bricks are used to help us track the progress of learning’ and to see ‘what level they are working at for the lesson’. Three learners also demonstrated moderate understanding. All learners answered individually here, with no exact replication of answers. </w:t>
      </w:r>
    </w:p>
    <w:p w14:paraId="03AA5B76"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Question 2 – What do the bricks mean?</w:t>
      </w:r>
    </w:p>
    <w:p w14:paraId="398372B1"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Four learners were able to demonstrate good understanding, with answers such as ‘red means bottom and then we have to try and get to the green brick to complete them for that lesson’ and ‘if we complete each level, it means we have completed our Lego challenge for that lesson’ being demonstrated here. One learner showed moderate understanding and one learner showed little understanding on this question. All learners answered individually again.</w:t>
      </w:r>
    </w:p>
    <w:p w14:paraId="02D3CC51"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Question 3 – Why do we use these bricks?</w:t>
      </w:r>
    </w:p>
    <w:p w14:paraId="1251F501"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This question saw a drop in learners understanding, with only three learners able to demonstrate good knowledge. One learner demonstrated moderate knowledge, and one learner showed little understanding. Learner six was not confident answering this question, electing to show the red traffic light and so not answer the question.</w:t>
      </w:r>
    </w:p>
    <w:p w14:paraId="6D30D5F8"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Question 4 – What is the difference in the red and green brick?</w:t>
      </w:r>
    </w:p>
    <w:p w14:paraId="058D7B31"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This question again saw a dip in learners understanding, with only two learners able to demonstrate ‘moderate understanding’. The other four learners showed little understanding. It was at this stage in the interview process that learners starting to </w:t>
      </w:r>
      <w:r w:rsidRPr="00B4591E">
        <w:rPr>
          <w:rFonts w:ascii="Arial" w:eastAsia="Aptos" w:hAnsi="Arial" w:cs="Arial"/>
          <w:color w:val="000000" w:themeColor="text1"/>
        </w:rPr>
        <w:lastRenderedPageBreak/>
        <w:t xml:space="preserve">copy one another’s answers, with learners four and five answering the same as learner one, who answered the question first. </w:t>
      </w:r>
    </w:p>
    <w:p w14:paraId="1FBBB017" w14:textId="77777777" w:rsidR="00F90C9E" w:rsidRPr="00B4591E" w:rsidRDefault="00F90C9E" w:rsidP="00B4591E">
      <w:pPr>
        <w:spacing w:line="480" w:lineRule="auto"/>
        <w:rPr>
          <w:rFonts w:ascii="Arial" w:eastAsia="Aptos" w:hAnsi="Arial" w:cs="Arial"/>
          <w:b/>
          <w:bCs/>
          <w:color w:val="000000" w:themeColor="text1"/>
        </w:rPr>
      </w:pPr>
      <w:r w:rsidRPr="00B4591E">
        <w:rPr>
          <w:rFonts w:ascii="Arial" w:eastAsia="Aptos" w:hAnsi="Arial" w:cs="Arial"/>
          <w:b/>
          <w:bCs/>
          <w:color w:val="000000" w:themeColor="text1"/>
        </w:rPr>
        <w:t>Question 5 – What does it mean if we get all the bricks for the lesson?</w:t>
      </w:r>
    </w:p>
    <w:p w14:paraId="7E5F190D"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The final question saw all learners answer in some way. Learner six demonstrated no understanding, by suggesting ‘we get play’ as their answer. Learners one, two and four all showed a little understanding in their answers by elaborating learner six’s answer that ‘we get play’ with a little more detail and understanding. Learners three and five showed that they had good understanding in the answers they provided.</w:t>
      </w:r>
    </w:p>
    <w:p w14:paraId="3A59BB7C" w14:textId="77777777" w:rsidR="00F90C9E" w:rsidRPr="00B4591E" w:rsidRDefault="00F90C9E"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 xml:space="preserve">The result show that all the children in the interview group have some understanding of the AFL strategy the Lego Challenge. The degree to which they understand the intricacies of the strategy varies from learner to learner. In </w:t>
      </w:r>
      <w:proofErr w:type="spellStart"/>
      <w:proofErr w:type="gramStart"/>
      <w:r w:rsidRPr="00B4591E">
        <w:rPr>
          <w:rFonts w:ascii="Arial" w:eastAsia="Aptos" w:hAnsi="Arial" w:cs="Arial"/>
          <w:color w:val="000000" w:themeColor="text1"/>
        </w:rPr>
        <w:t>it’s</w:t>
      </w:r>
      <w:proofErr w:type="spellEnd"/>
      <w:proofErr w:type="gramEnd"/>
      <w:r w:rsidRPr="00B4591E">
        <w:rPr>
          <w:rFonts w:ascii="Arial" w:eastAsia="Aptos" w:hAnsi="Arial" w:cs="Arial"/>
          <w:color w:val="000000" w:themeColor="text1"/>
        </w:rPr>
        <w:t xml:space="preserve"> simplest form all learners have a moderate to good understanding of why the bricks are used, i.e. to monitor the progress of learners. When it comes to showing a more in-depth understanding of the Lego Challenge the learner’s knowledge becomes more fractured as they struggle with the nuances of the strategy. For example, they all know the basic difference between receiving a red and green brick but are unable to elucidate the reason.</w:t>
      </w:r>
    </w:p>
    <w:p w14:paraId="5950D775" w14:textId="0D3949D3" w:rsidR="00C60FEC" w:rsidRPr="00B4591E" w:rsidRDefault="00C60FEC" w:rsidP="00B4591E">
      <w:pPr>
        <w:spacing w:line="480" w:lineRule="auto"/>
        <w:rPr>
          <w:rFonts w:ascii="Arial" w:eastAsia="Aptos" w:hAnsi="Arial" w:cs="Arial"/>
          <w:color w:val="000000" w:themeColor="text1"/>
        </w:rPr>
      </w:pPr>
      <w:r w:rsidRPr="00B4591E">
        <w:rPr>
          <w:rFonts w:ascii="Arial" w:eastAsia="Aptos" w:hAnsi="Arial" w:cs="Arial"/>
          <w:color w:val="000000" w:themeColor="text1"/>
        </w:rPr>
        <w:t>Understanding depending on how long they have been in the class.</w:t>
      </w:r>
    </w:p>
    <w:p w14:paraId="5B1D70D2" w14:textId="5537066A"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Conclusion</w:t>
      </w:r>
      <w:r w:rsidR="00541655" w:rsidRPr="00B4591E">
        <w:rPr>
          <w:rFonts w:ascii="Arial" w:hAnsi="Arial" w:cs="Arial"/>
          <w:color w:val="000000" w:themeColor="text1"/>
        </w:rPr>
        <w:t xml:space="preserve"> and Recommendations</w:t>
      </w:r>
    </w:p>
    <w:p w14:paraId="0876D642" w14:textId="5DDE56B4"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 xml:space="preserve">One of the main factors that influenced this research project and the children’s understanding of the Lego Challenge was their developmental stage. Being at such young age the learners and the project had to be adapted and suited to their needs. Questions were modified to include easy language and be short and sharp and other </w:t>
      </w:r>
      <w:r w:rsidRPr="00B4591E">
        <w:rPr>
          <w:rFonts w:ascii="Arial" w:hAnsi="Arial" w:cs="Arial"/>
          <w:color w:val="000000" w:themeColor="text1"/>
        </w:rPr>
        <w:lastRenderedPageBreak/>
        <w:t xml:space="preserve">data collection methods such as questionnaires had to be avoided, strictly down to the learners not being able to fill them out, meaning the questions had to be tailored to the children developmental level and communication abilities. </w:t>
      </w:r>
    </w:p>
    <w:p w14:paraId="6AD17F05" w14:textId="6F599DD9"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 xml:space="preserve">Another factor was the learners’ prior experiences with assessment. Assessment is fundamental in effective teaching and an expected standard across all schools. It informs and supports student learning while giving teacher an idea of the level learners </w:t>
      </w:r>
      <w:proofErr w:type="gramStart"/>
      <w:r w:rsidRPr="00B4591E">
        <w:rPr>
          <w:rFonts w:ascii="Arial" w:hAnsi="Arial" w:cs="Arial"/>
          <w:color w:val="000000" w:themeColor="text1"/>
        </w:rPr>
        <w:t>are</w:t>
      </w:r>
      <w:proofErr w:type="gramEnd"/>
      <w:r w:rsidRPr="00B4591E">
        <w:rPr>
          <w:rFonts w:ascii="Arial" w:hAnsi="Arial" w:cs="Arial"/>
          <w:color w:val="000000" w:themeColor="text1"/>
        </w:rPr>
        <w:t xml:space="preserve"> working at. Some students had not experienced assessment before such as 2 learners from the most recent intake who took part in the group interview and in the observation, this was clear in the vague responses given by some learners, particularly in the more in depth questions. </w:t>
      </w:r>
    </w:p>
    <w:p w14:paraId="3DD9AF1C" w14:textId="4BFBDCC9"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Another factor that effects the learners understanding was the support provided by educators and learning support assistants present in the class. From observation on my PTE placement, teachers and the LSA in the focused class are knowledgeable but this may not be replicated across other schools. Furthermore, teacher to student ratio may affect the amount of time teachers can spend to explain and give clear guidance of the strategy’s such as the Lego Challenge. Also, not all educators are trained and are motivated to deliver effective strategy’s and may see AfL implementation as a ticking the box exercise, a burden rather than a positive to help learners in class.</w:t>
      </w:r>
    </w:p>
    <w:p w14:paraId="5B0DE8ED" w14:textId="7F62FB33"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 xml:space="preserve">Reflecting on this case study, possible variables that could have bene adjusted include the length of interviews, due to this having an effect on concentration levels which certainly dipped the longer the interview went on. Questions had already been modified to suit the learners age and their development. More rounds of interviews with more learners to create more rich data would have made the sample more </w:t>
      </w:r>
      <w:r w:rsidRPr="00B4591E">
        <w:rPr>
          <w:rFonts w:ascii="Arial" w:hAnsi="Arial" w:cs="Arial"/>
          <w:color w:val="000000" w:themeColor="text1"/>
        </w:rPr>
        <w:lastRenderedPageBreak/>
        <w:t xml:space="preserve">representative. Had the children of been older, data could have been collected from relevant documents such as lesson plans, work samples and reflective journals that would have provided additional context and allow the findings to be triangulated. Combining multiple research methods such as observations, interviews and document analysis, a mixed methods approach, would enhance the validity and reliability of the research findings. </w:t>
      </w:r>
    </w:p>
    <w:p w14:paraId="74290673" w14:textId="15681996" w:rsidR="00BB48EE" w:rsidRPr="00B4591E" w:rsidRDefault="00BB48EE" w:rsidP="00B4591E">
      <w:pPr>
        <w:spacing w:line="480" w:lineRule="auto"/>
        <w:rPr>
          <w:rFonts w:ascii="Arial" w:hAnsi="Arial" w:cs="Arial"/>
          <w:color w:val="000000" w:themeColor="text1"/>
        </w:rPr>
      </w:pPr>
      <w:r w:rsidRPr="00B4591E">
        <w:rPr>
          <w:rFonts w:ascii="Arial" w:hAnsi="Arial" w:cs="Arial"/>
          <w:color w:val="000000" w:themeColor="text1"/>
        </w:rPr>
        <w:t xml:space="preserve">The main recommendation would be for School A to continue with the implementation of the Lego Challenge. Further recommendations include making sure all learners, particularly new learners are familiar and have some knowledge of the Lego challenge, making sure they are made aware, and understanding is refreshed periodically.  Finally, all new learners should be </w:t>
      </w:r>
      <w:proofErr w:type="gramStart"/>
      <w:r w:rsidRPr="00B4591E">
        <w:rPr>
          <w:rFonts w:ascii="Arial" w:hAnsi="Arial" w:cs="Arial"/>
          <w:color w:val="000000" w:themeColor="text1"/>
        </w:rPr>
        <w:t>given an introduction to</w:t>
      </w:r>
      <w:proofErr w:type="gramEnd"/>
      <w:r w:rsidRPr="00B4591E">
        <w:rPr>
          <w:rFonts w:ascii="Arial" w:hAnsi="Arial" w:cs="Arial"/>
          <w:color w:val="000000" w:themeColor="text1"/>
        </w:rPr>
        <w:t xml:space="preserve"> help them integrate with the daily occurrence of the Leg Challenge in the class and save repetition in having to explain more regularly.  In conclusion this case study has provided valuable insights, for the researcher and potentially inform further research into how early years learners understand and engage with the AfL strategy the Lego Challenge. The Lego Challenge has offered a unique opportunity for the researcher explore how young children understand and engage with the assessment process and promoting positive learning experiences for young children. </w:t>
      </w:r>
    </w:p>
    <w:p w14:paraId="4C3AA3EA" w14:textId="77777777" w:rsidR="00633FB0" w:rsidRPr="00B4591E" w:rsidRDefault="00633FB0" w:rsidP="00B4591E">
      <w:pPr>
        <w:spacing w:line="480" w:lineRule="auto"/>
        <w:rPr>
          <w:rFonts w:ascii="Arial" w:hAnsi="Arial" w:cs="Arial"/>
          <w:color w:val="000000" w:themeColor="text1"/>
        </w:rPr>
      </w:pPr>
    </w:p>
    <w:p w14:paraId="5C41B604" w14:textId="77777777" w:rsidR="00633FB0" w:rsidRPr="00B4591E" w:rsidRDefault="00633FB0" w:rsidP="00B4591E">
      <w:pPr>
        <w:spacing w:line="480" w:lineRule="auto"/>
        <w:rPr>
          <w:rFonts w:ascii="Arial" w:hAnsi="Arial" w:cs="Arial"/>
        </w:rPr>
      </w:pPr>
    </w:p>
    <w:p w14:paraId="2DDCE689" w14:textId="77777777" w:rsidR="00633FB0" w:rsidRPr="00B4591E" w:rsidRDefault="00633FB0" w:rsidP="00B4591E">
      <w:pPr>
        <w:spacing w:line="480" w:lineRule="auto"/>
        <w:rPr>
          <w:rFonts w:ascii="Arial" w:hAnsi="Arial" w:cs="Arial"/>
        </w:rPr>
      </w:pPr>
    </w:p>
    <w:p w14:paraId="1A0086D7" w14:textId="77777777" w:rsidR="00633FB0" w:rsidRPr="00B4591E" w:rsidRDefault="00633FB0" w:rsidP="00B4591E">
      <w:pPr>
        <w:spacing w:line="480" w:lineRule="auto"/>
        <w:rPr>
          <w:rFonts w:ascii="Arial" w:hAnsi="Arial" w:cs="Arial"/>
        </w:rPr>
      </w:pPr>
    </w:p>
    <w:p w14:paraId="7CF0BE7C" w14:textId="5981B37C" w:rsidR="00F678E3" w:rsidRPr="00B4591E" w:rsidRDefault="00BB48EE" w:rsidP="00B4591E">
      <w:pPr>
        <w:tabs>
          <w:tab w:val="left" w:pos="6471"/>
        </w:tabs>
        <w:spacing w:line="480" w:lineRule="auto"/>
        <w:rPr>
          <w:rFonts w:ascii="Arial" w:hAnsi="Arial" w:cs="Arial"/>
          <w:color w:val="77206D" w:themeColor="accent5" w:themeShade="BF"/>
        </w:rPr>
      </w:pPr>
      <w:r w:rsidRPr="00B4591E">
        <w:rPr>
          <w:rFonts w:ascii="Arial" w:hAnsi="Arial" w:cs="Arial"/>
          <w:color w:val="77206D" w:themeColor="accent5" w:themeShade="BF"/>
        </w:rPr>
        <w:tab/>
      </w:r>
    </w:p>
    <w:p w14:paraId="7352336C" w14:textId="77777777" w:rsidR="00F90C9E" w:rsidRPr="00B4591E" w:rsidRDefault="00F90C9E" w:rsidP="00B4591E">
      <w:pPr>
        <w:spacing w:line="480" w:lineRule="auto"/>
        <w:rPr>
          <w:rFonts w:ascii="Arial" w:eastAsia="Aptos" w:hAnsi="Arial" w:cs="Arial"/>
          <w:color w:val="A02B93"/>
        </w:rPr>
      </w:pPr>
    </w:p>
    <w:p w14:paraId="67628DC6" w14:textId="69837ADA" w:rsidR="00F90C9E" w:rsidRPr="00B4591E" w:rsidRDefault="00541655" w:rsidP="00B4591E">
      <w:pPr>
        <w:spacing w:line="480" w:lineRule="auto"/>
        <w:rPr>
          <w:rFonts w:ascii="Arial" w:hAnsi="Arial" w:cs="Arial"/>
        </w:rPr>
      </w:pPr>
      <w:r w:rsidRPr="00B4591E">
        <w:rPr>
          <w:rFonts w:ascii="Arial" w:hAnsi="Arial" w:cs="Arial"/>
        </w:rPr>
        <w:t xml:space="preserve">Reference List </w:t>
      </w:r>
    </w:p>
    <w:p w14:paraId="3CBB2FE8" w14:textId="77777777" w:rsidR="00633FB0" w:rsidRPr="00B4591E" w:rsidRDefault="00633FB0" w:rsidP="00B4591E">
      <w:pPr>
        <w:spacing w:line="480" w:lineRule="auto"/>
        <w:rPr>
          <w:rFonts w:ascii="Arial" w:hAnsi="Arial" w:cs="Arial"/>
        </w:rPr>
      </w:pPr>
      <w:r w:rsidRPr="00B4591E">
        <w:rPr>
          <w:rFonts w:ascii="Arial" w:hAnsi="Arial" w:cs="Arial"/>
        </w:rPr>
        <w:t>Adair, J. G. (1984) "The Hawthorne Effect: A Reconsideration of the Methodological Artifact." Journal of Applied Psychology, 1984, 69(2), 334-345.</w:t>
      </w:r>
    </w:p>
    <w:p w14:paraId="7429B158" w14:textId="77777777" w:rsidR="00633FB0" w:rsidRPr="00B4591E" w:rsidRDefault="00633FB0" w:rsidP="00B4591E">
      <w:pPr>
        <w:spacing w:line="480" w:lineRule="auto"/>
        <w:rPr>
          <w:rFonts w:ascii="Arial" w:hAnsi="Arial" w:cs="Arial"/>
        </w:rPr>
      </w:pPr>
      <w:r w:rsidRPr="00B4591E">
        <w:rPr>
          <w:rFonts w:ascii="Arial" w:hAnsi="Arial" w:cs="Arial"/>
        </w:rPr>
        <w:t>Al-</w:t>
      </w:r>
      <w:proofErr w:type="spellStart"/>
      <w:r w:rsidRPr="00B4591E">
        <w:rPr>
          <w:rFonts w:ascii="Arial" w:hAnsi="Arial" w:cs="Arial"/>
        </w:rPr>
        <w:t>Sheyab</w:t>
      </w:r>
      <w:proofErr w:type="spellEnd"/>
      <w:r w:rsidRPr="00B4591E">
        <w:rPr>
          <w:rFonts w:ascii="Arial" w:hAnsi="Arial" w:cs="Arial"/>
        </w:rPr>
        <w:t xml:space="preserve">, N.A., </w:t>
      </w:r>
      <w:proofErr w:type="spellStart"/>
      <w:r w:rsidRPr="00B4591E">
        <w:rPr>
          <w:rFonts w:ascii="Arial" w:hAnsi="Arial" w:cs="Arial"/>
        </w:rPr>
        <w:t>Alomari</w:t>
      </w:r>
      <w:proofErr w:type="spellEnd"/>
      <w:r w:rsidRPr="00B4591E">
        <w:rPr>
          <w:rFonts w:ascii="Arial" w:hAnsi="Arial" w:cs="Arial"/>
        </w:rPr>
        <w:t xml:space="preserve">, M.A., </w:t>
      </w:r>
      <w:proofErr w:type="spellStart"/>
      <w:r w:rsidRPr="00B4591E">
        <w:rPr>
          <w:rFonts w:ascii="Arial" w:hAnsi="Arial" w:cs="Arial"/>
        </w:rPr>
        <w:t>Khabour</w:t>
      </w:r>
      <w:proofErr w:type="spellEnd"/>
      <w:r w:rsidRPr="00B4591E">
        <w:rPr>
          <w:rFonts w:ascii="Arial" w:hAnsi="Arial" w:cs="Arial"/>
        </w:rPr>
        <w:t xml:space="preserve">, O.F., </w:t>
      </w:r>
      <w:proofErr w:type="spellStart"/>
      <w:r w:rsidRPr="00B4591E">
        <w:rPr>
          <w:rFonts w:ascii="Arial" w:hAnsi="Arial" w:cs="Arial"/>
        </w:rPr>
        <w:t>Shattnawi</w:t>
      </w:r>
      <w:proofErr w:type="spellEnd"/>
      <w:r w:rsidRPr="00B4591E">
        <w:rPr>
          <w:rFonts w:ascii="Arial" w:hAnsi="Arial" w:cs="Arial"/>
        </w:rPr>
        <w:t xml:space="preserve">, K.K. and </w:t>
      </w:r>
      <w:proofErr w:type="spellStart"/>
      <w:r w:rsidRPr="00B4591E">
        <w:rPr>
          <w:rFonts w:ascii="Arial" w:hAnsi="Arial" w:cs="Arial"/>
        </w:rPr>
        <w:t>Alzoubi</w:t>
      </w:r>
      <w:proofErr w:type="spellEnd"/>
      <w:r w:rsidRPr="00B4591E">
        <w:rPr>
          <w:rFonts w:ascii="Arial" w:hAnsi="Arial" w:cs="Arial"/>
        </w:rPr>
        <w:t xml:space="preserve">, K.H. (2019). Assent and consent in </w:t>
      </w:r>
      <w:proofErr w:type="spellStart"/>
      <w:r w:rsidRPr="00B4591E">
        <w:rPr>
          <w:rFonts w:ascii="Arial" w:hAnsi="Arial" w:cs="Arial"/>
        </w:rPr>
        <w:t>pediatric</w:t>
      </w:r>
      <w:proofErr w:type="spellEnd"/>
      <w:r w:rsidRPr="00B4591E">
        <w:rPr>
          <w:rFonts w:ascii="Arial" w:hAnsi="Arial" w:cs="Arial"/>
        </w:rPr>
        <w:t xml:space="preserve"> and adolescent research: school children’s perspectives. Adolescent Health, Medicine and Therapeutics, Volume 10, pp.7–14. </w:t>
      </w:r>
      <w:proofErr w:type="spellStart"/>
      <w:r w:rsidRPr="00B4591E">
        <w:rPr>
          <w:rFonts w:ascii="Arial" w:hAnsi="Arial" w:cs="Arial"/>
        </w:rPr>
        <w:t>doi:https</w:t>
      </w:r>
      <w:proofErr w:type="spellEnd"/>
      <w:r w:rsidRPr="00B4591E">
        <w:rPr>
          <w:rFonts w:ascii="Arial" w:hAnsi="Arial" w:cs="Arial"/>
        </w:rPr>
        <w:t>://doi.org/10.2147/ahmt.s185553.</w:t>
      </w:r>
    </w:p>
    <w:p w14:paraId="7E85638B" w14:textId="77777777" w:rsidR="00633FB0" w:rsidRPr="00B4591E" w:rsidRDefault="00633FB0" w:rsidP="00B4591E">
      <w:pPr>
        <w:spacing w:line="480" w:lineRule="auto"/>
        <w:rPr>
          <w:rFonts w:ascii="Arial" w:hAnsi="Arial" w:cs="Arial"/>
        </w:rPr>
      </w:pPr>
      <w:r w:rsidRPr="00B4591E">
        <w:rPr>
          <w:rFonts w:ascii="Arial" w:hAnsi="Arial" w:cs="Arial"/>
        </w:rPr>
        <w:t xml:space="preserve">Andrade, H.G. (2005). Teaching With Rubrics: The Good, the Bad, and the Ugly. College Teaching, 53(1), pp.27–31. </w:t>
      </w:r>
      <w:proofErr w:type="spellStart"/>
      <w:r w:rsidRPr="00B4591E">
        <w:rPr>
          <w:rFonts w:ascii="Arial" w:hAnsi="Arial" w:cs="Arial"/>
        </w:rPr>
        <w:t>doi:https</w:t>
      </w:r>
      <w:proofErr w:type="spellEnd"/>
      <w:r w:rsidRPr="00B4591E">
        <w:rPr>
          <w:rFonts w:ascii="Arial" w:hAnsi="Arial" w:cs="Arial"/>
        </w:rPr>
        <w:t>://doi.org/10.3200/ctch.53.1.27-31.</w:t>
      </w:r>
    </w:p>
    <w:p w14:paraId="5E48BEF6" w14:textId="77777777" w:rsidR="00633FB0" w:rsidRPr="00B4591E" w:rsidRDefault="00633FB0" w:rsidP="00B4591E">
      <w:pPr>
        <w:spacing w:line="480" w:lineRule="auto"/>
        <w:rPr>
          <w:rFonts w:ascii="Arial" w:hAnsi="Arial" w:cs="Arial"/>
        </w:rPr>
      </w:pPr>
      <w:proofErr w:type="spellStart"/>
      <w:r w:rsidRPr="00B4591E">
        <w:rPr>
          <w:rFonts w:ascii="Arial" w:hAnsi="Arial" w:cs="Arial"/>
        </w:rPr>
        <w:t>Angrosino</w:t>
      </w:r>
      <w:proofErr w:type="spellEnd"/>
      <w:r w:rsidRPr="00B4591E">
        <w:rPr>
          <w:rFonts w:ascii="Arial" w:hAnsi="Arial" w:cs="Arial"/>
        </w:rPr>
        <w:t xml:space="preserve">, M. (2007). Doing Ethnographic and Observational Research. Doing Ethnographic and Observational Research. </w:t>
      </w:r>
      <w:proofErr w:type="spellStart"/>
      <w:r w:rsidRPr="00B4591E">
        <w:rPr>
          <w:rFonts w:ascii="Arial" w:hAnsi="Arial" w:cs="Arial"/>
        </w:rPr>
        <w:t>doi:https</w:t>
      </w:r>
      <w:proofErr w:type="spellEnd"/>
      <w:r w:rsidRPr="00B4591E">
        <w:rPr>
          <w:rFonts w:ascii="Arial" w:hAnsi="Arial" w:cs="Arial"/>
        </w:rPr>
        <w:t>://doi.org/10.4135/9781849208932.</w:t>
      </w:r>
    </w:p>
    <w:p w14:paraId="27D2B9C3" w14:textId="77777777" w:rsidR="00633FB0" w:rsidRPr="00B4591E" w:rsidRDefault="00633FB0" w:rsidP="00B4591E">
      <w:pPr>
        <w:spacing w:line="480" w:lineRule="auto"/>
        <w:rPr>
          <w:rFonts w:ascii="Arial" w:hAnsi="Arial" w:cs="Arial"/>
        </w:rPr>
      </w:pPr>
      <w:r w:rsidRPr="00B4591E">
        <w:rPr>
          <w:rFonts w:ascii="Arial" w:hAnsi="Arial" w:cs="Arial"/>
        </w:rPr>
        <w:t>Bernard, H. R. "Research Methods in Anthropology: Qualitative and Quantitative Approaches." Rowman &amp; Littlefield, 2017.</w:t>
      </w:r>
    </w:p>
    <w:p w14:paraId="5A2D31E0" w14:textId="77777777" w:rsidR="00633FB0" w:rsidRPr="00B4591E" w:rsidRDefault="00633FB0" w:rsidP="00B4591E">
      <w:pPr>
        <w:spacing w:line="480" w:lineRule="auto"/>
        <w:rPr>
          <w:rFonts w:ascii="Arial" w:hAnsi="Arial" w:cs="Arial"/>
        </w:rPr>
      </w:pPr>
      <w:r w:rsidRPr="00B4591E">
        <w:rPr>
          <w:rFonts w:ascii="Arial" w:hAnsi="Arial" w:cs="Arial"/>
        </w:rPr>
        <w:t xml:space="preserve">Black, P.J. and </w:t>
      </w:r>
      <w:r w:rsidRPr="00B4591E">
        <w:rPr>
          <w:rFonts w:ascii="Arial" w:hAnsi="Arial" w:cs="Arial"/>
        </w:rPr>
        <w:t>William</w:t>
      </w:r>
      <w:r w:rsidRPr="00B4591E">
        <w:rPr>
          <w:rFonts w:ascii="Arial" w:hAnsi="Arial" w:cs="Arial"/>
        </w:rPr>
        <w:t>, D. (1998) Inside the black box: Raising standards through classroom assessment. London: Nelson.</w:t>
      </w:r>
    </w:p>
    <w:p w14:paraId="12DF3585" w14:textId="77777777" w:rsidR="00633FB0" w:rsidRPr="00B4591E" w:rsidRDefault="00633FB0" w:rsidP="00B4591E">
      <w:pPr>
        <w:spacing w:line="480" w:lineRule="auto"/>
        <w:rPr>
          <w:rFonts w:ascii="Arial" w:hAnsi="Arial" w:cs="Arial"/>
        </w:rPr>
      </w:pPr>
      <w:proofErr w:type="spellStart"/>
      <w:r w:rsidRPr="00B4591E">
        <w:rPr>
          <w:rFonts w:ascii="Arial" w:hAnsi="Arial" w:cs="Arial"/>
        </w:rPr>
        <w:t>Boud</w:t>
      </w:r>
      <w:proofErr w:type="spellEnd"/>
      <w:r w:rsidRPr="00B4591E">
        <w:rPr>
          <w:rFonts w:ascii="Arial" w:hAnsi="Arial" w:cs="Arial"/>
        </w:rPr>
        <w:t xml:space="preserve">, D., &amp; </w:t>
      </w:r>
      <w:proofErr w:type="spellStart"/>
      <w:r w:rsidRPr="00B4591E">
        <w:rPr>
          <w:rFonts w:ascii="Arial" w:hAnsi="Arial" w:cs="Arial"/>
        </w:rPr>
        <w:t>Falchikov</w:t>
      </w:r>
      <w:proofErr w:type="spellEnd"/>
      <w:r w:rsidRPr="00B4591E">
        <w:rPr>
          <w:rFonts w:ascii="Arial" w:hAnsi="Arial" w:cs="Arial"/>
        </w:rPr>
        <w:t>, N. (2007). Rethinking assessment in higher education: Learning for the longer term. Routledge.</w:t>
      </w:r>
    </w:p>
    <w:p w14:paraId="1814EC50" w14:textId="77777777" w:rsidR="00633FB0" w:rsidRPr="00B4591E" w:rsidRDefault="00633FB0" w:rsidP="00B4591E">
      <w:pPr>
        <w:spacing w:line="480" w:lineRule="auto"/>
        <w:rPr>
          <w:rFonts w:ascii="Arial" w:hAnsi="Arial" w:cs="Arial"/>
        </w:rPr>
      </w:pPr>
      <w:r w:rsidRPr="00B4591E">
        <w:rPr>
          <w:rFonts w:ascii="Arial" w:hAnsi="Arial" w:cs="Arial"/>
        </w:rPr>
        <w:t xml:space="preserve">Braun, V. and Clarke, V. (2006). Using Thematic Analysis in Psychology. Qualitative Research in Psychology, 3(2), pp.77–101. </w:t>
      </w:r>
      <w:proofErr w:type="spellStart"/>
      <w:r w:rsidRPr="00B4591E">
        <w:rPr>
          <w:rFonts w:ascii="Arial" w:hAnsi="Arial" w:cs="Arial"/>
        </w:rPr>
        <w:t>doi:https</w:t>
      </w:r>
      <w:proofErr w:type="spellEnd"/>
      <w:r w:rsidRPr="00B4591E">
        <w:rPr>
          <w:rFonts w:ascii="Arial" w:hAnsi="Arial" w:cs="Arial"/>
        </w:rPr>
        <w:t>://doi.org/10.1191/1478088706qp063oa.</w:t>
      </w:r>
    </w:p>
    <w:p w14:paraId="75BA66FE" w14:textId="77777777" w:rsidR="00633FB0" w:rsidRPr="00B4591E" w:rsidRDefault="00633FB0" w:rsidP="00B4591E">
      <w:pPr>
        <w:spacing w:line="480" w:lineRule="auto"/>
        <w:rPr>
          <w:rFonts w:ascii="Arial" w:hAnsi="Arial" w:cs="Arial"/>
        </w:rPr>
      </w:pPr>
      <w:r w:rsidRPr="00B4591E">
        <w:rPr>
          <w:rFonts w:ascii="Arial" w:hAnsi="Arial" w:cs="Arial"/>
        </w:rPr>
        <w:lastRenderedPageBreak/>
        <w:t>British Education Research Association (2018) ‘Ethical guidelines for Educational Research, fourth edition’. Available at: https://www.bera.ac.uk/publication/ethical-guidelines-for-educational-research-2018-online. (Accessed: 27th March 2024)</w:t>
      </w:r>
    </w:p>
    <w:p w14:paraId="0B0E0561" w14:textId="77777777" w:rsidR="00633FB0" w:rsidRPr="00B4591E" w:rsidRDefault="00633FB0" w:rsidP="00B4591E">
      <w:pPr>
        <w:spacing w:line="480" w:lineRule="auto"/>
        <w:rPr>
          <w:rFonts w:ascii="Arial" w:hAnsi="Arial" w:cs="Arial"/>
        </w:rPr>
      </w:pPr>
      <w:r w:rsidRPr="00B4591E">
        <w:rPr>
          <w:rFonts w:ascii="Arial" w:hAnsi="Arial" w:cs="Arial"/>
        </w:rPr>
        <w:t xml:space="preserve">Christensen, P., &amp; </w:t>
      </w:r>
      <w:proofErr w:type="spellStart"/>
      <w:r w:rsidRPr="00B4591E">
        <w:rPr>
          <w:rFonts w:ascii="Arial" w:hAnsi="Arial" w:cs="Arial"/>
        </w:rPr>
        <w:t>Prout</w:t>
      </w:r>
      <w:proofErr w:type="spellEnd"/>
      <w:r w:rsidRPr="00B4591E">
        <w:rPr>
          <w:rFonts w:ascii="Arial" w:hAnsi="Arial" w:cs="Arial"/>
        </w:rPr>
        <w:t>, A. (2002). Working with Ethical Symmetry in Social Research with Children. Childhood.</w:t>
      </w:r>
    </w:p>
    <w:p w14:paraId="33F10B51" w14:textId="77777777" w:rsidR="00633FB0" w:rsidRPr="00B4591E" w:rsidRDefault="00633FB0" w:rsidP="00B4591E">
      <w:pPr>
        <w:spacing w:line="480" w:lineRule="auto"/>
        <w:rPr>
          <w:rFonts w:ascii="Arial" w:hAnsi="Arial" w:cs="Arial"/>
        </w:rPr>
      </w:pPr>
      <w:r w:rsidRPr="00B4591E">
        <w:rPr>
          <w:rFonts w:ascii="Arial" w:hAnsi="Arial" w:cs="Arial"/>
        </w:rPr>
        <w:t xml:space="preserve">Clark, T. (2010). On ‘being researched’: why do people engage with qualitative </w:t>
      </w:r>
      <w:proofErr w:type="gramStart"/>
      <w:r w:rsidRPr="00B4591E">
        <w:rPr>
          <w:rFonts w:ascii="Arial" w:hAnsi="Arial" w:cs="Arial"/>
        </w:rPr>
        <w:t>research?.</w:t>
      </w:r>
      <w:proofErr w:type="gramEnd"/>
      <w:r w:rsidRPr="00B4591E">
        <w:rPr>
          <w:rFonts w:ascii="Arial" w:hAnsi="Arial" w:cs="Arial"/>
        </w:rPr>
        <w:t xml:space="preserve"> Qualitative Research, 10(4), pp.399–419. </w:t>
      </w:r>
      <w:proofErr w:type="spellStart"/>
      <w:r w:rsidRPr="00B4591E">
        <w:rPr>
          <w:rFonts w:ascii="Arial" w:hAnsi="Arial" w:cs="Arial"/>
        </w:rPr>
        <w:t>doi:https</w:t>
      </w:r>
      <w:proofErr w:type="spellEnd"/>
      <w:r w:rsidRPr="00B4591E">
        <w:rPr>
          <w:rFonts w:ascii="Arial" w:hAnsi="Arial" w:cs="Arial"/>
        </w:rPr>
        <w:t>://doi.org/10.1177/1468794110366796.</w:t>
      </w:r>
    </w:p>
    <w:p w14:paraId="414BFB4A" w14:textId="77777777" w:rsidR="00633FB0" w:rsidRPr="00B4591E" w:rsidRDefault="00633FB0" w:rsidP="00B4591E">
      <w:pPr>
        <w:spacing w:line="480" w:lineRule="auto"/>
        <w:rPr>
          <w:rFonts w:ascii="Arial" w:hAnsi="Arial" w:cs="Arial"/>
          <w:color w:val="156082" w:themeColor="accent1"/>
        </w:rPr>
      </w:pPr>
      <w:r w:rsidRPr="00B4591E">
        <w:rPr>
          <w:rFonts w:ascii="Arial" w:hAnsi="Arial" w:cs="Arial"/>
          <w:color w:val="156082" w:themeColor="accent1"/>
        </w:rPr>
        <w:t xml:space="preserve">Cohen, D.J. and Crabtree, B.F. (2008). Evaluative Criteria for Qualitative Research in Health Care: Controversies and Recommendations. The Annals of Family Medicine, [online] 6(4), pp.331–339. </w:t>
      </w:r>
      <w:proofErr w:type="spellStart"/>
      <w:r w:rsidRPr="00B4591E">
        <w:rPr>
          <w:rFonts w:ascii="Arial" w:hAnsi="Arial" w:cs="Arial"/>
          <w:color w:val="156082" w:themeColor="accent1"/>
        </w:rPr>
        <w:t>doi:https</w:t>
      </w:r>
      <w:proofErr w:type="spellEnd"/>
      <w:r w:rsidRPr="00B4591E">
        <w:rPr>
          <w:rFonts w:ascii="Arial" w:hAnsi="Arial" w:cs="Arial"/>
          <w:color w:val="156082" w:themeColor="accent1"/>
        </w:rPr>
        <w:t>://doi.org/10.1370/afm.818.</w:t>
      </w:r>
    </w:p>
    <w:p w14:paraId="1AF4300F" w14:textId="77777777" w:rsidR="00633FB0" w:rsidRPr="00B4591E" w:rsidRDefault="00633FB0" w:rsidP="00B4591E">
      <w:pPr>
        <w:spacing w:line="480" w:lineRule="auto"/>
        <w:rPr>
          <w:rFonts w:ascii="Arial" w:hAnsi="Arial" w:cs="Arial"/>
        </w:rPr>
      </w:pPr>
      <w:r w:rsidRPr="00B4591E">
        <w:rPr>
          <w:rFonts w:ascii="Arial" w:hAnsi="Arial" w:cs="Arial"/>
        </w:rPr>
        <w:t xml:space="preserve">Cohen, L., Manion, L. and Morrison, K. (2018). Research Methods in Education. Eighth edition. | New York: Routledge, 2018.: Routledge. </w:t>
      </w:r>
      <w:proofErr w:type="spellStart"/>
      <w:r w:rsidRPr="00B4591E">
        <w:rPr>
          <w:rFonts w:ascii="Arial" w:hAnsi="Arial" w:cs="Arial"/>
        </w:rPr>
        <w:t>doi:https</w:t>
      </w:r>
      <w:proofErr w:type="spellEnd"/>
      <w:r w:rsidRPr="00B4591E">
        <w:rPr>
          <w:rFonts w:ascii="Arial" w:hAnsi="Arial" w:cs="Arial"/>
        </w:rPr>
        <w:t>://doi.org/10.4324/9781315456539.</w:t>
      </w:r>
    </w:p>
    <w:p w14:paraId="24E471B0" w14:textId="77777777" w:rsidR="00633FB0" w:rsidRPr="00B4591E" w:rsidRDefault="00633FB0" w:rsidP="00B4591E">
      <w:pPr>
        <w:pStyle w:val="NormalWeb"/>
        <w:spacing w:before="0" w:beforeAutospacing="0" w:after="240" w:afterAutospacing="0" w:line="480" w:lineRule="auto"/>
        <w:rPr>
          <w:rFonts w:ascii="Arial" w:hAnsi="Arial" w:cs="Arial"/>
          <w:color w:val="000000"/>
        </w:rPr>
      </w:pPr>
      <w:proofErr w:type="spellStart"/>
      <w:r w:rsidRPr="00B4591E">
        <w:rPr>
          <w:rFonts w:ascii="Arial" w:hAnsi="Arial" w:cs="Arial"/>
          <w:color w:val="000000"/>
        </w:rPr>
        <w:t>Cotrim</w:t>
      </w:r>
      <w:proofErr w:type="spellEnd"/>
      <w:r w:rsidRPr="00B4591E">
        <w:rPr>
          <w:rFonts w:ascii="Arial" w:hAnsi="Arial" w:cs="Arial"/>
          <w:color w:val="000000"/>
        </w:rPr>
        <w:t xml:space="preserve">, H., Granja, C., Carvalho, A.S., </w:t>
      </w:r>
      <w:proofErr w:type="spellStart"/>
      <w:r w:rsidRPr="00B4591E">
        <w:rPr>
          <w:rFonts w:ascii="Arial" w:hAnsi="Arial" w:cs="Arial"/>
          <w:color w:val="000000"/>
        </w:rPr>
        <w:t>Cotrim</w:t>
      </w:r>
      <w:proofErr w:type="spellEnd"/>
      <w:r w:rsidRPr="00B4591E">
        <w:rPr>
          <w:rFonts w:ascii="Arial" w:hAnsi="Arial" w:cs="Arial"/>
          <w:color w:val="000000"/>
        </w:rPr>
        <w:t>, C. and Martins, R. (2021). Children’s Understanding of Informed Assents in Research Studies.</w:t>
      </w:r>
      <w:r w:rsidRPr="00B4591E">
        <w:rPr>
          <w:rStyle w:val="apple-converted-space"/>
          <w:rFonts w:ascii="Arial" w:eastAsiaTheme="majorEastAsia" w:hAnsi="Arial" w:cs="Arial"/>
          <w:color w:val="000000"/>
        </w:rPr>
        <w:t> </w:t>
      </w:r>
      <w:r w:rsidRPr="00B4591E">
        <w:rPr>
          <w:rFonts w:ascii="Arial" w:hAnsi="Arial" w:cs="Arial"/>
          <w:i/>
          <w:iCs/>
          <w:color w:val="000000"/>
        </w:rPr>
        <w:t>Healthcare</w:t>
      </w:r>
      <w:r w:rsidRPr="00B4591E">
        <w:rPr>
          <w:rFonts w:ascii="Arial" w:hAnsi="Arial" w:cs="Arial"/>
          <w:color w:val="000000"/>
        </w:rPr>
        <w:t xml:space="preserve">, [online] 9(7), p.871. </w:t>
      </w:r>
      <w:proofErr w:type="spellStart"/>
      <w:r w:rsidRPr="00B4591E">
        <w:rPr>
          <w:rFonts w:ascii="Arial" w:hAnsi="Arial" w:cs="Arial"/>
          <w:color w:val="000000"/>
        </w:rPr>
        <w:t>doi:https</w:t>
      </w:r>
      <w:proofErr w:type="spellEnd"/>
      <w:r w:rsidRPr="00B4591E">
        <w:rPr>
          <w:rFonts w:ascii="Arial" w:hAnsi="Arial" w:cs="Arial"/>
          <w:color w:val="000000"/>
        </w:rPr>
        <w:t>://doi.org/10.3390/healthcare9070871.</w:t>
      </w:r>
    </w:p>
    <w:p w14:paraId="6AEA364A" w14:textId="77777777" w:rsidR="00633FB0" w:rsidRPr="00B4591E" w:rsidRDefault="00633FB0" w:rsidP="00B4591E">
      <w:pPr>
        <w:spacing w:line="480" w:lineRule="auto"/>
        <w:rPr>
          <w:rFonts w:ascii="Arial" w:hAnsi="Arial" w:cs="Arial"/>
        </w:rPr>
      </w:pPr>
      <w:r w:rsidRPr="00B4591E">
        <w:rPr>
          <w:rFonts w:ascii="Arial" w:hAnsi="Arial" w:cs="Arial"/>
        </w:rPr>
        <w:t>Cottrell, S. (2019). The Study Skills Handbook. 5th ed. Basingstoke: Palgrave.</w:t>
      </w:r>
    </w:p>
    <w:p w14:paraId="3631AE6B" w14:textId="77777777" w:rsidR="00633FB0" w:rsidRPr="00B4591E" w:rsidRDefault="00633FB0" w:rsidP="00B4591E">
      <w:pPr>
        <w:spacing w:line="480" w:lineRule="auto"/>
        <w:rPr>
          <w:rFonts w:ascii="Arial" w:hAnsi="Arial" w:cs="Arial"/>
        </w:rPr>
      </w:pPr>
      <w:r w:rsidRPr="00B4591E">
        <w:rPr>
          <w:rFonts w:ascii="Arial" w:hAnsi="Arial" w:cs="Arial"/>
        </w:rPr>
        <w:t xml:space="preserve">Department for Education (2024). Gaining informed consent. [online] Department for Education User Research Manual. Available at: </w:t>
      </w:r>
      <w:hyperlink r:id="rId7" w:history="1">
        <w:r w:rsidRPr="00B4591E">
          <w:rPr>
            <w:rStyle w:val="Hyperlink"/>
            <w:rFonts w:ascii="Arial" w:hAnsi="Arial" w:cs="Arial"/>
          </w:rPr>
          <w:t>https://user-research.education.gov.uk/guidance/ethics-and-safeguarding/gaining-informed-consent</w:t>
        </w:r>
      </w:hyperlink>
      <w:r w:rsidRPr="00B4591E">
        <w:rPr>
          <w:rFonts w:ascii="Arial" w:hAnsi="Arial" w:cs="Arial"/>
        </w:rPr>
        <w:t>.</w:t>
      </w:r>
    </w:p>
    <w:p w14:paraId="2AFD0A53" w14:textId="77777777" w:rsidR="00633FB0" w:rsidRPr="00B4591E" w:rsidRDefault="00633FB0" w:rsidP="00B4591E">
      <w:pPr>
        <w:spacing w:line="480" w:lineRule="auto"/>
        <w:rPr>
          <w:rFonts w:ascii="Arial" w:hAnsi="Arial" w:cs="Arial"/>
        </w:rPr>
      </w:pPr>
      <w:proofErr w:type="spellStart"/>
      <w:r w:rsidRPr="00B4591E">
        <w:rPr>
          <w:rFonts w:ascii="Arial" w:hAnsi="Arial" w:cs="Arial"/>
        </w:rPr>
        <w:lastRenderedPageBreak/>
        <w:t>Einarsdottir</w:t>
      </w:r>
      <w:proofErr w:type="spellEnd"/>
      <w:r w:rsidRPr="00B4591E">
        <w:rPr>
          <w:rFonts w:ascii="Arial" w:hAnsi="Arial" w:cs="Arial"/>
        </w:rPr>
        <w:t xml:space="preserve"> J. (2007). Research with children: Methodological and ethical challenges. European Early Childhood Education Research Journal, 15, 197–211.</w:t>
      </w:r>
    </w:p>
    <w:p w14:paraId="4881E89F" w14:textId="77777777" w:rsidR="00633FB0" w:rsidRPr="00B4591E" w:rsidRDefault="00633FB0" w:rsidP="00B4591E">
      <w:pPr>
        <w:spacing w:line="480" w:lineRule="auto"/>
        <w:rPr>
          <w:rFonts w:ascii="Arial" w:hAnsi="Arial" w:cs="Arial"/>
        </w:rPr>
      </w:pPr>
      <w:r w:rsidRPr="00B4591E">
        <w:rPr>
          <w:rFonts w:ascii="Arial" w:hAnsi="Arial" w:cs="Arial"/>
        </w:rPr>
        <w:t>Fleer M., Li L. (2016). A child-</w:t>
      </w:r>
      <w:proofErr w:type="spellStart"/>
      <w:r w:rsidRPr="00B4591E">
        <w:rPr>
          <w:rFonts w:ascii="Arial" w:hAnsi="Arial" w:cs="Arial"/>
        </w:rPr>
        <w:t>centered</w:t>
      </w:r>
      <w:proofErr w:type="spellEnd"/>
      <w:r w:rsidRPr="00B4591E">
        <w:rPr>
          <w:rFonts w:ascii="Arial" w:hAnsi="Arial" w:cs="Arial"/>
        </w:rPr>
        <w:t xml:space="preserve"> evaluation model: Gaining the children’s perspective in evaluation studies in China. European Early Childhood Education Research Journal, 24, 342–356.</w:t>
      </w:r>
    </w:p>
    <w:p w14:paraId="3AC5E6C4" w14:textId="77777777" w:rsidR="00633FB0" w:rsidRPr="00B4591E" w:rsidRDefault="00633FB0" w:rsidP="00B4591E">
      <w:pPr>
        <w:spacing w:line="480" w:lineRule="auto"/>
        <w:rPr>
          <w:rFonts w:ascii="Arial" w:hAnsi="Arial" w:cs="Arial"/>
        </w:rPr>
      </w:pPr>
      <w:r w:rsidRPr="00B4591E">
        <w:rPr>
          <w:rFonts w:ascii="Arial" w:hAnsi="Arial" w:cs="Arial"/>
        </w:rPr>
        <w:t xml:space="preserve">For, O. and For, C. (2005). Formative assessment : improving learning in secondary classrooms. Paris: </w:t>
      </w:r>
      <w:proofErr w:type="spellStart"/>
      <w:r w:rsidRPr="00B4591E">
        <w:rPr>
          <w:rFonts w:ascii="Arial" w:hAnsi="Arial" w:cs="Arial"/>
        </w:rPr>
        <w:t>Oecd</w:t>
      </w:r>
      <w:proofErr w:type="spellEnd"/>
      <w:r w:rsidRPr="00B4591E">
        <w:rPr>
          <w:rFonts w:ascii="Arial" w:hAnsi="Arial" w:cs="Arial"/>
        </w:rPr>
        <w:t>.</w:t>
      </w:r>
    </w:p>
    <w:p w14:paraId="5532C039" w14:textId="77777777" w:rsidR="00633FB0" w:rsidRPr="00B4591E" w:rsidRDefault="00633FB0" w:rsidP="00B4591E">
      <w:pPr>
        <w:spacing w:line="480" w:lineRule="auto"/>
        <w:rPr>
          <w:rFonts w:ascii="Arial" w:hAnsi="Arial" w:cs="Arial"/>
        </w:rPr>
      </w:pPr>
      <w:r w:rsidRPr="00B4591E">
        <w:rPr>
          <w:rFonts w:ascii="Arial" w:hAnsi="Arial" w:cs="Arial"/>
        </w:rPr>
        <w:t>Harlen, W. (2005). Teachers' summative practices and assessment for learning—Tensions and synergies.</w:t>
      </w:r>
    </w:p>
    <w:p w14:paraId="17052E70" w14:textId="77777777" w:rsidR="00633FB0" w:rsidRPr="00B4591E" w:rsidRDefault="00633FB0" w:rsidP="00B4591E">
      <w:pPr>
        <w:spacing w:line="480" w:lineRule="auto"/>
        <w:rPr>
          <w:rFonts w:ascii="Arial" w:hAnsi="Arial" w:cs="Arial"/>
        </w:rPr>
      </w:pPr>
      <w:r w:rsidRPr="00B4591E">
        <w:rPr>
          <w:rFonts w:ascii="Arial" w:hAnsi="Arial" w:cs="Arial"/>
        </w:rPr>
        <w:t xml:space="preserve">Hattie, J. and Timperley, H. (2007). The Power of Feedback. Review of Educational Research, [online] 77(1), pp.81–112. </w:t>
      </w:r>
      <w:proofErr w:type="spellStart"/>
      <w:r w:rsidRPr="00B4591E">
        <w:rPr>
          <w:rFonts w:ascii="Arial" w:hAnsi="Arial" w:cs="Arial"/>
        </w:rPr>
        <w:t>doi:https</w:t>
      </w:r>
      <w:proofErr w:type="spellEnd"/>
      <w:r w:rsidRPr="00B4591E">
        <w:rPr>
          <w:rFonts w:ascii="Arial" w:hAnsi="Arial" w:cs="Arial"/>
        </w:rPr>
        <w:t>://doi.org/10.3102/003465430298487.</w:t>
      </w:r>
    </w:p>
    <w:p w14:paraId="3CD34F76" w14:textId="77777777" w:rsidR="00633FB0" w:rsidRPr="00B4591E" w:rsidRDefault="00633FB0" w:rsidP="00B4591E">
      <w:pPr>
        <w:spacing w:line="480" w:lineRule="auto"/>
        <w:rPr>
          <w:rFonts w:ascii="Arial" w:hAnsi="Arial" w:cs="Arial"/>
        </w:rPr>
      </w:pPr>
      <w:r w:rsidRPr="00B4591E">
        <w:rPr>
          <w:rFonts w:ascii="Arial" w:hAnsi="Arial" w:cs="Arial"/>
        </w:rPr>
        <w:t xml:space="preserve">Holstein, J. and </w:t>
      </w:r>
      <w:proofErr w:type="spellStart"/>
      <w:r w:rsidRPr="00B4591E">
        <w:rPr>
          <w:rFonts w:ascii="Arial" w:hAnsi="Arial" w:cs="Arial"/>
        </w:rPr>
        <w:t>Gubrium</w:t>
      </w:r>
      <w:proofErr w:type="spellEnd"/>
      <w:r w:rsidRPr="00B4591E">
        <w:rPr>
          <w:rFonts w:ascii="Arial" w:hAnsi="Arial" w:cs="Arial"/>
        </w:rPr>
        <w:t xml:space="preserve">, J. (2003). Inside Interviewing. 2455 Teller Road, Thousand Oaks California 91320 United States of America : SAGE Publications, Inc. </w:t>
      </w:r>
      <w:proofErr w:type="spellStart"/>
      <w:r w:rsidRPr="00B4591E">
        <w:rPr>
          <w:rFonts w:ascii="Arial" w:hAnsi="Arial" w:cs="Arial"/>
        </w:rPr>
        <w:t>doi:https</w:t>
      </w:r>
      <w:proofErr w:type="spellEnd"/>
      <w:r w:rsidRPr="00B4591E">
        <w:rPr>
          <w:rFonts w:ascii="Arial" w:hAnsi="Arial" w:cs="Arial"/>
        </w:rPr>
        <w:t>://doi.org/10.4135/9781412984492.</w:t>
      </w:r>
    </w:p>
    <w:p w14:paraId="119C345E" w14:textId="77777777" w:rsidR="00633FB0" w:rsidRPr="00B4591E" w:rsidRDefault="00633FB0" w:rsidP="00B4591E">
      <w:pPr>
        <w:spacing w:line="480" w:lineRule="auto"/>
        <w:rPr>
          <w:rFonts w:ascii="Arial" w:hAnsi="Arial" w:cs="Arial"/>
        </w:rPr>
      </w:pPr>
      <w:r w:rsidRPr="00B4591E">
        <w:rPr>
          <w:rFonts w:ascii="Arial" w:hAnsi="Arial" w:cs="Arial"/>
        </w:rPr>
        <w:t>Jack Caulfield (2022) How to Do Thematic Analysis | Guide &amp; Examples. Available at: https://www.scribbr.co.uk/research-methods/thematic-analysis-explained/. (Accessed on 2 April 2024)</w:t>
      </w:r>
    </w:p>
    <w:p w14:paraId="3091AD1A" w14:textId="77777777" w:rsidR="00633FB0" w:rsidRPr="00B4591E" w:rsidRDefault="00633FB0" w:rsidP="00B4591E">
      <w:pPr>
        <w:spacing w:line="480" w:lineRule="auto"/>
        <w:rPr>
          <w:rFonts w:ascii="Arial" w:hAnsi="Arial" w:cs="Arial"/>
        </w:rPr>
      </w:pPr>
      <w:r w:rsidRPr="00B4591E">
        <w:rPr>
          <w:rFonts w:ascii="Arial" w:hAnsi="Arial" w:cs="Arial"/>
        </w:rPr>
        <w:t xml:space="preserve">Lewis, A. (1992). Group Child Interviews as a Research Tool. British Educational Research Journal, 18(4), pp.413–421. </w:t>
      </w:r>
      <w:proofErr w:type="spellStart"/>
      <w:r w:rsidRPr="00B4591E">
        <w:rPr>
          <w:rFonts w:ascii="Arial" w:hAnsi="Arial" w:cs="Arial"/>
        </w:rPr>
        <w:t>doi:https</w:t>
      </w:r>
      <w:proofErr w:type="spellEnd"/>
      <w:r w:rsidRPr="00B4591E">
        <w:rPr>
          <w:rFonts w:ascii="Arial" w:hAnsi="Arial" w:cs="Arial"/>
        </w:rPr>
        <w:t>://doi.org/10.1080/0141192920180407.</w:t>
      </w:r>
    </w:p>
    <w:p w14:paraId="5FAA85B3" w14:textId="77777777" w:rsidR="00633FB0" w:rsidRPr="00B4591E" w:rsidRDefault="00633FB0" w:rsidP="00B4591E">
      <w:pPr>
        <w:spacing w:line="480" w:lineRule="auto"/>
        <w:rPr>
          <w:rFonts w:ascii="Arial" w:hAnsi="Arial" w:cs="Arial"/>
        </w:rPr>
      </w:pPr>
      <w:proofErr w:type="spellStart"/>
      <w:r w:rsidRPr="00B4591E">
        <w:rPr>
          <w:rFonts w:ascii="Arial" w:hAnsi="Arial" w:cs="Arial"/>
        </w:rPr>
        <w:t>Mayall</w:t>
      </w:r>
      <w:proofErr w:type="spellEnd"/>
      <w:r w:rsidRPr="00B4591E">
        <w:rPr>
          <w:rFonts w:ascii="Arial" w:hAnsi="Arial" w:cs="Arial"/>
        </w:rPr>
        <w:t>, B. (2002). Towards a sociology for childhood : thinking from children’s lives. Buckingham: Open University Press.</w:t>
      </w:r>
    </w:p>
    <w:p w14:paraId="2BD81A44" w14:textId="77777777" w:rsidR="00633FB0" w:rsidRPr="00B4591E" w:rsidRDefault="00633FB0" w:rsidP="00B4591E">
      <w:pPr>
        <w:spacing w:line="480" w:lineRule="auto"/>
        <w:rPr>
          <w:rFonts w:ascii="Arial" w:hAnsi="Arial" w:cs="Arial"/>
        </w:rPr>
      </w:pPr>
      <w:r w:rsidRPr="00B4591E">
        <w:rPr>
          <w:rFonts w:ascii="Arial" w:hAnsi="Arial" w:cs="Arial"/>
        </w:rPr>
        <w:lastRenderedPageBreak/>
        <w:t>Merriam, S. B. (2009). Qualitative research: A guide to design and implementation. John Wiley &amp; Sons.</w:t>
      </w:r>
    </w:p>
    <w:p w14:paraId="1C746E4F" w14:textId="77777777" w:rsidR="00633FB0" w:rsidRPr="00B4591E" w:rsidRDefault="00633FB0" w:rsidP="00B4591E">
      <w:pPr>
        <w:spacing w:line="480" w:lineRule="auto"/>
        <w:rPr>
          <w:rFonts w:ascii="Arial" w:hAnsi="Arial" w:cs="Arial"/>
        </w:rPr>
      </w:pPr>
      <w:r w:rsidRPr="00B4591E">
        <w:rPr>
          <w:rFonts w:ascii="Arial" w:hAnsi="Arial" w:cs="Arial"/>
        </w:rPr>
        <w:t xml:space="preserve">Merriam, S. B., &amp; </w:t>
      </w:r>
      <w:proofErr w:type="spellStart"/>
      <w:r w:rsidRPr="00B4591E">
        <w:rPr>
          <w:rFonts w:ascii="Arial" w:hAnsi="Arial" w:cs="Arial"/>
        </w:rPr>
        <w:t>Tisdell</w:t>
      </w:r>
      <w:proofErr w:type="spellEnd"/>
      <w:r w:rsidRPr="00B4591E">
        <w:rPr>
          <w:rFonts w:ascii="Arial" w:hAnsi="Arial" w:cs="Arial"/>
        </w:rPr>
        <w:t>, E. J. (2016). Qualitative Research: A Guide to Design and Implementation. John Wiley &amp; Sons.</w:t>
      </w:r>
    </w:p>
    <w:p w14:paraId="39B88ABE" w14:textId="77777777" w:rsidR="00633FB0" w:rsidRPr="00B4591E" w:rsidRDefault="00633FB0" w:rsidP="00B4591E">
      <w:pPr>
        <w:spacing w:line="480" w:lineRule="auto"/>
        <w:rPr>
          <w:rFonts w:ascii="Arial" w:hAnsi="Arial" w:cs="Arial"/>
        </w:rPr>
      </w:pPr>
      <w:r w:rsidRPr="00B4591E">
        <w:rPr>
          <w:rFonts w:ascii="Arial" w:hAnsi="Arial" w:cs="Arial"/>
        </w:rPr>
        <w:t>Nicol, D.J. and Macfarlane</w:t>
      </w:r>
      <w:r w:rsidRPr="00B4591E">
        <w:rPr>
          <w:rFonts w:ascii="Cambria Math" w:hAnsi="Cambria Math" w:cs="Cambria Math"/>
        </w:rPr>
        <w:t>‐</w:t>
      </w:r>
      <w:r w:rsidRPr="00B4591E">
        <w:rPr>
          <w:rFonts w:ascii="Arial" w:hAnsi="Arial" w:cs="Arial"/>
        </w:rPr>
        <w:t>Dick, D. (2006). Formative assessment and self</w:t>
      </w:r>
      <w:r w:rsidRPr="00B4591E">
        <w:rPr>
          <w:rFonts w:ascii="Cambria Math" w:hAnsi="Cambria Math" w:cs="Cambria Math"/>
        </w:rPr>
        <w:t>‐</w:t>
      </w:r>
      <w:r w:rsidRPr="00B4591E">
        <w:rPr>
          <w:rFonts w:ascii="Arial" w:hAnsi="Arial" w:cs="Arial"/>
        </w:rPr>
        <w:t>regulated learning: a model and seven principles of good feedback practice. Studies in Higher Education, 31(2), pp.199–218.</w:t>
      </w:r>
    </w:p>
    <w:p w14:paraId="77AF5DC8" w14:textId="77777777" w:rsidR="00633FB0" w:rsidRPr="00B4591E" w:rsidRDefault="00633FB0" w:rsidP="00B4591E">
      <w:pPr>
        <w:spacing w:line="480" w:lineRule="auto"/>
        <w:rPr>
          <w:rFonts w:ascii="Arial" w:hAnsi="Arial" w:cs="Arial"/>
        </w:rPr>
      </w:pPr>
      <w:r w:rsidRPr="00B4591E">
        <w:rPr>
          <w:rFonts w:ascii="Arial" w:hAnsi="Arial" w:cs="Arial"/>
        </w:rPr>
        <w:t xml:space="preserve">Ross, J. (2019). The Reliability, Validity, and Utility of Self-Assessment. Practical Assessment, Research, and Evaluation, [online] 11(11), p.10. </w:t>
      </w:r>
      <w:proofErr w:type="spellStart"/>
      <w:r w:rsidRPr="00B4591E">
        <w:rPr>
          <w:rFonts w:ascii="Arial" w:hAnsi="Arial" w:cs="Arial"/>
        </w:rPr>
        <w:t>doi:https</w:t>
      </w:r>
      <w:proofErr w:type="spellEnd"/>
      <w:r w:rsidRPr="00B4591E">
        <w:rPr>
          <w:rFonts w:ascii="Arial" w:hAnsi="Arial" w:cs="Arial"/>
        </w:rPr>
        <w:t>://doi.org/10.7275/9wph-vv65.</w:t>
      </w:r>
    </w:p>
    <w:p w14:paraId="1DADBBCB" w14:textId="77777777" w:rsidR="00633FB0" w:rsidRPr="00B4591E" w:rsidRDefault="00633FB0" w:rsidP="00B4591E">
      <w:pPr>
        <w:spacing w:line="480" w:lineRule="auto"/>
        <w:rPr>
          <w:rFonts w:ascii="Arial" w:hAnsi="Arial" w:cs="Arial"/>
        </w:rPr>
      </w:pPr>
      <w:r w:rsidRPr="00B4591E">
        <w:rPr>
          <w:rFonts w:ascii="Arial" w:hAnsi="Arial" w:cs="Arial"/>
        </w:rPr>
        <w:t xml:space="preserve">Ross, J.A. and Bruce, C.D. (2007). Teacher self-assessment: A mechanism for facilitating professional growth. Teaching and Teacher Education, 23(2), pp.146–159. </w:t>
      </w:r>
      <w:proofErr w:type="spellStart"/>
      <w:r w:rsidRPr="00B4591E">
        <w:rPr>
          <w:rFonts w:ascii="Arial" w:hAnsi="Arial" w:cs="Arial"/>
        </w:rPr>
        <w:t>doi:https</w:t>
      </w:r>
      <w:proofErr w:type="spellEnd"/>
      <w:r w:rsidRPr="00B4591E">
        <w:rPr>
          <w:rFonts w:ascii="Arial" w:hAnsi="Arial" w:cs="Arial"/>
        </w:rPr>
        <w:t>://doi.org/10.1016/j.tate.2006.04.035.</w:t>
      </w:r>
    </w:p>
    <w:p w14:paraId="2D0A1138" w14:textId="77777777" w:rsidR="00633FB0" w:rsidRPr="00B4591E" w:rsidRDefault="00633FB0" w:rsidP="00B4591E">
      <w:pPr>
        <w:spacing w:line="480" w:lineRule="auto"/>
        <w:rPr>
          <w:rFonts w:ascii="Arial" w:hAnsi="Arial" w:cs="Arial"/>
        </w:rPr>
      </w:pPr>
      <w:r w:rsidRPr="00B4591E">
        <w:rPr>
          <w:rFonts w:ascii="Arial" w:hAnsi="Arial" w:cs="Arial"/>
        </w:rPr>
        <w:t xml:space="preserve">Sadler, D.R. (1998). Formative Assessment: revisiting the territory. Assessment in Education: Principles, Policy &amp; Practice, 5(1), pp.77–84. </w:t>
      </w:r>
      <w:proofErr w:type="spellStart"/>
      <w:r w:rsidRPr="00B4591E">
        <w:rPr>
          <w:rFonts w:ascii="Arial" w:hAnsi="Arial" w:cs="Arial"/>
        </w:rPr>
        <w:t>doi:https</w:t>
      </w:r>
      <w:proofErr w:type="spellEnd"/>
      <w:r w:rsidRPr="00B4591E">
        <w:rPr>
          <w:rFonts w:ascii="Arial" w:hAnsi="Arial" w:cs="Arial"/>
        </w:rPr>
        <w:t>://doi.org/10.1080/0969595980050104.</w:t>
      </w:r>
    </w:p>
    <w:p w14:paraId="76436D34" w14:textId="77777777" w:rsidR="00633FB0" w:rsidRPr="00B4591E" w:rsidRDefault="00633FB0" w:rsidP="00B4591E">
      <w:pPr>
        <w:spacing w:line="480" w:lineRule="auto"/>
        <w:rPr>
          <w:rFonts w:ascii="Arial" w:hAnsi="Arial" w:cs="Arial"/>
        </w:rPr>
      </w:pPr>
      <w:r w:rsidRPr="00B4591E">
        <w:rPr>
          <w:rFonts w:ascii="Arial" w:hAnsi="Arial" w:cs="Arial"/>
        </w:rPr>
        <w:t>Schunk, D.H. and Zimmerman, B.J. (1998). Self-regulated learning : from teaching to self-reflective practice. New York: Guilford Press.</w:t>
      </w:r>
    </w:p>
    <w:p w14:paraId="13C15842" w14:textId="77777777" w:rsidR="00633FB0" w:rsidRPr="00B4591E" w:rsidRDefault="00633FB0" w:rsidP="00B4591E">
      <w:pPr>
        <w:spacing w:line="480" w:lineRule="auto"/>
        <w:rPr>
          <w:rFonts w:ascii="Arial" w:hAnsi="Arial" w:cs="Arial"/>
        </w:rPr>
      </w:pPr>
      <w:r w:rsidRPr="00B4591E">
        <w:rPr>
          <w:rFonts w:ascii="Arial" w:hAnsi="Arial" w:cs="Arial"/>
        </w:rPr>
        <w:t>Shepard, L.A. (2000). The role of assessment in a learning culture. Educational Researcher, 29(7), pp.4–14.</w:t>
      </w:r>
    </w:p>
    <w:p w14:paraId="7B6392E5" w14:textId="77777777" w:rsidR="00633FB0" w:rsidRPr="00B4591E" w:rsidRDefault="00633FB0" w:rsidP="00B4591E">
      <w:pPr>
        <w:spacing w:line="480" w:lineRule="auto"/>
        <w:rPr>
          <w:rFonts w:ascii="Arial" w:hAnsi="Arial" w:cs="Arial"/>
        </w:rPr>
      </w:pPr>
      <w:r w:rsidRPr="00B4591E">
        <w:rPr>
          <w:rFonts w:ascii="Arial" w:hAnsi="Arial" w:cs="Arial"/>
        </w:rPr>
        <w:t>Stake, R.E. (1995). The art of case study research. London: Sage Publications.</w:t>
      </w:r>
    </w:p>
    <w:p w14:paraId="360760DD" w14:textId="77777777" w:rsidR="00633FB0" w:rsidRPr="00B4591E" w:rsidRDefault="00633FB0" w:rsidP="00B4591E">
      <w:pPr>
        <w:spacing w:line="480" w:lineRule="auto"/>
        <w:rPr>
          <w:rFonts w:ascii="Arial" w:hAnsi="Arial" w:cs="Arial"/>
        </w:rPr>
      </w:pPr>
      <w:proofErr w:type="spellStart"/>
      <w:r w:rsidRPr="00B4591E">
        <w:rPr>
          <w:rFonts w:ascii="Arial" w:hAnsi="Arial" w:cs="Arial"/>
        </w:rPr>
        <w:t>Stiggins</w:t>
      </w:r>
      <w:proofErr w:type="spellEnd"/>
      <w:r w:rsidRPr="00B4591E">
        <w:rPr>
          <w:rFonts w:ascii="Arial" w:hAnsi="Arial" w:cs="Arial"/>
        </w:rPr>
        <w:t>, R. (2005). From Formative Assessment to Assessment for Learning: A Pathway to Success in Standards-Based Schools.</w:t>
      </w:r>
    </w:p>
    <w:p w14:paraId="541BD9EC" w14:textId="77777777" w:rsidR="00633FB0" w:rsidRPr="00B4591E" w:rsidRDefault="00633FB0" w:rsidP="00B4591E">
      <w:pPr>
        <w:spacing w:line="480" w:lineRule="auto"/>
        <w:rPr>
          <w:rFonts w:ascii="Arial" w:hAnsi="Arial" w:cs="Arial"/>
        </w:rPr>
      </w:pPr>
      <w:r w:rsidRPr="00B4591E">
        <w:rPr>
          <w:rFonts w:ascii="Arial" w:hAnsi="Arial" w:cs="Arial"/>
        </w:rPr>
        <w:lastRenderedPageBreak/>
        <w:t xml:space="preserve">Welsh Government (2019). Professional Standards for Teaching and Leadership. [online] Available at: https://hwb.gov.wales/api/storage/19bc948b-8a3f-41e0-944a-7bf2cadf7d18/professional-standards-for-teaching-and-leadership-interactive-pdf-for-pc.pdf. (Accessed: </w:t>
      </w:r>
      <w:r w:rsidRPr="00B4591E">
        <w:rPr>
          <w:rFonts w:ascii="Arial" w:hAnsi="Arial" w:cs="Arial"/>
        </w:rPr>
        <w:t>6th</w:t>
      </w:r>
      <w:r w:rsidRPr="00B4591E">
        <w:rPr>
          <w:rFonts w:ascii="Arial" w:hAnsi="Arial" w:cs="Arial"/>
        </w:rPr>
        <w:t xml:space="preserve"> </w:t>
      </w:r>
      <w:r w:rsidRPr="00B4591E">
        <w:rPr>
          <w:rFonts w:ascii="Arial" w:hAnsi="Arial" w:cs="Arial"/>
        </w:rPr>
        <w:t>April</w:t>
      </w:r>
      <w:r w:rsidRPr="00B4591E">
        <w:rPr>
          <w:rFonts w:ascii="Arial" w:hAnsi="Arial" w:cs="Arial"/>
        </w:rPr>
        <w:t xml:space="preserve"> 2024)</w:t>
      </w:r>
    </w:p>
    <w:p w14:paraId="4B841231" w14:textId="77777777" w:rsidR="00633FB0" w:rsidRPr="00B4591E" w:rsidRDefault="00633FB0" w:rsidP="00B4591E">
      <w:pPr>
        <w:spacing w:line="480" w:lineRule="auto"/>
        <w:rPr>
          <w:rFonts w:ascii="Arial" w:hAnsi="Arial" w:cs="Arial"/>
        </w:rPr>
      </w:pPr>
      <w:proofErr w:type="spellStart"/>
      <w:r w:rsidRPr="00B4591E">
        <w:rPr>
          <w:rFonts w:ascii="Arial" w:hAnsi="Arial" w:cs="Arial"/>
        </w:rPr>
        <w:t>Wiliam</w:t>
      </w:r>
      <w:proofErr w:type="spellEnd"/>
      <w:r w:rsidRPr="00B4591E">
        <w:rPr>
          <w:rFonts w:ascii="Arial" w:hAnsi="Arial" w:cs="Arial"/>
        </w:rPr>
        <w:t>, D. (2011). Embedded Formative Assessment. Bloomington: Solution Tree Press.</w:t>
      </w:r>
    </w:p>
    <w:p w14:paraId="15A1E273" w14:textId="77777777" w:rsidR="00633FB0" w:rsidRPr="00B4591E" w:rsidRDefault="00633FB0" w:rsidP="00B4591E">
      <w:pPr>
        <w:spacing w:line="480" w:lineRule="auto"/>
        <w:rPr>
          <w:rFonts w:ascii="Arial" w:hAnsi="Arial" w:cs="Arial"/>
        </w:rPr>
      </w:pPr>
    </w:p>
    <w:sectPr w:rsidR="00633FB0" w:rsidRPr="00B4591E">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A6171" w14:textId="77777777" w:rsidR="00C60FEC" w:rsidRDefault="00C60FEC" w:rsidP="00C60FEC">
      <w:pPr>
        <w:spacing w:after="0" w:line="240" w:lineRule="auto"/>
      </w:pPr>
      <w:r>
        <w:separator/>
      </w:r>
    </w:p>
  </w:endnote>
  <w:endnote w:type="continuationSeparator" w:id="0">
    <w:p w14:paraId="69F7438F" w14:textId="77777777" w:rsidR="00C60FEC" w:rsidRDefault="00C60FEC" w:rsidP="00C60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7771381"/>
      <w:docPartObj>
        <w:docPartGallery w:val="Page Numbers (Bottom of Page)"/>
        <w:docPartUnique/>
      </w:docPartObj>
    </w:sdtPr>
    <w:sdtContent>
      <w:p w14:paraId="0A02EF23" w14:textId="70D5CB06" w:rsidR="00B4591E" w:rsidRDefault="00B4591E" w:rsidP="008C61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9E961" w14:textId="77777777" w:rsidR="00B4591E" w:rsidRDefault="00B4591E" w:rsidP="00B459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401966"/>
      <w:docPartObj>
        <w:docPartGallery w:val="Page Numbers (Bottom of Page)"/>
        <w:docPartUnique/>
      </w:docPartObj>
    </w:sdtPr>
    <w:sdtContent>
      <w:p w14:paraId="76DF3357" w14:textId="26CC6C89" w:rsidR="00B4591E" w:rsidRDefault="00B4591E" w:rsidP="008C61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002499" w14:textId="77777777" w:rsidR="00B4591E" w:rsidRDefault="00B4591E" w:rsidP="00B4591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50BE2" w14:textId="77777777" w:rsidR="00C60FEC" w:rsidRDefault="00C60FEC" w:rsidP="00C60FEC">
      <w:pPr>
        <w:spacing w:after="0" w:line="240" w:lineRule="auto"/>
      </w:pPr>
      <w:r>
        <w:separator/>
      </w:r>
    </w:p>
  </w:footnote>
  <w:footnote w:type="continuationSeparator" w:id="0">
    <w:p w14:paraId="0519B766" w14:textId="77777777" w:rsidR="00C60FEC" w:rsidRDefault="00C60FEC" w:rsidP="00C60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20860" w14:textId="240B1658" w:rsidR="00B4591E" w:rsidRDefault="00B4591E">
    <w:pPr>
      <w:pStyle w:val="Header"/>
    </w:pPr>
    <w:r>
      <w:t>2305953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70429"/>
    <w:multiLevelType w:val="hybridMultilevel"/>
    <w:tmpl w:val="7230143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8A7AA3"/>
    <w:multiLevelType w:val="hybridMultilevel"/>
    <w:tmpl w:val="43569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8C24EF"/>
    <w:multiLevelType w:val="hybridMultilevel"/>
    <w:tmpl w:val="CAB64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906D8A"/>
    <w:multiLevelType w:val="hybridMultilevel"/>
    <w:tmpl w:val="18409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4872494">
    <w:abstractNumId w:val="1"/>
  </w:num>
  <w:num w:numId="2" w16cid:durableId="1657226900">
    <w:abstractNumId w:val="2"/>
  </w:num>
  <w:num w:numId="3" w16cid:durableId="1194995827">
    <w:abstractNumId w:val="3"/>
  </w:num>
  <w:num w:numId="4" w16cid:durableId="73269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C9E"/>
    <w:rsid w:val="00541655"/>
    <w:rsid w:val="00633FB0"/>
    <w:rsid w:val="00961F2D"/>
    <w:rsid w:val="00B4591E"/>
    <w:rsid w:val="00BB48EE"/>
    <w:rsid w:val="00C60FEC"/>
    <w:rsid w:val="00D41F0E"/>
    <w:rsid w:val="00F678E3"/>
    <w:rsid w:val="00F90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F9FE75"/>
  <w15:chartTrackingRefBased/>
  <w15:docId w15:val="{703A2ABF-2A0F-B34B-86C2-9E7169B43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C9E"/>
  </w:style>
  <w:style w:type="paragraph" w:styleId="Heading1">
    <w:name w:val="heading 1"/>
    <w:basedOn w:val="Normal"/>
    <w:next w:val="Normal"/>
    <w:link w:val="Heading1Char"/>
    <w:uiPriority w:val="9"/>
    <w:qFormat/>
    <w:rsid w:val="00F90C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C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C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C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C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C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C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C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C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C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C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C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C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C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C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C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C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C9E"/>
    <w:rPr>
      <w:rFonts w:eastAsiaTheme="majorEastAsia" w:cstheme="majorBidi"/>
      <w:color w:val="272727" w:themeColor="text1" w:themeTint="D8"/>
    </w:rPr>
  </w:style>
  <w:style w:type="paragraph" w:styleId="Title">
    <w:name w:val="Title"/>
    <w:basedOn w:val="Normal"/>
    <w:next w:val="Normal"/>
    <w:link w:val="TitleChar"/>
    <w:uiPriority w:val="10"/>
    <w:qFormat/>
    <w:rsid w:val="00F90C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C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C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C9E"/>
    <w:pPr>
      <w:spacing w:before="160"/>
      <w:jc w:val="center"/>
    </w:pPr>
    <w:rPr>
      <w:i/>
      <w:iCs/>
      <w:color w:val="404040" w:themeColor="text1" w:themeTint="BF"/>
    </w:rPr>
  </w:style>
  <w:style w:type="character" w:customStyle="1" w:styleId="QuoteChar">
    <w:name w:val="Quote Char"/>
    <w:basedOn w:val="DefaultParagraphFont"/>
    <w:link w:val="Quote"/>
    <w:uiPriority w:val="29"/>
    <w:rsid w:val="00F90C9E"/>
    <w:rPr>
      <w:i/>
      <w:iCs/>
      <w:color w:val="404040" w:themeColor="text1" w:themeTint="BF"/>
    </w:rPr>
  </w:style>
  <w:style w:type="paragraph" w:styleId="ListParagraph">
    <w:name w:val="List Paragraph"/>
    <w:basedOn w:val="Normal"/>
    <w:uiPriority w:val="34"/>
    <w:qFormat/>
    <w:rsid w:val="00F90C9E"/>
    <w:pPr>
      <w:ind w:left="720"/>
      <w:contextualSpacing/>
    </w:pPr>
  </w:style>
  <w:style w:type="character" w:styleId="IntenseEmphasis">
    <w:name w:val="Intense Emphasis"/>
    <w:basedOn w:val="DefaultParagraphFont"/>
    <w:uiPriority w:val="21"/>
    <w:qFormat/>
    <w:rsid w:val="00F90C9E"/>
    <w:rPr>
      <w:i/>
      <w:iCs/>
      <w:color w:val="0F4761" w:themeColor="accent1" w:themeShade="BF"/>
    </w:rPr>
  </w:style>
  <w:style w:type="paragraph" w:styleId="IntenseQuote">
    <w:name w:val="Intense Quote"/>
    <w:basedOn w:val="Normal"/>
    <w:next w:val="Normal"/>
    <w:link w:val="IntenseQuoteChar"/>
    <w:uiPriority w:val="30"/>
    <w:qFormat/>
    <w:rsid w:val="00F90C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C9E"/>
    <w:rPr>
      <w:i/>
      <w:iCs/>
      <w:color w:val="0F4761" w:themeColor="accent1" w:themeShade="BF"/>
    </w:rPr>
  </w:style>
  <w:style w:type="character" w:styleId="IntenseReference">
    <w:name w:val="Intense Reference"/>
    <w:basedOn w:val="DefaultParagraphFont"/>
    <w:uiPriority w:val="32"/>
    <w:qFormat/>
    <w:rsid w:val="00F90C9E"/>
    <w:rPr>
      <w:b/>
      <w:bCs/>
      <w:smallCaps/>
      <w:color w:val="0F4761" w:themeColor="accent1" w:themeShade="BF"/>
      <w:spacing w:val="5"/>
    </w:rPr>
  </w:style>
  <w:style w:type="paragraph" w:styleId="Header">
    <w:name w:val="header"/>
    <w:basedOn w:val="Normal"/>
    <w:link w:val="HeaderChar"/>
    <w:uiPriority w:val="99"/>
    <w:unhideWhenUsed/>
    <w:rsid w:val="00C60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FEC"/>
  </w:style>
  <w:style w:type="paragraph" w:styleId="Footer">
    <w:name w:val="footer"/>
    <w:basedOn w:val="Normal"/>
    <w:link w:val="FooterChar"/>
    <w:uiPriority w:val="99"/>
    <w:unhideWhenUsed/>
    <w:rsid w:val="00C60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FEC"/>
  </w:style>
  <w:style w:type="character" w:styleId="Hyperlink">
    <w:name w:val="Hyperlink"/>
    <w:basedOn w:val="DefaultParagraphFont"/>
    <w:uiPriority w:val="99"/>
    <w:unhideWhenUsed/>
    <w:rsid w:val="00633FB0"/>
    <w:rPr>
      <w:color w:val="467886" w:themeColor="hyperlink"/>
      <w:u w:val="single"/>
    </w:rPr>
  </w:style>
  <w:style w:type="character" w:styleId="UnresolvedMention">
    <w:name w:val="Unresolved Mention"/>
    <w:basedOn w:val="DefaultParagraphFont"/>
    <w:uiPriority w:val="99"/>
    <w:semiHidden/>
    <w:unhideWhenUsed/>
    <w:rsid w:val="00633FB0"/>
    <w:rPr>
      <w:color w:val="605E5C"/>
      <w:shd w:val="clear" w:color="auto" w:fill="E1DFDD"/>
    </w:rPr>
  </w:style>
  <w:style w:type="paragraph" w:styleId="NormalWeb">
    <w:name w:val="Normal (Web)"/>
    <w:basedOn w:val="Normal"/>
    <w:uiPriority w:val="99"/>
    <w:semiHidden/>
    <w:unhideWhenUsed/>
    <w:rsid w:val="00633F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33FB0"/>
  </w:style>
  <w:style w:type="character" w:styleId="PageNumber">
    <w:name w:val="page number"/>
    <w:basedOn w:val="DefaultParagraphFont"/>
    <w:uiPriority w:val="99"/>
    <w:semiHidden/>
    <w:unhideWhenUsed/>
    <w:rsid w:val="00B45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4547">
      <w:bodyDiv w:val="1"/>
      <w:marLeft w:val="0"/>
      <w:marRight w:val="0"/>
      <w:marTop w:val="0"/>
      <w:marBottom w:val="0"/>
      <w:divBdr>
        <w:top w:val="none" w:sz="0" w:space="0" w:color="auto"/>
        <w:left w:val="none" w:sz="0" w:space="0" w:color="auto"/>
        <w:bottom w:val="none" w:sz="0" w:space="0" w:color="auto"/>
        <w:right w:val="none" w:sz="0" w:space="0" w:color="auto"/>
      </w:divBdr>
      <w:divsChild>
        <w:div w:id="731199102">
          <w:marLeft w:val="0"/>
          <w:marRight w:val="0"/>
          <w:marTop w:val="0"/>
          <w:marBottom w:val="0"/>
          <w:divBdr>
            <w:top w:val="none" w:sz="0" w:space="0" w:color="auto"/>
            <w:left w:val="none" w:sz="0" w:space="0" w:color="auto"/>
            <w:bottom w:val="none" w:sz="0" w:space="0" w:color="auto"/>
            <w:right w:val="none" w:sz="0" w:space="0" w:color="auto"/>
          </w:divBdr>
        </w:div>
      </w:divsChild>
    </w:div>
    <w:div w:id="896091432">
      <w:bodyDiv w:val="1"/>
      <w:marLeft w:val="0"/>
      <w:marRight w:val="0"/>
      <w:marTop w:val="0"/>
      <w:marBottom w:val="0"/>
      <w:divBdr>
        <w:top w:val="none" w:sz="0" w:space="0" w:color="auto"/>
        <w:left w:val="none" w:sz="0" w:space="0" w:color="auto"/>
        <w:bottom w:val="none" w:sz="0" w:space="0" w:color="auto"/>
        <w:right w:val="none" w:sz="0" w:space="0" w:color="auto"/>
      </w:divBdr>
      <w:divsChild>
        <w:div w:id="1541892882">
          <w:marLeft w:val="0"/>
          <w:marRight w:val="0"/>
          <w:marTop w:val="0"/>
          <w:marBottom w:val="0"/>
          <w:divBdr>
            <w:top w:val="none" w:sz="0" w:space="0" w:color="auto"/>
            <w:left w:val="none" w:sz="0" w:space="0" w:color="auto"/>
            <w:bottom w:val="none" w:sz="0" w:space="0" w:color="auto"/>
            <w:right w:val="none" w:sz="0" w:space="0" w:color="auto"/>
          </w:divBdr>
        </w:div>
      </w:divsChild>
    </w:div>
    <w:div w:id="1414742486">
      <w:bodyDiv w:val="1"/>
      <w:marLeft w:val="0"/>
      <w:marRight w:val="0"/>
      <w:marTop w:val="0"/>
      <w:marBottom w:val="0"/>
      <w:divBdr>
        <w:top w:val="none" w:sz="0" w:space="0" w:color="auto"/>
        <w:left w:val="none" w:sz="0" w:space="0" w:color="auto"/>
        <w:bottom w:val="none" w:sz="0" w:space="0" w:color="auto"/>
        <w:right w:val="none" w:sz="0" w:space="0" w:color="auto"/>
      </w:divBdr>
      <w:divsChild>
        <w:div w:id="1975795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ser-research.education.gov.uk/guidance/ethics-and-safeguarding/gaining-informed-cons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1383</TotalTime>
  <Pages>22</Pages>
  <Words>4978</Words>
  <Characters>28381</Characters>
  <Application>Microsoft Office Word</Application>
  <DocSecurity>0</DocSecurity>
  <Lines>236</Lines>
  <Paragraphs>66</Paragraphs>
  <ScaleCrop>false</ScaleCrop>
  <Company/>
  <LinksUpToDate>false</LinksUpToDate>
  <CharactersWithSpaces>33293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Griffin (2305953)</dc:creator>
  <cp:keywords/>
  <dc:description/>
  <cp:lastModifiedBy>Don Griffin (2305953)</cp:lastModifiedBy>
  <cp:revision>11</cp:revision>
  <dcterms:created xsi:type="dcterms:W3CDTF">2024-05-06T13:52:00Z</dcterms:created>
  <dcterms:modified xsi:type="dcterms:W3CDTF">2024-05-07T19:36:00Z</dcterms:modified>
</cp:coreProperties>
</file>