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B21FB" w14:textId="09FA9720" w:rsidR="0039075E" w:rsidRDefault="0039075E">
      <w:r>
        <w:t>How effective was medieval artwork at portraying ideas about death?</w:t>
      </w:r>
    </w:p>
    <w:p w14:paraId="4DCE312E" w14:textId="5B07970B" w:rsidR="00477E21" w:rsidRDefault="00477E21">
      <w:r>
        <w:t xml:space="preserve">During the middle ages, there was a sudden increase of the presence of death. There was the black plague, which killed anywhere between 30%-60% of the population of Europe. The average lifespan was thirty-one years, but if the child reached twenty, they could expect to reach their fifties (BBC Health). More than ever, there was a push to think about what might happen to your soul when you die, </w:t>
      </w:r>
      <w:proofErr w:type="gramStart"/>
      <w:r>
        <w:t>and also</w:t>
      </w:r>
      <w:proofErr w:type="gramEnd"/>
      <w:r>
        <w:t xml:space="preserve">, to consider what happens to your body. Much of the artwork of the time, be it from paintings, manuscripts, books of hours, poetry and much more, can be grouped under the collective title of </w:t>
      </w:r>
      <w:r w:rsidRPr="00477E21">
        <w:t>memento mori</w:t>
      </w:r>
      <w:r>
        <w:t>: Remember you will die. There are a few aims of memento mori that can be identified. The first is that you should think about your death. More specifically, you should think about both your body and your soul when you di</w:t>
      </w:r>
      <w:r w:rsidR="00490BE3">
        <w:t>e.</w:t>
      </w:r>
      <w:r>
        <w:t xml:space="preserve"> The second is that you should fear death, and the third is that everyone is going to die, whether farmer, pope, king or monk. </w:t>
      </w:r>
    </w:p>
    <w:p w14:paraId="335A11E2" w14:textId="78949531" w:rsidR="00D574EF" w:rsidRDefault="00477E21">
      <w:r>
        <w:rPr>
          <w:noProof/>
        </w:rPr>
        <mc:AlternateContent>
          <mc:Choice Requires="wps">
            <w:drawing>
              <wp:anchor distT="0" distB="0" distL="114300" distR="114300" simplePos="0" relativeHeight="251660288" behindDoc="1" locked="0" layoutInCell="1" allowOverlap="1" wp14:anchorId="3135445F" wp14:editId="784A6A4E">
                <wp:simplePos x="0" y="0"/>
                <wp:positionH relativeFrom="column">
                  <wp:posOffset>3045460</wp:posOffset>
                </wp:positionH>
                <wp:positionV relativeFrom="paragraph">
                  <wp:posOffset>4518025</wp:posOffset>
                </wp:positionV>
                <wp:extent cx="268605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686050" cy="635"/>
                        </a:xfrm>
                        <a:prstGeom prst="rect">
                          <a:avLst/>
                        </a:prstGeom>
                        <a:solidFill>
                          <a:prstClr val="white"/>
                        </a:solidFill>
                        <a:ln>
                          <a:noFill/>
                        </a:ln>
                      </wps:spPr>
                      <wps:txbx>
                        <w:txbxContent>
                          <w:p w14:paraId="71FA012F" w14:textId="7CE0C633" w:rsidR="00477E21" w:rsidRDefault="00477E21" w:rsidP="00477E21">
                            <w:pPr>
                              <w:pStyle w:val="Caption"/>
                              <w:rPr>
                                <w:noProof/>
                              </w:rPr>
                            </w:pPr>
                            <w:r>
                              <w:t xml:space="preserve">Figure </w:t>
                            </w:r>
                            <w:r w:rsidR="005E39CF">
                              <w:rPr>
                                <w:noProof/>
                              </w:rPr>
                              <w:fldChar w:fldCharType="begin"/>
                            </w:r>
                            <w:r w:rsidR="005E39CF">
                              <w:rPr>
                                <w:noProof/>
                              </w:rPr>
                              <w:instrText xml:space="preserve"> SEQ Figure \* ARABIC </w:instrText>
                            </w:r>
                            <w:r w:rsidR="005E39CF">
                              <w:rPr>
                                <w:noProof/>
                              </w:rPr>
                              <w:fldChar w:fldCharType="separate"/>
                            </w:r>
                            <w:r w:rsidR="000C1578">
                              <w:rPr>
                                <w:noProof/>
                              </w:rPr>
                              <w:t>1</w:t>
                            </w:r>
                            <w:r w:rsidR="005E39CF">
                              <w:rPr>
                                <w:noProof/>
                              </w:rPr>
                              <w:fldChar w:fldCharType="end"/>
                            </w:r>
                            <w:r>
                              <w:t>: The three living and the three dead. The Office of the Dead, from a Book of House, France (Paris), c. 1480 - c. 1490, Harley MS 2917, f. 119r.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35445F" id="_x0000_t202" coordsize="21600,21600" o:spt="202" path="m,l,21600r21600,l21600,xe">
                <v:stroke joinstyle="miter"/>
                <v:path gradientshapeok="t" o:connecttype="rect"/>
              </v:shapetype>
              <v:shape id="Text Box 1" o:spid="_x0000_s1026" type="#_x0000_t202" style="position:absolute;margin-left:239.8pt;margin-top:355.75pt;width:211.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" stroked="f">
                <v:textbox style="mso-fit-shape-to-text:t" inset="0,0,0,0">
                  <w:txbxContent>
                    <w:p w14:paraId="71FA012F" w14:textId="7CE0C633" w:rsidR="00477E21" w:rsidRDefault="00477E21" w:rsidP="00477E21">
                      <w:pPr>
                        <w:pStyle w:val="Caption"/>
                        <w:rPr>
                          <w:noProof/>
                        </w:rPr>
                      </w:pPr>
                      <w:r>
                        <w:t xml:space="preserve">Figure </w:t>
                      </w:r>
                      <w:r w:rsidR="005E39CF">
                        <w:rPr>
                          <w:noProof/>
                        </w:rPr>
                        <w:fldChar w:fldCharType="begin"/>
                      </w:r>
                      <w:r w:rsidR="005E39CF">
                        <w:rPr>
                          <w:noProof/>
                        </w:rPr>
                        <w:instrText xml:space="preserve"> SEQ Figure \* ARABIC </w:instrText>
                      </w:r>
                      <w:r w:rsidR="005E39CF">
                        <w:rPr>
                          <w:noProof/>
                        </w:rPr>
                        <w:fldChar w:fldCharType="separate"/>
                      </w:r>
                      <w:r w:rsidR="000C1578">
                        <w:rPr>
                          <w:noProof/>
                        </w:rPr>
                        <w:t>1</w:t>
                      </w:r>
                      <w:r w:rsidR="005E39CF">
                        <w:rPr>
                          <w:noProof/>
                        </w:rPr>
                        <w:fldChar w:fldCharType="end"/>
                      </w:r>
                      <w:r>
                        <w:t>: The three living and the three dead. The Office of the Dead, from a Book of House, France (Paris), c. 1480 - c. 1490, Harley MS 2917, f. 119r.</w:t>
                      </w:r>
                    </w:p>
                  </w:txbxContent>
                </v:textbox>
                <w10:wrap type="tight"/>
              </v:shape>
            </w:pict>
          </mc:Fallback>
        </mc:AlternateContent>
      </w:r>
      <w:r>
        <w:rPr>
          <w:noProof/>
        </w:rPr>
        <w:drawing>
          <wp:anchor distT="0" distB="0" distL="114300" distR="114300" simplePos="0" relativeHeight="251658240" behindDoc="1" locked="0" layoutInCell="1" allowOverlap="1" wp14:anchorId="6652883C" wp14:editId="561C1E6F">
            <wp:simplePos x="0" y="0"/>
            <wp:positionH relativeFrom="margin">
              <wp:align>right</wp:align>
            </wp:positionH>
            <wp:positionV relativeFrom="paragraph">
              <wp:posOffset>782320</wp:posOffset>
            </wp:positionV>
            <wp:extent cx="2686050" cy="3678555"/>
            <wp:effectExtent l="0" t="0" r="0" b="0"/>
            <wp:wrapTight wrapText="bothSides">
              <wp:wrapPolygon edited="0">
                <wp:start x="0" y="0"/>
                <wp:lineTo x="0" y="21477"/>
                <wp:lineTo x="21447" y="21477"/>
                <wp:lineTo x="2144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ree living and three dead.jpg"/>
                    <pic:cNvPicPr/>
                  </pic:nvPicPr>
                  <pic:blipFill>
                    <a:blip r:embed="rId7">
                      <a:extLst>
                        <a:ext uri="{28A0092B-C50C-407E-A947-70E740481C1C}">
                          <a14:useLocalDpi xmlns:a14="http://schemas.microsoft.com/office/drawing/2010/main" val="0"/>
                        </a:ext>
                      </a:extLst>
                    </a:blip>
                    <a:stretch>
                      <a:fillRect/>
                    </a:stretch>
                  </pic:blipFill>
                  <pic:spPr>
                    <a:xfrm>
                      <a:off x="0" y="0"/>
                      <a:ext cx="2686050" cy="3678555"/>
                    </a:xfrm>
                    <a:prstGeom prst="rect">
                      <a:avLst/>
                    </a:prstGeom>
                  </pic:spPr>
                </pic:pic>
              </a:graphicData>
            </a:graphic>
          </wp:anchor>
        </w:drawing>
      </w:r>
      <w:r>
        <w:t xml:space="preserve">Medieval artwork was particularly </w:t>
      </w:r>
      <w:r w:rsidR="00EF3DD6">
        <w:t>effective</w:t>
      </w:r>
      <w:r>
        <w:t xml:space="preserve"> at getting one to think about their own death. One of the most influential stories present in many forms of artwork was the story of </w:t>
      </w:r>
      <w:r>
        <w:rPr>
          <w:i/>
        </w:rPr>
        <w:t>The Three Living and the Three Dead</w:t>
      </w:r>
      <w:r>
        <w:t>. This story, where three men, usually noblemen or kings, are met with three skeletal figures in various stages of decay and are told that they will one day end up dead, is very common throughout the medieval period. This was in part because the message was so blatant, and obvious: “Be careful, because one day you’ll be dead too.” Various artwork was produced to either alter the message, or to reinforce the message with either more horrifying dead people, or by identifying that the figures were kings or popes. Figure 1 shows an example of the latter. The three living are the pope, the emperor and the king</w:t>
      </w:r>
      <w:r w:rsidR="00D574EF">
        <w:t xml:space="preserve">. The three dead are depicted as naked, decayed figures that are all wearing the crowns of the person opposite them. This is to represent that they once held that position in life, and </w:t>
      </w:r>
      <w:r w:rsidR="00A3644E">
        <w:t>effectively communicates</w:t>
      </w:r>
      <w:r w:rsidR="00D574EF">
        <w:t xml:space="preserve"> the idea that we all die, regardless of our status in life.</w:t>
      </w:r>
    </w:p>
    <w:p w14:paraId="04851505" w14:textId="03CE9700" w:rsidR="00D574EF" w:rsidRDefault="00D574EF">
      <w:r>
        <w:t xml:space="preserve">Thinking about death was not seen as something </w:t>
      </w:r>
      <w:r w:rsidR="006B2533">
        <w:t>to shy away from</w:t>
      </w:r>
      <w:r>
        <w:t xml:space="preserve">, rather it </w:t>
      </w:r>
      <w:proofErr w:type="gramStart"/>
      <w:r>
        <w:t>was seen as</w:t>
      </w:r>
      <w:proofErr w:type="gramEnd"/>
      <w:r>
        <w:t xml:space="preserve"> an opportunity to think about what you can do in life to ensure that you go to heaven and live a good afterlife, while you wait for the resurrection. This is achieved by memento mori by showing the person what will happen to their body when they die, </w:t>
      </w:r>
      <w:proofErr w:type="gramStart"/>
      <w:r>
        <w:t>in order to</w:t>
      </w:r>
      <w:proofErr w:type="gramEnd"/>
      <w:r>
        <w:t xml:space="preserve"> soothe any distressing thoughts that the person may have. This idea is taken to another level with transi tombs. </w:t>
      </w:r>
    </w:p>
    <w:p w14:paraId="2F3F5607" w14:textId="5E110834" w:rsidR="00844948" w:rsidRDefault="00D574EF">
      <w:r>
        <w:rPr>
          <w:noProof/>
        </w:rPr>
        <w:lastRenderedPageBreak/>
        <mc:AlternateContent>
          <mc:Choice Requires="wps">
            <w:drawing>
              <wp:anchor distT="0" distB="0" distL="114300" distR="114300" simplePos="0" relativeHeight="251663360" behindDoc="1" locked="0" layoutInCell="1" allowOverlap="1" wp14:anchorId="104628D6" wp14:editId="205DE706">
                <wp:simplePos x="0" y="0"/>
                <wp:positionH relativeFrom="column">
                  <wp:posOffset>0</wp:posOffset>
                </wp:positionH>
                <wp:positionV relativeFrom="paragraph">
                  <wp:posOffset>2383155</wp:posOffset>
                </wp:positionV>
                <wp:extent cx="307657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076575" cy="635"/>
                        </a:xfrm>
                        <a:prstGeom prst="rect">
                          <a:avLst/>
                        </a:prstGeom>
                        <a:solidFill>
                          <a:prstClr val="white"/>
                        </a:solidFill>
                        <a:ln>
                          <a:noFill/>
                        </a:ln>
                      </wps:spPr>
                      <wps:txbx>
                        <w:txbxContent>
                          <w:p w14:paraId="273C3331" w14:textId="31B6D26A" w:rsidR="00D574EF" w:rsidRDefault="00D574EF" w:rsidP="00D574EF">
                            <w:pPr>
                              <w:pStyle w:val="Caption"/>
                              <w:rPr>
                                <w:noProof/>
                              </w:rPr>
                            </w:pPr>
                            <w:r>
                              <w:t xml:space="preserve">Figure </w:t>
                            </w:r>
                            <w:r w:rsidR="005E39CF">
                              <w:rPr>
                                <w:noProof/>
                              </w:rPr>
                              <w:fldChar w:fldCharType="begin"/>
                            </w:r>
                            <w:r w:rsidR="005E39CF">
                              <w:rPr>
                                <w:noProof/>
                              </w:rPr>
                              <w:instrText xml:space="preserve"> SEQ Figure \* ARABIC </w:instrText>
                            </w:r>
                            <w:r w:rsidR="005E39CF">
                              <w:rPr>
                                <w:noProof/>
                              </w:rPr>
                              <w:fldChar w:fldCharType="separate"/>
                            </w:r>
                            <w:r w:rsidR="000C1578">
                              <w:rPr>
                                <w:noProof/>
                              </w:rPr>
                              <w:t>2</w:t>
                            </w:r>
                            <w:r w:rsidR="005E39CF">
                              <w:rPr>
                                <w:noProof/>
                              </w:rPr>
                              <w:fldChar w:fldCharType="end"/>
                            </w:r>
                            <w:r>
                              <w:t>: The transi tomb of John Fitzalan, Earl of Arundel. Died 1267.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4628D6" id="Text Box 4" o:spid="_x0000_s1027" type="#_x0000_t202" style="position:absolute;margin-left:0;margin-top:187.65pt;width:242.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" stroked="f">
                <v:textbox style="mso-fit-shape-to-text:t" inset="0,0,0,0">
                  <w:txbxContent>
                    <w:p w14:paraId="273C3331" w14:textId="31B6D26A" w:rsidR="00D574EF" w:rsidRDefault="00D574EF" w:rsidP="00D574EF">
                      <w:pPr>
                        <w:pStyle w:val="Caption"/>
                        <w:rPr>
                          <w:noProof/>
                        </w:rPr>
                      </w:pPr>
                      <w:r>
                        <w:t xml:space="preserve">Figure </w:t>
                      </w:r>
                      <w:r w:rsidR="005E39CF">
                        <w:rPr>
                          <w:noProof/>
                        </w:rPr>
                        <w:fldChar w:fldCharType="begin"/>
                      </w:r>
                      <w:r w:rsidR="005E39CF">
                        <w:rPr>
                          <w:noProof/>
                        </w:rPr>
                        <w:instrText xml:space="preserve"> SEQ Figure \* ARABIC </w:instrText>
                      </w:r>
                      <w:r w:rsidR="005E39CF">
                        <w:rPr>
                          <w:noProof/>
                        </w:rPr>
                        <w:fldChar w:fldCharType="separate"/>
                      </w:r>
                      <w:r w:rsidR="000C1578">
                        <w:rPr>
                          <w:noProof/>
                        </w:rPr>
                        <w:t>2</w:t>
                      </w:r>
                      <w:r w:rsidR="005E39CF">
                        <w:rPr>
                          <w:noProof/>
                        </w:rPr>
                        <w:fldChar w:fldCharType="end"/>
                      </w:r>
                      <w:r>
                        <w:t>: The transi tomb of John Fitzalan, Earl of Arundel. Died 1267.</w:t>
                      </w:r>
                    </w:p>
                  </w:txbxContent>
                </v:textbox>
                <w10:wrap type="tight"/>
              </v:shape>
            </w:pict>
          </mc:Fallback>
        </mc:AlternateContent>
      </w:r>
      <w:r>
        <w:rPr>
          <w:noProof/>
        </w:rPr>
        <w:drawing>
          <wp:anchor distT="0" distB="0" distL="114300" distR="114300" simplePos="0" relativeHeight="251661312" behindDoc="1" locked="0" layoutInCell="1" allowOverlap="1" wp14:anchorId="2E3EBBBD" wp14:editId="145F13C1">
            <wp:simplePos x="0" y="0"/>
            <wp:positionH relativeFrom="margin">
              <wp:align>left</wp:align>
            </wp:positionH>
            <wp:positionV relativeFrom="paragraph">
              <wp:posOffset>19050</wp:posOffset>
            </wp:positionV>
            <wp:extent cx="3076575" cy="2306955"/>
            <wp:effectExtent l="0" t="0" r="9525" b="0"/>
            <wp:wrapTight wrapText="bothSides">
              <wp:wrapPolygon edited="0">
                <wp:start x="0" y="0"/>
                <wp:lineTo x="0" y="21404"/>
                <wp:lineTo x="21533" y="21404"/>
                <wp:lineTo x="2153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ansi Tomb.jpg"/>
                    <pic:cNvPicPr/>
                  </pic:nvPicPr>
                  <pic:blipFill>
                    <a:blip r:embed="rId8">
                      <a:extLst>
                        <a:ext uri="{28A0092B-C50C-407E-A947-70E740481C1C}">
                          <a14:useLocalDpi xmlns:a14="http://schemas.microsoft.com/office/drawing/2010/main" val="0"/>
                        </a:ext>
                      </a:extLst>
                    </a:blip>
                    <a:stretch>
                      <a:fillRect/>
                    </a:stretch>
                  </pic:blipFill>
                  <pic:spPr>
                    <a:xfrm>
                      <a:off x="0" y="0"/>
                      <a:ext cx="3076575" cy="2306955"/>
                    </a:xfrm>
                    <a:prstGeom prst="rect">
                      <a:avLst/>
                    </a:prstGeom>
                  </pic:spPr>
                </pic:pic>
              </a:graphicData>
            </a:graphic>
            <wp14:sizeRelH relativeFrom="margin">
              <wp14:pctWidth>0</wp14:pctWidth>
            </wp14:sizeRelH>
            <wp14:sizeRelV relativeFrom="margin">
              <wp14:pctHeight>0</wp14:pctHeight>
            </wp14:sizeRelV>
          </wp:anchor>
        </w:drawing>
      </w:r>
      <w:r>
        <w:t>Transi tombs are a special type of tombstone, that covers the deceased tomb. While encouraging you to think about death, it does so in a particularly morbid way. Figure 2 shows the transi tomb of John Fitzalan, Earl of Arundel, who died in 1267.</w:t>
      </w:r>
      <w:r w:rsidRPr="00477E21">
        <w:t xml:space="preserve"> </w:t>
      </w:r>
      <w:r w:rsidR="009E4834">
        <w:t xml:space="preserve">As you can very clearly see, the tombstone contains two very separate images of the person. Firstly, the person lying on top, John Fitzalan, who appears as he would in life, finely dressed and very peaceful. And underneath him, another image of John, but in this </w:t>
      </w:r>
      <w:r w:rsidR="00026D64">
        <w:t xml:space="preserve">form, </w:t>
      </w:r>
      <w:r w:rsidR="009E4834">
        <w:t xml:space="preserve"> he is in the process of decaying. Bones can be seen, and it was not uncommon to see worms eating the flesh of the body. Transi tombs were particularly effective at portraying the idea of death, because</w:t>
      </w:r>
      <w:r w:rsidR="00030EDA">
        <w:t xml:space="preserve"> of the gruesome detail. </w:t>
      </w:r>
      <w:r w:rsidR="00490BE3">
        <w:t xml:space="preserve">While the gruesome details might seem a bit over the top to us, it </w:t>
      </w:r>
      <w:proofErr w:type="gramStart"/>
      <w:r w:rsidR="00490BE3">
        <w:t>actually encourages</w:t>
      </w:r>
      <w:proofErr w:type="gramEnd"/>
      <w:r w:rsidR="00490BE3">
        <w:t xml:space="preserve"> one to look past the body and at the soul, because everyone else is going to be like this too. You cannot do anything about it, but you can do something about your soul.</w:t>
      </w:r>
      <w:r w:rsidR="00030EDA">
        <w:t xml:space="preserve"> </w:t>
      </w:r>
    </w:p>
    <w:p w14:paraId="280BEF08" w14:textId="77777777" w:rsidR="000C1578" w:rsidRDefault="00EB47DA">
      <w:r>
        <w:rPr>
          <w:noProof/>
        </w:rPr>
        <w:drawing>
          <wp:anchor distT="0" distB="0" distL="114300" distR="114300" simplePos="0" relativeHeight="251664384" behindDoc="1" locked="0" layoutInCell="1" allowOverlap="1" wp14:anchorId="7FC514F2" wp14:editId="69E38279">
            <wp:simplePos x="0" y="0"/>
            <wp:positionH relativeFrom="margin">
              <wp:align>right</wp:align>
            </wp:positionH>
            <wp:positionV relativeFrom="paragraph">
              <wp:posOffset>1014730</wp:posOffset>
            </wp:positionV>
            <wp:extent cx="3381375" cy="4419600"/>
            <wp:effectExtent l="0" t="0" r="9525" b="0"/>
            <wp:wrapTight wrapText="bothSides">
              <wp:wrapPolygon edited="0">
                <wp:start x="0" y="0"/>
                <wp:lineTo x="0" y="21507"/>
                <wp:lineTo x="21539" y="21507"/>
                <wp:lineTo x="2153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rs.moriendi.pride.a.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81375" cy="4419600"/>
                    </a:xfrm>
                    <a:prstGeom prst="rect">
                      <a:avLst/>
                    </a:prstGeom>
                  </pic:spPr>
                </pic:pic>
              </a:graphicData>
            </a:graphic>
          </wp:anchor>
        </w:drawing>
      </w:r>
      <w:r>
        <w:t xml:space="preserve">Another form of memento mori, that encouraged you to think about what will happen especially to your soul, is the </w:t>
      </w:r>
      <w:r w:rsidRPr="00ED44E1">
        <w:rPr>
          <w:i/>
        </w:rPr>
        <w:t>Ars Moriendi</w:t>
      </w:r>
      <w:r>
        <w:t xml:space="preserve">, the art of dying. </w:t>
      </w:r>
      <w:r w:rsidR="000E7FD1">
        <w:t xml:space="preserve">The </w:t>
      </w:r>
      <w:r w:rsidR="000E7FD1" w:rsidRPr="00ED44E1">
        <w:rPr>
          <w:i/>
        </w:rPr>
        <w:t>Ars Moriendi</w:t>
      </w:r>
      <w:r>
        <w:t xml:space="preserve"> is a book written and illustrated to guide you through your death. In many examples, there are woodcut images that depict the dying man on his bed, as angels and demons battle over his soul. The demons try to persuade him to commit sins, and the angels pull him away from the demons and encourage him to be good.</w:t>
      </w:r>
      <w:r w:rsidR="00102CA1">
        <w:t xml:space="preserve"> There are a total of five each of the temptations to sin and the inspirations to not sin.</w:t>
      </w:r>
      <w:r w:rsidR="00B25B7F">
        <w:t xml:space="preserve"> Though they theoretically take place all at the same time, and indeed they do, as a conscious battle in </w:t>
      </w:r>
      <w:r w:rsidR="00ED44E1">
        <w:t>one’s</w:t>
      </w:r>
      <w:r w:rsidR="00B25B7F">
        <w:t xml:space="preserve"> soul, the temptations and inspirations are often depicted one after another, with the demons and angels both taking it in turn to </w:t>
      </w:r>
      <w:r w:rsidR="00622432">
        <w:t>e</w:t>
      </w:r>
      <w:r w:rsidR="00B25B7F">
        <w:t>ither tempt or inspire you.</w:t>
      </w:r>
      <w:r w:rsidR="00ED44E1">
        <w:t xml:space="preserve"> These images would have had a calming effect on the person reading the </w:t>
      </w:r>
      <w:r w:rsidR="00ED44E1" w:rsidRPr="00ED44E1">
        <w:rPr>
          <w:i/>
        </w:rPr>
        <w:t>Ars Moriendi</w:t>
      </w:r>
      <w:r w:rsidR="000C1578">
        <w:rPr>
          <w:i/>
        </w:rPr>
        <w:t xml:space="preserve"> </w:t>
      </w:r>
      <w:r w:rsidR="000C1578">
        <w:t xml:space="preserve">because eve though there are demons trying to get our soul, there are angels also fighting got you, and often they are pictured as stepping on the demons and ultimately overcoming them. The effect this would have on your life would be tremendous </w:t>
      </w:r>
      <w:r w:rsidR="000C1578">
        <w:lastRenderedPageBreak/>
        <w:t xml:space="preserve">because you would feel as though you have the angels there along side you, and that you just need to keep doing good, and ultimately you will end up in the kingdom of heaven. </w:t>
      </w:r>
    </w:p>
    <w:p w14:paraId="13EE4E10" w14:textId="3714FAD6" w:rsidR="005A5C40" w:rsidRDefault="000C1578">
      <w:r>
        <w:rPr>
          <w:noProof/>
        </w:rPr>
        <mc:AlternateContent>
          <mc:Choice Requires="wps">
            <w:drawing>
              <wp:anchor distT="0" distB="0" distL="114300" distR="114300" simplePos="0" relativeHeight="251667456" behindDoc="1" locked="0" layoutInCell="1" allowOverlap="1" wp14:anchorId="7A5185DA" wp14:editId="72996A9A">
                <wp:simplePos x="0" y="0"/>
                <wp:positionH relativeFrom="column">
                  <wp:posOffset>0</wp:posOffset>
                </wp:positionH>
                <wp:positionV relativeFrom="paragraph">
                  <wp:posOffset>4410075</wp:posOffset>
                </wp:positionV>
                <wp:extent cx="270383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703830" cy="635"/>
                        </a:xfrm>
                        <a:prstGeom prst="rect">
                          <a:avLst/>
                        </a:prstGeom>
                        <a:solidFill>
                          <a:prstClr val="white"/>
                        </a:solidFill>
                        <a:ln>
                          <a:noFill/>
                        </a:ln>
                      </wps:spPr>
                      <wps:txbx>
                        <w:txbxContent>
                          <w:p w14:paraId="488D7746" w14:textId="07F9AA1F" w:rsidR="000C1578" w:rsidRDefault="000C1578" w:rsidP="000C1578">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Death holding the tree of vanity, Book of Hours, France (</w:t>
                            </w:r>
                            <w:proofErr w:type="spellStart"/>
                            <w:r>
                              <w:t>Pointiers</w:t>
                            </w:r>
                            <w:proofErr w:type="spellEnd"/>
                            <w:r>
                              <w:t>), from the end of the 15th century.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5185DA" id="Text Box 7" o:spid="_x0000_s1028" type="#_x0000_t202" style="position:absolute;margin-left:0;margin-top:347.25pt;width:212.9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" stroked="f">
                <v:textbox style="mso-fit-shape-to-text:t" inset="0,0,0,0">
                  <w:txbxContent>
                    <w:p w14:paraId="488D7746" w14:textId="07F9AA1F" w:rsidR="000C1578" w:rsidRDefault="000C1578" w:rsidP="000C1578">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Death holding the tree of vanity, Book of Hours, France (</w:t>
                      </w:r>
                      <w:proofErr w:type="spellStart"/>
                      <w:r>
                        <w:t>Pointiers</w:t>
                      </w:r>
                      <w:proofErr w:type="spellEnd"/>
                      <w:r>
                        <w:t>), from the end of the 15th century.</w:t>
                      </w:r>
                    </w:p>
                  </w:txbxContent>
                </v:textbox>
                <w10:wrap type="tight"/>
              </v:shape>
            </w:pict>
          </mc:Fallback>
        </mc:AlternateContent>
      </w:r>
      <w:r>
        <w:rPr>
          <w:noProof/>
        </w:rPr>
        <w:drawing>
          <wp:anchor distT="0" distB="0" distL="114300" distR="114300" simplePos="0" relativeHeight="251665408" behindDoc="1" locked="0" layoutInCell="1" allowOverlap="1" wp14:anchorId="3D8A68BC" wp14:editId="26754CD3">
            <wp:simplePos x="0" y="0"/>
            <wp:positionH relativeFrom="margin">
              <wp:align>left</wp:align>
            </wp:positionH>
            <wp:positionV relativeFrom="paragraph">
              <wp:posOffset>19050</wp:posOffset>
            </wp:positionV>
            <wp:extent cx="2703830" cy="4333875"/>
            <wp:effectExtent l="0" t="0" r="1270" b="9525"/>
            <wp:wrapTight wrapText="bothSides">
              <wp:wrapPolygon edited="0">
                <wp:start x="0" y="0"/>
                <wp:lineTo x="0" y="21553"/>
                <wp:lineTo x="21458" y="21553"/>
                <wp:lineTo x="2145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3830" cy="4333875"/>
                    </a:xfrm>
                    <a:prstGeom prst="rect">
                      <a:avLst/>
                    </a:prstGeom>
                    <a:noFill/>
                    <a:ln>
                      <a:noFill/>
                    </a:ln>
                  </pic:spPr>
                </pic:pic>
              </a:graphicData>
            </a:graphic>
          </wp:anchor>
        </w:drawing>
      </w:r>
      <w:r>
        <w:t>It can be argued that images might not have much effectiveness on how a person thinks, however during the middle ages, images became more and more popular with the increasing population that could not read. Laurence Duggan argues that you would have to have a person read a story to you first, so that you know what the image is depicting. With many images and artworks from the medieval period though, this is not the case. Just by looking at an image, for example Figure 3, you can tell immediately what is going on. Figure 3 shows a figure of death, perhaps Death himself, wearing the crown, holding a tree that contains signs that are things Death wants you to commit. With this image, it is very simple to pick out the message: Don’t commit those sins, which happen to be the seven deadly sins, because they belong to Death.</w:t>
      </w:r>
    </w:p>
    <w:p w14:paraId="3AE7B33E" w14:textId="235DE799" w:rsidR="006A09A2" w:rsidRDefault="006A09A2">
      <w:r>
        <w:t>If an image did not effectively compel a person to think about death, then certainly the N-town cycle of Corpus Christi</w:t>
      </w:r>
      <w:r w:rsidR="003A759B">
        <w:t xml:space="preserve">, a cycle of 42 medieval mystery-plays </w:t>
      </w:r>
      <w:r w:rsidR="00BC36C6">
        <w:t>would</w:t>
      </w:r>
      <w:r>
        <w:t xml:space="preserve"> have. In these plays, death is a character, who confronts the audience, instilling terrifying thoughts into the </w:t>
      </w:r>
      <w:r w:rsidR="00361E71">
        <w:t>audience’s</w:t>
      </w:r>
      <w:bookmarkStart w:id="0" w:name="_GoBack"/>
      <w:bookmarkEnd w:id="0"/>
      <w:r>
        <w:t xml:space="preserve"> mind. Emily Huber states: “</w:t>
      </w:r>
      <w:r w:rsidRPr="006A09A2">
        <w:t>this Death is not the comforting force that brings one out of pain and to union with Christ, but instead a merciless opponent, one who will "</w:t>
      </w:r>
      <w:proofErr w:type="spellStart"/>
      <w:r w:rsidRPr="006A09A2">
        <w:t>chalange</w:t>
      </w:r>
      <w:proofErr w:type="spellEnd"/>
      <w:r w:rsidRPr="006A09A2">
        <w:t>" each mortal being, inevitably win, and finally discard each body to decay</w:t>
      </w:r>
      <w:r>
        <w:t>”</w:t>
      </w:r>
    </w:p>
    <w:p w14:paraId="4E2C12D7" w14:textId="49B15B4A" w:rsidR="006A09A2" w:rsidRDefault="006A09A2" w:rsidP="006A09A2">
      <w:pPr>
        <w:pStyle w:val="Quote"/>
      </w:pPr>
      <w:r w:rsidRPr="006A09A2">
        <w:t>"</w:t>
      </w:r>
      <w:proofErr w:type="spellStart"/>
      <w:r w:rsidRPr="006A09A2">
        <w:t>Whan</w:t>
      </w:r>
      <w:proofErr w:type="spellEnd"/>
      <w:r w:rsidRPr="006A09A2">
        <w:t xml:space="preserve"> I yow </w:t>
      </w:r>
      <w:proofErr w:type="spellStart"/>
      <w:r w:rsidRPr="006A09A2">
        <w:t>chalange</w:t>
      </w:r>
      <w:proofErr w:type="spellEnd"/>
      <w:r w:rsidRPr="006A09A2">
        <w:t xml:space="preserve"> at my day,</w:t>
      </w:r>
      <w:r w:rsidRPr="006A09A2">
        <w:br/>
        <w:t xml:space="preserve">   I </w:t>
      </w:r>
      <w:proofErr w:type="spellStart"/>
      <w:r w:rsidRPr="006A09A2">
        <w:t>shal</w:t>
      </w:r>
      <w:proofErr w:type="spellEnd"/>
      <w:r w:rsidRPr="006A09A2">
        <w:t xml:space="preserve"> yow make right </w:t>
      </w:r>
      <w:proofErr w:type="spellStart"/>
      <w:r w:rsidRPr="006A09A2">
        <w:t>lowe</w:t>
      </w:r>
      <w:proofErr w:type="spellEnd"/>
      <w:r w:rsidRPr="006A09A2">
        <w:t xml:space="preserve"> to </w:t>
      </w:r>
      <w:proofErr w:type="spellStart"/>
      <w:r w:rsidRPr="006A09A2">
        <w:t>lowte</w:t>
      </w:r>
      <w:proofErr w:type="spellEnd"/>
      <w:r w:rsidRPr="006A09A2">
        <w:br/>
        <w:t xml:space="preserve">   And </w:t>
      </w:r>
      <w:proofErr w:type="spellStart"/>
      <w:r w:rsidRPr="006A09A2">
        <w:t>nakyd</w:t>
      </w:r>
      <w:proofErr w:type="spellEnd"/>
      <w:r w:rsidRPr="006A09A2">
        <w:t xml:space="preserve"> for to be.</w:t>
      </w:r>
      <w:r w:rsidRPr="006A09A2">
        <w:br/>
        <w:t xml:space="preserve">   </w:t>
      </w:r>
      <w:proofErr w:type="spellStart"/>
      <w:r w:rsidRPr="006A09A2">
        <w:t>Amongys</w:t>
      </w:r>
      <w:proofErr w:type="spellEnd"/>
      <w:r w:rsidRPr="006A09A2">
        <w:t xml:space="preserve"> </w:t>
      </w:r>
      <w:proofErr w:type="spellStart"/>
      <w:r w:rsidRPr="006A09A2">
        <w:t>wormys</w:t>
      </w:r>
      <w:proofErr w:type="spellEnd"/>
      <w:r w:rsidRPr="006A09A2">
        <w:t xml:space="preserve">, as I yow </w:t>
      </w:r>
      <w:proofErr w:type="spellStart"/>
      <w:r w:rsidRPr="006A09A2">
        <w:t>telle</w:t>
      </w:r>
      <w:proofErr w:type="spellEnd"/>
      <w:r w:rsidRPr="006A09A2">
        <w:t>,</w:t>
      </w:r>
      <w:r w:rsidRPr="006A09A2">
        <w:br/>
        <w:t xml:space="preserve">   </w:t>
      </w:r>
      <w:proofErr w:type="spellStart"/>
      <w:r w:rsidRPr="006A09A2">
        <w:t>Undyr</w:t>
      </w:r>
      <w:proofErr w:type="spellEnd"/>
      <w:r w:rsidRPr="006A09A2">
        <w:t xml:space="preserve"> the </w:t>
      </w:r>
      <w:proofErr w:type="spellStart"/>
      <w:r w:rsidRPr="006A09A2">
        <w:t>erth</w:t>
      </w:r>
      <w:proofErr w:type="spellEnd"/>
      <w:r w:rsidRPr="006A09A2">
        <w:t xml:space="preserve"> shul ye </w:t>
      </w:r>
      <w:proofErr w:type="spellStart"/>
      <w:r w:rsidRPr="006A09A2">
        <w:t>dwelle</w:t>
      </w:r>
      <w:proofErr w:type="spellEnd"/>
      <w:r w:rsidRPr="006A09A2">
        <w:t xml:space="preserve"> --</w:t>
      </w:r>
      <w:r w:rsidRPr="006A09A2">
        <w:br/>
        <w:t xml:space="preserve">   And they shul </w:t>
      </w:r>
      <w:proofErr w:type="spellStart"/>
      <w:r w:rsidRPr="006A09A2">
        <w:t>etyn</w:t>
      </w:r>
      <w:proofErr w:type="spellEnd"/>
      <w:r w:rsidRPr="006A09A2">
        <w:t xml:space="preserve"> both </w:t>
      </w:r>
      <w:proofErr w:type="spellStart"/>
      <w:r w:rsidRPr="006A09A2">
        <w:t>flesch</w:t>
      </w:r>
      <w:proofErr w:type="spellEnd"/>
      <w:r w:rsidRPr="006A09A2">
        <w:t xml:space="preserve"> and </w:t>
      </w:r>
      <w:proofErr w:type="spellStart"/>
      <w:r w:rsidRPr="006A09A2">
        <w:t>felle</w:t>
      </w:r>
      <w:proofErr w:type="spellEnd"/>
      <w:r w:rsidRPr="006A09A2">
        <w:t>,</w:t>
      </w:r>
      <w:r w:rsidRPr="006A09A2">
        <w:br/>
        <w:t>   As they have don me"</w:t>
      </w:r>
      <w:r w:rsidR="00601F80">
        <w:rPr>
          <w:rStyle w:val="FootnoteReference"/>
        </w:rPr>
        <w:footnoteReference w:id="1"/>
      </w:r>
    </w:p>
    <w:p w14:paraId="1803FCCD" w14:textId="07163511" w:rsidR="0017598F" w:rsidRPr="00477E21" w:rsidRDefault="005A5C40">
      <w:r>
        <w:t>Medieval images then, contain images that are easily recognisable, have a clear and concise message</w:t>
      </w:r>
      <w:r w:rsidR="00EF51A4">
        <w:t xml:space="preserve">, and do indeed get a person to consider what will happen to their soul when they pass. Therefore, it can be stated that medieval images are extremely effective at not only delivering their message, but also portraying various ideas about death, and what you can do to make sure you have a good death. </w:t>
      </w:r>
    </w:p>
    <w:sectPr w:rsidR="0017598F" w:rsidRPr="00477E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B35F2" w14:textId="77777777" w:rsidR="005E39CF" w:rsidRDefault="005E39CF" w:rsidP="00601F80">
      <w:pPr>
        <w:spacing w:after="0" w:line="240" w:lineRule="auto"/>
      </w:pPr>
      <w:r>
        <w:separator/>
      </w:r>
    </w:p>
  </w:endnote>
  <w:endnote w:type="continuationSeparator" w:id="0">
    <w:p w14:paraId="0098CAD9" w14:textId="77777777" w:rsidR="005E39CF" w:rsidRDefault="005E39CF" w:rsidP="00601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EEF002" w14:textId="77777777" w:rsidR="005E39CF" w:rsidRDefault="005E39CF" w:rsidP="00601F80">
      <w:pPr>
        <w:spacing w:after="0" w:line="240" w:lineRule="auto"/>
      </w:pPr>
      <w:r>
        <w:separator/>
      </w:r>
    </w:p>
  </w:footnote>
  <w:footnote w:type="continuationSeparator" w:id="0">
    <w:p w14:paraId="581C469D" w14:textId="77777777" w:rsidR="005E39CF" w:rsidRDefault="005E39CF" w:rsidP="00601F80">
      <w:pPr>
        <w:spacing w:after="0" w:line="240" w:lineRule="auto"/>
      </w:pPr>
      <w:r>
        <w:continuationSeparator/>
      </w:r>
    </w:p>
  </w:footnote>
  <w:footnote w:id="1">
    <w:p w14:paraId="34081467" w14:textId="4F066C69" w:rsidR="00601F80" w:rsidRDefault="00601F80">
      <w:pPr>
        <w:pStyle w:val="FootnoteText"/>
      </w:pPr>
      <w:r>
        <w:rPr>
          <w:rStyle w:val="FootnoteReference"/>
        </w:rPr>
        <w:footnoteRef/>
      </w:r>
      <w:r>
        <w:t xml:space="preserve"> Lines 278-284 of the N-Town cycle of Corpus Christi plays.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173"/>
    <w:rsid w:val="00026D64"/>
    <w:rsid w:val="00030EDA"/>
    <w:rsid w:val="000C1578"/>
    <w:rsid w:val="000E7FD1"/>
    <w:rsid w:val="00102CA1"/>
    <w:rsid w:val="0017598F"/>
    <w:rsid w:val="002246AB"/>
    <w:rsid w:val="00361E71"/>
    <w:rsid w:val="0039075E"/>
    <w:rsid w:val="003A759B"/>
    <w:rsid w:val="00477E21"/>
    <w:rsid w:val="00490BE3"/>
    <w:rsid w:val="005A5C40"/>
    <w:rsid w:val="005E39CF"/>
    <w:rsid w:val="00601F80"/>
    <w:rsid w:val="00622432"/>
    <w:rsid w:val="006A09A2"/>
    <w:rsid w:val="006B2533"/>
    <w:rsid w:val="00844948"/>
    <w:rsid w:val="009E4834"/>
    <w:rsid w:val="00A3644E"/>
    <w:rsid w:val="00B25B7F"/>
    <w:rsid w:val="00BC36C6"/>
    <w:rsid w:val="00D30173"/>
    <w:rsid w:val="00D574EF"/>
    <w:rsid w:val="00EB47DA"/>
    <w:rsid w:val="00ED0D8B"/>
    <w:rsid w:val="00ED44E1"/>
    <w:rsid w:val="00EF3DD6"/>
    <w:rsid w:val="00EF51A4"/>
    <w:rsid w:val="00FE10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E3D070"/>
  <w15:chartTrackingRefBased/>
  <w15:docId w15:val="{A016C04F-D92E-4644-B261-78EEE1198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477E21"/>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6A09A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A09A2"/>
    <w:rPr>
      <w:i/>
      <w:iCs/>
      <w:color w:val="404040" w:themeColor="text1" w:themeTint="BF"/>
    </w:rPr>
  </w:style>
  <w:style w:type="paragraph" w:styleId="FootnoteText">
    <w:name w:val="footnote text"/>
    <w:basedOn w:val="Normal"/>
    <w:link w:val="FootnoteTextChar"/>
    <w:uiPriority w:val="99"/>
    <w:semiHidden/>
    <w:unhideWhenUsed/>
    <w:rsid w:val="00601F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1F80"/>
    <w:rPr>
      <w:sz w:val="20"/>
      <w:szCs w:val="20"/>
    </w:rPr>
  </w:style>
  <w:style w:type="character" w:styleId="FootnoteReference">
    <w:name w:val="footnote reference"/>
    <w:basedOn w:val="DefaultParagraphFont"/>
    <w:uiPriority w:val="99"/>
    <w:semiHidden/>
    <w:unhideWhenUsed/>
    <w:rsid w:val="00601F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825F0-4219-4A6C-97B1-3D2C0611C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3</Pages>
  <Words>1233</Words>
  <Characters>5709</Characters>
  <Application>Microsoft Office Word</Application>
  <DocSecurity>0</DocSecurity>
  <Lines>74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35</cp:revision>
  <dcterms:created xsi:type="dcterms:W3CDTF">2019-01-31T16:29:00Z</dcterms:created>
  <dcterms:modified xsi:type="dcterms:W3CDTF">2019-01-31T21:01:00Z</dcterms:modified>
</cp:coreProperties>
</file>