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95CBD4" w14:textId="74F7585E" w:rsidR="00136B00" w:rsidRDefault="007D189F">
      <w:r>
        <w:rPr>
          <w:noProof/>
        </w:rPr>
        <w:drawing>
          <wp:inline distT="0" distB="0" distL="0" distR="0" wp14:anchorId="043B01CD" wp14:editId="671C11F8">
            <wp:extent cx="4655820" cy="1920240"/>
            <wp:effectExtent l="0" t="0" r="0" b="381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4655820" cy="1920240"/>
                    </a:xfrm>
                    <a:prstGeom prst="rect">
                      <a:avLst/>
                    </a:prstGeom>
                  </pic:spPr>
                </pic:pic>
              </a:graphicData>
            </a:graphic>
          </wp:inline>
        </w:drawing>
      </w:r>
    </w:p>
    <w:p w14:paraId="461C0A38" w14:textId="77777777" w:rsidR="007D189F" w:rsidRDefault="007D189F"/>
    <w:p w14:paraId="4F0BF53F" w14:textId="18CC4270" w:rsidR="007D189F" w:rsidRDefault="007D189F">
      <w:r>
        <w:t xml:space="preserve"> </w:t>
      </w:r>
    </w:p>
    <w:p w14:paraId="32693A56" w14:textId="77777777" w:rsidR="00193B7B" w:rsidRDefault="00193B7B"/>
    <w:p w14:paraId="50D3DFB2" w14:textId="77777777" w:rsidR="00193B7B" w:rsidRDefault="00193B7B"/>
    <w:p w14:paraId="1A655FA4" w14:textId="77777777" w:rsidR="00193B7B" w:rsidRDefault="00193B7B"/>
    <w:p w14:paraId="727F4583" w14:textId="77777777" w:rsidR="00193B7B" w:rsidRDefault="00193B7B"/>
    <w:p w14:paraId="24A1A94E" w14:textId="77777777" w:rsidR="00193B7B" w:rsidRPr="00013C5D" w:rsidRDefault="00193B7B">
      <w:pPr>
        <w:rPr>
          <w:sz w:val="32"/>
          <w:szCs w:val="32"/>
        </w:rPr>
      </w:pPr>
    </w:p>
    <w:p w14:paraId="334C8296" w14:textId="7037F041" w:rsidR="001C7526" w:rsidRPr="00013C5D" w:rsidRDefault="00FD2A63" w:rsidP="00013C5D">
      <w:pPr>
        <w:spacing w:line="360" w:lineRule="auto"/>
        <w:jc w:val="both"/>
        <w:rPr>
          <w:rFonts w:ascii="Arial" w:hAnsi="Arial" w:cs="Arial"/>
          <w:sz w:val="32"/>
          <w:szCs w:val="32"/>
        </w:rPr>
      </w:pPr>
      <w:r w:rsidRPr="00013C5D">
        <w:rPr>
          <w:rFonts w:ascii="Arial" w:hAnsi="Arial" w:cs="Arial"/>
          <w:sz w:val="32"/>
          <w:szCs w:val="32"/>
        </w:rPr>
        <w:t>Module</w:t>
      </w:r>
      <w:r w:rsidR="00013C5D" w:rsidRPr="00013C5D">
        <w:rPr>
          <w:rFonts w:ascii="Arial" w:hAnsi="Arial" w:cs="Arial"/>
          <w:sz w:val="32"/>
          <w:szCs w:val="32"/>
        </w:rPr>
        <w:t xml:space="preserve"> name</w:t>
      </w:r>
      <w:r w:rsidRPr="00013C5D">
        <w:rPr>
          <w:rFonts w:ascii="Arial" w:hAnsi="Arial" w:cs="Arial"/>
          <w:sz w:val="32"/>
          <w:szCs w:val="32"/>
        </w:rPr>
        <w:t>:</w:t>
      </w:r>
      <w:r w:rsidR="001C7526" w:rsidRPr="00013C5D">
        <w:rPr>
          <w:rFonts w:ascii="Arial" w:eastAsia="Times New Roman" w:hAnsi="Arial" w:cs="Arial"/>
          <w:b/>
          <w:bCs/>
          <w:kern w:val="36"/>
          <w:sz w:val="32"/>
          <w:szCs w:val="32"/>
          <w:lang w:eastAsia="en-GB"/>
          <w14:ligatures w14:val="none"/>
        </w:rPr>
        <w:t xml:space="preserve"> </w:t>
      </w:r>
      <w:r w:rsidR="001C7526" w:rsidRPr="00013C5D">
        <w:rPr>
          <w:rFonts w:ascii="Arial" w:hAnsi="Arial" w:cs="Arial"/>
          <w:sz w:val="32"/>
          <w:szCs w:val="32"/>
        </w:rPr>
        <w:t xml:space="preserve">Changemakers: Creativity </w:t>
      </w:r>
      <w:r w:rsidR="00F37DB0" w:rsidRPr="00013C5D">
        <w:rPr>
          <w:rFonts w:ascii="Arial" w:hAnsi="Arial" w:cs="Arial"/>
          <w:sz w:val="32"/>
          <w:szCs w:val="32"/>
        </w:rPr>
        <w:t>&amp;</w:t>
      </w:r>
      <w:r w:rsidR="001C7526" w:rsidRPr="00013C5D">
        <w:rPr>
          <w:rFonts w:ascii="Arial" w:hAnsi="Arial" w:cs="Arial"/>
          <w:sz w:val="32"/>
          <w:szCs w:val="32"/>
        </w:rPr>
        <w:t xml:space="preserve"> Value Creation </w:t>
      </w:r>
      <w:r w:rsidR="00013C5D" w:rsidRPr="00013C5D">
        <w:rPr>
          <w:rFonts w:ascii="Arial" w:hAnsi="Arial" w:cs="Arial"/>
          <w:sz w:val="32"/>
          <w:szCs w:val="32"/>
        </w:rPr>
        <w:t xml:space="preserve">Module number: </w:t>
      </w:r>
      <w:r w:rsidR="001C7526" w:rsidRPr="00013C5D">
        <w:rPr>
          <w:rFonts w:ascii="Arial" w:hAnsi="Arial" w:cs="Arial"/>
          <w:sz w:val="32"/>
          <w:szCs w:val="32"/>
        </w:rPr>
        <w:t>(BMHP5014_BIRM)</w:t>
      </w:r>
    </w:p>
    <w:p w14:paraId="4D4DAE40" w14:textId="53BA573C" w:rsidR="00FD2A63" w:rsidRPr="00013C5D" w:rsidRDefault="00FD2A63" w:rsidP="00013C5D">
      <w:pPr>
        <w:spacing w:line="360" w:lineRule="auto"/>
        <w:jc w:val="both"/>
        <w:rPr>
          <w:rFonts w:ascii="Arial" w:hAnsi="Arial" w:cs="Arial"/>
          <w:sz w:val="32"/>
          <w:szCs w:val="32"/>
        </w:rPr>
      </w:pPr>
      <w:r w:rsidRPr="00013C5D">
        <w:rPr>
          <w:rFonts w:ascii="Arial" w:hAnsi="Arial" w:cs="Arial"/>
          <w:sz w:val="32"/>
          <w:szCs w:val="32"/>
        </w:rPr>
        <w:t>Student n</w:t>
      </w:r>
      <w:r w:rsidR="009E3133" w:rsidRPr="00013C5D">
        <w:rPr>
          <w:rFonts w:ascii="Arial" w:hAnsi="Arial" w:cs="Arial"/>
          <w:sz w:val="32"/>
          <w:szCs w:val="32"/>
        </w:rPr>
        <w:t>ame: Melania Ciornei</w:t>
      </w:r>
    </w:p>
    <w:p w14:paraId="67375804" w14:textId="6B347B74" w:rsidR="009E3133" w:rsidRPr="00013C5D" w:rsidRDefault="009E3133" w:rsidP="00013C5D">
      <w:pPr>
        <w:spacing w:line="360" w:lineRule="auto"/>
        <w:jc w:val="both"/>
        <w:rPr>
          <w:rFonts w:ascii="Arial" w:hAnsi="Arial" w:cs="Arial"/>
          <w:sz w:val="32"/>
          <w:szCs w:val="32"/>
        </w:rPr>
      </w:pPr>
      <w:r w:rsidRPr="00013C5D">
        <w:rPr>
          <w:rFonts w:ascii="Arial" w:hAnsi="Arial" w:cs="Arial"/>
          <w:sz w:val="32"/>
          <w:szCs w:val="32"/>
        </w:rPr>
        <w:t>Student number: 2329516</w:t>
      </w:r>
    </w:p>
    <w:p w14:paraId="274E932B" w14:textId="5508D3E5" w:rsidR="009E3133" w:rsidRPr="00013C5D" w:rsidRDefault="009E3133" w:rsidP="00013C5D">
      <w:pPr>
        <w:spacing w:line="360" w:lineRule="auto"/>
        <w:jc w:val="both"/>
        <w:rPr>
          <w:rFonts w:ascii="Arial" w:hAnsi="Arial" w:cs="Arial"/>
          <w:sz w:val="32"/>
          <w:szCs w:val="32"/>
        </w:rPr>
      </w:pPr>
      <w:r w:rsidRPr="00013C5D">
        <w:rPr>
          <w:rFonts w:ascii="Arial" w:hAnsi="Arial" w:cs="Arial"/>
          <w:sz w:val="32"/>
          <w:szCs w:val="32"/>
        </w:rPr>
        <w:t xml:space="preserve">Lecturer name: </w:t>
      </w:r>
      <w:r w:rsidR="00F47ACA" w:rsidRPr="00013C5D">
        <w:rPr>
          <w:rFonts w:ascii="Arial" w:hAnsi="Arial" w:cs="Arial"/>
          <w:sz w:val="32"/>
          <w:szCs w:val="32"/>
        </w:rPr>
        <w:t>Tsiwani Khumalo</w:t>
      </w:r>
    </w:p>
    <w:p w14:paraId="74E3BD9D" w14:textId="77777777" w:rsidR="00193B7B" w:rsidRDefault="00193B7B"/>
    <w:p w14:paraId="4F86C84A" w14:textId="77777777" w:rsidR="00193B7B" w:rsidRDefault="00193B7B"/>
    <w:p w14:paraId="2B20E0F1" w14:textId="77777777" w:rsidR="00193B7B" w:rsidRDefault="00193B7B"/>
    <w:p w14:paraId="7F2A7DC1" w14:textId="77777777" w:rsidR="00193B7B" w:rsidRDefault="00193B7B"/>
    <w:p w14:paraId="29EB9E20" w14:textId="2040D29D" w:rsidR="00193B7B" w:rsidRPr="00013C5D" w:rsidRDefault="00013C5D">
      <w:pPr>
        <w:rPr>
          <w:rFonts w:ascii="Arial" w:hAnsi="Arial" w:cs="Arial"/>
          <w:sz w:val="72"/>
          <w:szCs w:val="72"/>
        </w:rPr>
      </w:pPr>
      <w:r w:rsidRPr="00013C5D">
        <w:rPr>
          <w:rFonts w:ascii="Arial" w:hAnsi="Arial" w:cs="Arial"/>
          <w:sz w:val="72"/>
          <w:szCs w:val="72"/>
        </w:rPr>
        <w:t xml:space="preserve">             Portfolio</w:t>
      </w:r>
    </w:p>
    <w:p w14:paraId="4EB34584" w14:textId="77777777" w:rsidR="00193B7B" w:rsidRDefault="00193B7B"/>
    <w:p w14:paraId="6BB25D88" w14:textId="77777777" w:rsidR="00193B7B" w:rsidRDefault="00193B7B"/>
    <w:p w14:paraId="2BC5CB1A" w14:textId="17989981" w:rsidR="00E14D80" w:rsidRPr="00E14D80" w:rsidRDefault="00193B7B" w:rsidP="00193B7B">
      <w:pPr>
        <w:rPr>
          <w:rFonts w:ascii="Arial Nova" w:eastAsia="Arial Nova" w:hAnsi="Arial Nova" w:cs="Arial Nova"/>
          <w:sz w:val="44"/>
          <w:szCs w:val="44"/>
        </w:rPr>
      </w:pPr>
      <w:r w:rsidRPr="021F216E">
        <w:rPr>
          <w:rFonts w:ascii="Arial Nova" w:eastAsia="Arial Nova" w:hAnsi="Arial Nova" w:cs="Arial Nova"/>
          <w:sz w:val="44"/>
          <w:szCs w:val="44"/>
        </w:rPr>
        <w:lastRenderedPageBreak/>
        <w:t>Task 1 – Concept</w:t>
      </w:r>
      <w:r w:rsidR="00FE4B32">
        <w:rPr>
          <w:rFonts w:ascii="Arial Nova" w:eastAsia="Arial Nova" w:hAnsi="Arial Nova" w:cs="Arial Nova"/>
          <w:sz w:val="44"/>
          <w:szCs w:val="44"/>
        </w:rPr>
        <w:t xml:space="preserve"> Creativity</w:t>
      </w:r>
      <w:r w:rsidRPr="021F216E">
        <w:rPr>
          <w:rFonts w:ascii="Arial Nova" w:eastAsia="Arial Nova" w:hAnsi="Arial Nova" w:cs="Arial Nova"/>
          <w:sz w:val="44"/>
          <w:szCs w:val="44"/>
        </w:rPr>
        <w:t xml:space="preserve"> Map</w:t>
      </w:r>
    </w:p>
    <w:p w14:paraId="638F2D5A" w14:textId="77777777" w:rsidR="00193B7B" w:rsidRDefault="00193B7B" w:rsidP="00193B7B">
      <w:pPr>
        <w:rPr>
          <w:noProof/>
        </w:rPr>
      </w:pPr>
    </w:p>
    <w:p w14:paraId="06CBCC63" w14:textId="77777777" w:rsidR="00193B7B" w:rsidRDefault="00193B7B" w:rsidP="00193B7B">
      <w:pPr>
        <w:jc w:val="both"/>
        <w:rPr>
          <w:noProof/>
        </w:rPr>
      </w:pPr>
      <w:r w:rsidRPr="002433E9">
        <w:rPr>
          <w:rFonts w:ascii="Arial" w:hAnsi="Arial" w:cs="Arial"/>
          <w:noProof/>
        </w:rPr>
        <w:drawing>
          <wp:inline distT="0" distB="0" distL="0" distR="0" wp14:anchorId="23070E9C" wp14:editId="247EA391">
            <wp:extent cx="6797040" cy="5867400"/>
            <wp:effectExtent l="0" t="0" r="3810" b="0"/>
            <wp:docPr id="16516306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630650" name=""/>
                    <pic:cNvPicPr/>
                  </pic:nvPicPr>
                  <pic:blipFill>
                    <a:blip r:embed="rId7">
                      <a:extLst>
                        <a:ext uri="{96DAC541-7B7A-43D3-8B79-37D633B846F1}">
                          <asvg:svgBlip xmlns:asvg="http://schemas.microsoft.com/office/drawing/2016/SVG/main" r:embed="rId8"/>
                        </a:ext>
                      </a:extLst>
                    </a:blip>
                    <a:stretch>
                      <a:fillRect/>
                    </a:stretch>
                  </pic:blipFill>
                  <pic:spPr>
                    <a:xfrm>
                      <a:off x="0" y="0"/>
                      <a:ext cx="6797040" cy="5867400"/>
                    </a:xfrm>
                    <a:prstGeom prst="rect">
                      <a:avLst/>
                    </a:prstGeom>
                  </pic:spPr>
                </pic:pic>
              </a:graphicData>
            </a:graphic>
          </wp:inline>
        </w:drawing>
      </w:r>
    </w:p>
    <w:p w14:paraId="02447058" w14:textId="77777777" w:rsidR="00BC48D1" w:rsidRPr="00BC48D1" w:rsidRDefault="00BC48D1" w:rsidP="00BC48D1">
      <w:pPr>
        <w:spacing w:line="360" w:lineRule="auto"/>
        <w:jc w:val="both"/>
        <w:rPr>
          <w:rFonts w:ascii="Arial" w:eastAsia="Arial Nova" w:hAnsi="Arial" w:cs="Arial"/>
          <w:color w:val="000000" w:themeColor="text1"/>
        </w:rPr>
      </w:pPr>
      <w:r w:rsidRPr="00BC48D1">
        <w:rPr>
          <w:rFonts w:ascii="Arial" w:eastAsia="Arial Nova" w:hAnsi="Arial" w:cs="Arial"/>
          <w:color w:val="000000" w:themeColor="text1"/>
        </w:rPr>
        <w:t xml:space="preserve">This concept map illustrates the interrelationship between creativity, value creation, and health and social care improvement. Creativity acts as a key driver of innovation, enabling practitioners to generate meaningful ideas that enhance care quality, patient experience, and system efficiency (Boden, 1994, cited in Carlile and Jordan, 2012; Brewster et al., 2021). The COVID-19 pandemic highlighted this role, as creative thinking supported rapid adaptation in care delivery through telehealth, flexible teams, and innovative resource use (Greenhalgh et al., 2020). Creativity also contributes to wellbeing, with creative activities strengthening mental health, emotional resilience, and social connection among service users and practitioners </w:t>
      </w:r>
      <w:r w:rsidRPr="00BC48D1">
        <w:rPr>
          <w:rFonts w:ascii="Arial" w:eastAsia="Arial Nova" w:hAnsi="Arial" w:cs="Arial"/>
          <w:color w:val="000000" w:themeColor="text1"/>
        </w:rPr>
        <w:lastRenderedPageBreak/>
        <w:t>(Coulton et al., 2015; Zuber, 2018). A creative workplace encourages collaboration, fresh perspectives, and reduced stress, supporting staff morale (Paul et al., 2024).</w:t>
      </w:r>
    </w:p>
    <w:p w14:paraId="16969F23" w14:textId="77777777" w:rsidR="00BC48D1" w:rsidRPr="00BC48D1" w:rsidRDefault="00BC48D1" w:rsidP="00BC48D1">
      <w:pPr>
        <w:spacing w:line="360" w:lineRule="auto"/>
        <w:jc w:val="both"/>
        <w:rPr>
          <w:rFonts w:ascii="Arial" w:eastAsia="Arial Nova" w:hAnsi="Arial" w:cs="Arial"/>
          <w:color w:val="000000" w:themeColor="text1"/>
        </w:rPr>
      </w:pPr>
      <w:r w:rsidRPr="00BC48D1">
        <w:rPr>
          <w:rFonts w:ascii="Arial" w:eastAsia="Arial Nova" w:hAnsi="Arial" w:cs="Arial"/>
          <w:color w:val="000000" w:themeColor="text1"/>
        </w:rPr>
        <w:t>Motivation underpins creativity and may be intrinsic—driven by autonomy, mastery, and purpose—or extrinsic, influenced by rewards and recognition (Ryan and Deci, 2000; Pink, 2009). Intrinsic motivation is particularly effective in sustaining professional engagement and innovation, supporting meaningful contribution to care (Healey, 2014). Motivated practitioners apply creative problem-solving approaches, such as the Osborn–Parnes model, to turn ideas into evidence-based interventions (Osborn and Parnes, 1967).</w:t>
      </w:r>
    </w:p>
    <w:p w14:paraId="2B63B9EA" w14:textId="77777777" w:rsidR="00BC48D1" w:rsidRDefault="00BC48D1" w:rsidP="00BC48D1">
      <w:pPr>
        <w:spacing w:line="360" w:lineRule="auto"/>
        <w:jc w:val="both"/>
        <w:rPr>
          <w:rFonts w:ascii="Arial" w:eastAsia="Arial Nova" w:hAnsi="Arial" w:cs="Arial"/>
          <w:color w:val="000000" w:themeColor="text1"/>
        </w:rPr>
      </w:pPr>
      <w:r w:rsidRPr="00BC48D1">
        <w:rPr>
          <w:rFonts w:ascii="Arial" w:eastAsia="Arial Nova" w:hAnsi="Arial" w:cs="Arial"/>
          <w:color w:val="000000" w:themeColor="text1"/>
        </w:rPr>
        <w:t>Together, these factors enable value creation across person-centred, equity, and efficiency dimensions (Porter, 2010; Roth et al., 2024), ultimately improving care quality, sustainability, and wellbeing.</w:t>
      </w:r>
    </w:p>
    <w:p w14:paraId="477D5BD8" w14:textId="77777777" w:rsidR="00110325" w:rsidRDefault="00110325" w:rsidP="00BC48D1">
      <w:pPr>
        <w:spacing w:line="360" w:lineRule="auto"/>
        <w:jc w:val="both"/>
        <w:rPr>
          <w:rFonts w:ascii="Arial" w:eastAsia="Arial Nova" w:hAnsi="Arial" w:cs="Arial"/>
          <w:color w:val="000000" w:themeColor="text1"/>
        </w:rPr>
      </w:pPr>
    </w:p>
    <w:p w14:paraId="65CFE387" w14:textId="77777777" w:rsidR="00110325" w:rsidRPr="00BC48D1" w:rsidRDefault="00110325" w:rsidP="00110325">
      <w:pPr>
        <w:spacing w:line="360" w:lineRule="auto"/>
        <w:jc w:val="both"/>
        <w:rPr>
          <w:rFonts w:ascii="Arial" w:eastAsia="Arial Nova" w:hAnsi="Arial" w:cs="Arial"/>
          <w:color w:val="000000" w:themeColor="text1"/>
        </w:rPr>
      </w:pPr>
    </w:p>
    <w:p w14:paraId="36BEB1D1" w14:textId="77777777" w:rsidR="00193B7B" w:rsidRPr="00A35BFA" w:rsidRDefault="00193B7B" w:rsidP="00193B7B">
      <w:pPr>
        <w:spacing w:line="360" w:lineRule="auto"/>
        <w:jc w:val="both"/>
        <w:rPr>
          <w:rFonts w:ascii="Arial" w:eastAsia="Arial Nova" w:hAnsi="Arial" w:cs="Arial"/>
          <w:color w:val="000000" w:themeColor="text1"/>
        </w:rPr>
      </w:pPr>
    </w:p>
    <w:p w14:paraId="76F16AB8" w14:textId="14FE70C2" w:rsidR="00193B7B" w:rsidRPr="00F57E9A" w:rsidRDefault="00193B7B" w:rsidP="00193B7B">
      <w:pPr>
        <w:rPr>
          <w:rFonts w:ascii="Arial" w:eastAsia="Arial Nova" w:hAnsi="Arial" w:cs="Arial"/>
          <w:color w:val="000000" w:themeColor="text1"/>
          <w:sz w:val="32"/>
          <w:szCs w:val="32"/>
        </w:rPr>
      </w:pPr>
      <w:r w:rsidRPr="00F57E9A">
        <w:rPr>
          <w:rFonts w:ascii="Arial" w:eastAsia="Arial Nova" w:hAnsi="Arial" w:cs="Arial"/>
          <w:color w:val="000000" w:themeColor="text1"/>
          <w:sz w:val="32"/>
          <w:szCs w:val="32"/>
        </w:rPr>
        <w:t xml:space="preserve">Task 2 </w:t>
      </w:r>
      <w:r w:rsidR="005D4B2A">
        <w:rPr>
          <w:rFonts w:ascii="Arial" w:eastAsia="Arial Nova" w:hAnsi="Arial" w:cs="Arial"/>
          <w:color w:val="000000" w:themeColor="text1"/>
          <w:sz w:val="32"/>
          <w:szCs w:val="32"/>
        </w:rPr>
        <w:t xml:space="preserve">–  </w:t>
      </w:r>
      <w:r w:rsidRPr="00F57E9A">
        <w:rPr>
          <w:rFonts w:ascii="Arial" w:eastAsia="Arial Nova" w:hAnsi="Arial" w:cs="Arial"/>
          <w:color w:val="000000" w:themeColor="text1"/>
          <w:sz w:val="32"/>
          <w:szCs w:val="32"/>
        </w:rPr>
        <w:t xml:space="preserve"> Self-Reflection of Group Activity</w:t>
      </w:r>
      <w:r w:rsidR="005D4B2A">
        <w:rPr>
          <w:rFonts w:ascii="Arial" w:eastAsia="Arial Nova" w:hAnsi="Arial" w:cs="Arial"/>
          <w:color w:val="000000" w:themeColor="text1"/>
          <w:sz w:val="32"/>
          <w:szCs w:val="32"/>
        </w:rPr>
        <w:t>, week 2</w:t>
      </w:r>
    </w:p>
    <w:p w14:paraId="0372111A" w14:textId="6B65EDA8" w:rsidR="001A4A3F" w:rsidRPr="001A4A3F" w:rsidRDefault="00F57E9A" w:rsidP="00013C5D">
      <w:pPr>
        <w:spacing w:line="360" w:lineRule="auto"/>
        <w:rPr>
          <w:rFonts w:ascii="Arial" w:eastAsia="Arial Nova" w:hAnsi="Arial" w:cs="Arial"/>
          <w:color w:val="000000" w:themeColor="text1"/>
        </w:rPr>
      </w:pPr>
      <w:r w:rsidRPr="00013C5D">
        <w:rPr>
          <w:rFonts w:ascii="Arial" w:eastAsia="Arial Nova" w:hAnsi="Arial" w:cs="Arial"/>
          <w:color w:val="000000" w:themeColor="text1"/>
        </w:rPr>
        <w:t>Introduction:</w:t>
      </w:r>
      <w:r w:rsidR="00FC2A50" w:rsidRPr="00013C5D">
        <w:rPr>
          <w:rFonts w:ascii="Arial" w:eastAsia="Arial Nova" w:hAnsi="Arial" w:cs="Arial"/>
          <w:color w:val="000000" w:themeColor="text1"/>
        </w:rPr>
        <w:t xml:space="preserve"> </w:t>
      </w:r>
      <w:r w:rsidR="001A4A3F" w:rsidRPr="001A4A3F">
        <w:rPr>
          <w:rFonts w:ascii="Arial" w:eastAsia="Arial Nova" w:hAnsi="Arial" w:cs="Arial"/>
          <w:color w:val="000000" w:themeColor="text1"/>
        </w:rPr>
        <w:t>Using Gibbs’ Reflective Cycle (1988), this reflection explores my experience in a collaborative Week 2 task where our group was challenged to use ten paperclips to design an innovative object, developing our divergent and convergent thinking skills.</w:t>
      </w:r>
    </w:p>
    <w:p w14:paraId="25532E7A" w14:textId="04976C1B" w:rsidR="001A4A3F" w:rsidRPr="00013C5D" w:rsidRDefault="001A4A3F" w:rsidP="00013C5D">
      <w:pPr>
        <w:spacing w:line="360" w:lineRule="auto"/>
        <w:jc w:val="both"/>
        <w:rPr>
          <w:rFonts w:ascii="Arial" w:eastAsia="Arial Nova" w:hAnsi="Arial" w:cs="Arial"/>
          <w:color w:val="000000" w:themeColor="text1"/>
        </w:rPr>
      </w:pPr>
      <w:r w:rsidRPr="001A4A3F">
        <w:rPr>
          <w:rFonts w:ascii="Arial" w:eastAsia="Arial Nova" w:hAnsi="Arial" w:cs="Arial"/>
          <w:color w:val="000000" w:themeColor="text1"/>
        </w:rPr>
        <w:t>Description:</w:t>
      </w:r>
      <w:r w:rsidR="00FC2A50" w:rsidRPr="00013C5D">
        <w:rPr>
          <w:rFonts w:ascii="Arial" w:eastAsia="Arial Nova" w:hAnsi="Arial" w:cs="Arial"/>
          <w:color w:val="000000" w:themeColor="text1"/>
        </w:rPr>
        <w:t xml:space="preserve"> </w:t>
      </w:r>
      <w:r w:rsidRPr="001A4A3F">
        <w:rPr>
          <w:rFonts w:ascii="Arial" w:eastAsia="Arial Nova" w:hAnsi="Arial" w:cs="Arial"/>
          <w:color w:val="000000" w:themeColor="text1"/>
        </w:rPr>
        <w:t>We began by brainstorming freely to generate as many creative ideas as possible before refining and selecting one concept. Eventually, we decided to create a DNA helix model symbolising a medical clinic researching cancer cures.</w:t>
      </w:r>
    </w:p>
    <w:p w14:paraId="40418666" w14:textId="653E1BAA" w:rsidR="000A6BFC" w:rsidRPr="000A6BFC" w:rsidRDefault="000A6BFC" w:rsidP="00013C5D">
      <w:pPr>
        <w:spacing w:line="360" w:lineRule="auto"/>
        <w:jc w:val="both"/>
        <w:rPr>
          <w:rFonts w:ascii="Arial" w:eastAsia="Arial Nova" w:hAnsi="Arial" w:cs="Arial"/>
          <w:color w:val="000000" w:themeColor="text1"/>
        </w:rPr>
      </w:pPr>
      <w:r w:rsidRPr="000A6BFC">
        <w:rPr>
          <w:rFonts w:ascii="Arial" w:eastAsia="Arial Nova" w:hAnsi="Arial" w:cs="Arial"/>
          <w:color w:val="000000" w:themeColor="text1"/>
        </w:rPr>
        <w:t>Feelings:</w:t>
      </w:r>
      <w:r w:rsidR="00FC2A50" w:rsidRPr="00013C5D">
        <w:rPr>
          <w:rFonts w:ascii="Arial" w:eastAsia="Arial Nova" w:hAnsi="Arial" w:cs="Arial"/>
          <w:color w:val="000000" w:themeColor="text1"/>
        </w:rPr>
        <w:t xml:space="preserve"> </w:t>
      </w:r>
      <w:r w:rsidRPr="000A6BFC">
        <w:rPr>
          <w:rFonts w:ascii="Arial" w:eastAsia="Arial Nova" w:hAnsi="Arial" w:cs="Arial"/>
          <w:color w:val="000000" w:themeColor="text1"/>
        </w:rPr>
        <w:t xml:space="preserve">At first, I felt hesitant to share my ideas, worrying they might appear </w:t>
      </w:r>
      <w:r w:rsidR="006F78F6" w:rsidRPr="00013C5D">
        <w:rPr>
          <w:rFonts w:ascii="Arial" w:eastAsia="Arial Nova" w:hAnsi="Arial" w:cs="Arial"/>
          <w:color w:val="000000" w:themeColor="text1"/>
        </w:rPr>
        <w:t>simple</w:t>
      </w:r>
      <w:r w:rsidRPr="000A6BFC">
        <w:rPr>
          <w:rFonts w:ascii="Arial" w:eastAsia="Arial Nova" w:hAnsi="Arial" w:cs="Arial"/>
          <w:color w:val="000000" w:themeColor="text1"/>
        </w:rPr>
        <w:t>. This hesitation made me aware of how self-doubt can limit creative contribution. As the group encouraged open discussion, my confidence increased, and I became inspired by the originality of others. The positive, supportive atmosphere demonstrated how psychological safety and encouragement stimulate collaboration and creativity.</w:t>
      </w:r>
    </w:p>
    <w:p w14:paraId="2CCDD6F7" w14:textId="290ACB9B" w:rsidR="000A6BFC" w:rsidRPr="000A6BFC" w:rsidRDefault="000A6BFC" w:rsidP="00013C5D">
      <w:pPr>
        <w:spacing w:line="360" w:lineRule="auto"/>
        <w:jc w:val="both"/>
        <w:rPr>
          <w:rFonts w:ascii="Arial" w:eastAsia="Arial Nova" w:hAnsi="Arial" w:cs="Arial"/>
          <w:color w:val="000000" w:themeColor="text1"/>
        </w:rPr>
      </w:pPr>
      <w:r w:rsidRPr="000A6BFC">
        <w:rPr>
          <w:rFonts w:ascii="Arial" w:eastAsia="Arial Nova" w:hAnsi="Arial" w:cs="Arial"/>
          <w:color w:val="000000" w:themeColor="text1"/>
        </w:rPr>
        <w:t>Evaluation:</w:t>
      </w:r>
      <w:r w:rsidR="00FC2A50" w:rsidRPr="00013C5D">
        <w:rPr>
          <w:rFonts w:ascii="Arial" w:eastAsia="Arial Nova" w:hAnsi="Arial" w:cs="Arial"/>
          <w:color w:val="000000" w:themeColor="text1"/>
        </w:rPr>
        <w:t xml:space="preserve"> </w:t>
      </w:r>
      <w:r w:rsidRPr="000A6BFC">
        <w:rPr>
          <w:rFonts w:ascii="Arial" w:eastAsia="Arial Nova" w:hAnsi="Arial" w:cs="Arial"/>
          <w:color w:val="000000" w:themeColor="text1"/>
        </w:rPr>
        <w:t xml:space="preserve">The activity showed that group brainstorming amplifies creativity through diverse perspectives, though limited time prevented deeper exploration of all ideas. I realised that divergent thinking fosters breadth of ideas, while convergent thinking narrows them into realistic outcomes (Rawlings et al., 2025). Our collaboration reflected Pick et al.’s (2024) findings on neural synchronisation, as collective focus improved idea quality. Moreover, </w:t>
      </w:r>
      <w:r w:rsidRPr="000A6BFC">
        <w:rPr>
          <w:rFonts w:ascii="Arial" w:eastAsia="Arial Nova" w:hAnsi="Arial" w:cs="Arial"/>
          <w:color w:val="000000" w:themeColor="text1"/>
        </w:rPr>
        <w:lastRenderedPageBreak/>
        <w:t>metacognitive awareness—recognising when to generate or evaluate ideas—proved crucial for effective creative thinking (Jiang et al., 2023).</w:t>
      </w:r>
    </w:p>
    <w:p w14:paraId="6FBC8863" w14:textId="053C9AA0" w:rsidR="000A6BFC" w:rsidRPr="000A6BFC" w:rsidRDefault="000A6BFC" w:rsidP="00013C5D">
      <w:pPr>
        <w:spacing w:line="360" w:lineRule="auto"/>
        <w:jc w:val="both"/>
        <w:rPr>
          <w:rFonts w:ascii="Arial" w:eastAsia="Arial Nova" w:hAnsi="Arial" w:cs="Arial"/>
          <w:color w:val="000000" w:themeColor="text1"/>
        </w:rPr>
      </w:pPr>
      <w:r w:rsidRPr="000A6BFC">
        <w:rPr>
          <w:rFonts w:ascii="Arial" w:eastAsia="Arial Nova" w:hAnsi="Arial" w:cs="Arial"/>
          <w:color w:val="000000" w:themeColor="text1"/>
        </w:rPr>
        <w:t>Analysis, Conclusion &amp; Action Plan:</w:t>
      </w:r>
      <w:r w:rsidR="00FC2A50" w:rsidRPr="00013C5D">
        <w:rPr>
          <w:rFonts w:ascii="Arial" w:eastAsia="Arial Nova" w:hAnsi="Arial" w:cs="Arial"/>
          <w:color w:val="000000" w:themeColor="text1"/>
        </w:rPr>
        <w:t xml:space="preserve"> </w:t>
      </w:r>
      <w:r w:rsidRPr="000A6BFC">
        <w:rPr>
          <w:rFonts w:ascii="Arial" w:eastAsia="Arial Nova" w:hAnsi="Arial" w:cs="Arial"/>
          <w:color w:val="000000" w:themeColor="text1"/>
        </w:rPr>
        <w:t>Gibbs’ model highlighted how balancing emotional openness and cognitive regulation enhances teamwork. In future projects, I will contribute ideas early, use reflective journaling to assess my thinking patterns, and advocate inclusive idea-sharing stages. Strengthening metacognitive control will help me adapt confidently and collaborate more creatively.</w:t>
      </w:r>
    </w:p>
    <w:p w14:paraId="48F4EBBB" w14:textId="77777777" w:rsidR="00516B2F" w:rsidRDefault="00516B2F" w:rsidP="00193B7B">
      <w:pPr>
        <w:spacing w:line="360" w:lineRule="auto"/>
        <w:jc w:val="both"/>
        <w:rPr>
          <w:rFonts w:ascii="Arial" w:eastAsia="Arial Nova" w:hAnsi="Arial" w:cs="Arial"/>
          <w:color w:val="000000" w:themeColor="text1"/>
        </w:rPr>
      </w:pPr>
    </w:p>
    <w:p w14:paraId="56F890B2" w14:textId="18D3E3FE" w:rsidR="00740BDD" w:rsidRDefault="00193B7B" w:rsidP="00193B7B">
      <w:pPr>
        <w:rPr>
          <w:rFonts w:ascii="Arial" w:eastAsia="Arial Nova" w:hAnsi="Arial" w:cs="Arial"/>
          <w:color w:val="000000" w:themeColor="text1"/>
          <w:sz w:val="32"/>
          <w:szCs w:val="32"/>
        </w:rPr>
      </w:pPr>
      <w:r w:rsidRPr="00F57E9A">
        <w:rPr>
          <w:rFonts w:ascii="Arial" w:eastAsia="Arial Nova" w:hAnsi="Arial" w:cs="Arial"/>
          <w:color w:val="000000" w:themeColor="text1"/>
          <w:sz w:val="32"/>
          <w:szCs w:val="32"/>
        </w:rPr>
        <w:t>Task 3 - Case Study of a UK innovation</w:t>
      </w:r>
    </w:p>
    <w:p w14:paraId="7E6AC696" w14:textId="77777777" w:rsidR="00740BDD" w:rsidRPr="00F57E9A" w:rsidRDefault="00740BDD" w:rsidP="00193B7B">
      <w:pPr>
        <w:rPr>
          <w:rFonts w:ascii="Arial" w:eastAsia="Arial Nova" w:hAnsi="Arial" w:cs="Arial"/>
          <w:color w:val="000000" w:themeColor="text1"/>
          <w:sz w:val="32"/>
          <w:szCs w:val="32"/>
        </w:rPr>
      </w:pPr>
    </w:p>
    <w:p w14:paraId="24440EF3" w14:textId="0C87272B" w:rsidR="00246955" w:rsidRPr="00246955" w:rsidRDefault="00246955" w:rsidP="00246955">
      <w:pPr>
        <w:spacing w:line="360" w:lineRule="auto"/>
        <w:jc w:val="both"/>
        <w:rPr>
          <w:rFonts w:ascii="Arial" w:eastAsia="Arial Nova" w:hAnsi="Arial" w:cs="Arial"/>
          <w:color w:val="000000" w:themeColor="text1"/>
        </w:rPr>
      </w:pPr>
      <w:r w:rsidRPr="00246955">
        <w:rPr>
          <w:rFonts w:ascii="Arial" w:eastAsia="Arial Nova" w:hAnsi="Arial" w:cs="Arial"/>
          <w:color w:val="000000" w:themeColor="text1"/>
        </w:rPr>
        <w:t>The NHS at Home initiative is a leading example of creative healthcare innovation in the UK. Designed to improve continuity of care and reduce hospital burden, it enables patients—particularly those with chronic or post-acute conditions—to be remotely monitored in their own homes using digital technologies (Care Quality Commission, 2021). The programme aligns with the NHS Long Term Plan (NHS England, 2019) and the Health and Social Care Act 2012, supporting a shift towards integrated, personalised, and community-based care.</w:t>
      </w:r>
    </w:p>
    <w:p w14:paraId="17E1F407" w14:textId="77777777" w:rsidR="00246955" w:rsidRDefault="00246955" w:rsidP="00246955">
      <w:pPr>
        <w:spacing w:line="360" w:lineRule="auto"/>
        <w:jc w:val="both"/>
        <w:rPr>
          <w:rFonts w:ascii="Arial" w:eastAsia="Arial Nova" w:hAnsi="Arial" w:cs="Arial"/>
          <w:color w:val="000000" w:themeColor="text1"/>
        </w:rPr>
      </w:pPr>
      <w:r w:rsidRPr="00246955">
        <w:rPr>
          <w:rFonts w:ascii="Arial" w:eastAsia="Arial Nova" w:hAnsi="Arial" w:cs="Arial"/>
          <w:color w:val="000000" w:themeColor="text1"/>
        </w:rPr>
        <w:t>Creativity and Innovation in Practice</w:t>
      </w:r>
    </w:p>
    <w:p w14:paraId="61FE3553" w14:textId="525B7B78" w:rsidR="00246955" w:rsidRPr="00246955" w:rsidRDefault="00246955" w:rsidP="00246955">
      <w:pPr>
        <w:spacing w:line="360" w:lineRule="auto"/>
        <w:jc w:val="both"/>
        <w:rPr>
          <w:rFonts w:ascii="Arial" w:eastAsia="Arial Nova" w:hAnsi="Arial" w:cs="Arial"/>
          <w:color w:val="000000" w:themeColor="text1"/>
        </w:rPr>
      </w:pPr>
      <w:r w:rsidRPr="00246955">
        <w:rPr>
          <w:rFonts w:ascii="Arial" w:eastAsia="Arial Nova" w:hAnsi="Arial" w:cs="Arial"/>
          <w:color w:val="000000" w:themeColor="text1"/>
        </w:rPr>
        <w:t>Creativity was central to transforming traditional care pathways. The initiative applied digital tools such as wearable sensors, patient apps, and home-monitoring devices that securely transmit physiological data to clinical teams in real time (Imperial College Healthcare NHS Trust, 2024). Importantly, creativity extended beyond technology design: co-production sessions involved clinicians, digital specialists, and patients, ensuring accessibility for older adults and those with limited digital literacy. This collaborative approach reflected the Care Act 2014’s emphasis on person-centred and equitable support. The model re-imagined clinical roles, demonstrating that technology can enhance compassion rather than replace human care.</w:t>
      </w:r>
    </w:p>
    <w:p w14:paraId="115CB98F" w14:textId="77777777" w:rsidR="00246955" w:rsidRDefault="00246955" w:rsidP="00246955">
      <w:pPr>
        <w:spacing w:line="360" w:lineRule="auto"/>
        <w:jc w:val="both"/>
        <w:rPr>
          <w:rFonts w:ascii="Arial" w:eastAsia="Arial Nova" w:hAnsi="Arial" w:cs="Arial"/>
          <w:color w:val="000000" w:themeColor="text1"/>
        </w:rPr>
      </w:pPr>
      <w:r w:rsidRPr="00246955">
        <w:rPr>
          <w:rFonts w:ascii="Arial" w:eastAsia="Arial Nova" w:hAnsi="Arial" w:cs="Arial"/>
          <w:color w:val="000000" w:themeColor="text1"/>
        </w:rPr>
        <w:t>Cultural and Professional Change</w:t>
      </w:r>
    </w:p>
    <w:p w14:paraId="7050A211" w14:textId="2D47651D" w:rsidR="00246955" w:rsidRPr="00246955" w:rsidRDefault="00246955" w:rsidP="00246955">
      <w:pPr>
        <w:spacing w:line="360" w:lineRule="auto"/>
        <w:jc w:val="both"/>
        <w:rPr>
          <w:rFonts w:ascii="Arial" w:eastAsia="Arial Nova" w:hAnsi="Arial" w:cs="Arial"/>
          <w:color w:val="000000" w:themeColor="text1"/>
        </w:rPr>
      </w:pPr>
      <w:r w:rsidRPr="00246955">
        <w:rPr>
          <w:rFonts w:ascii="Arial" w:eastAsia="Arial Nova" w:hAnsi="Arial" w:cs="Arial"/>
          <w:color w:val="000000" w:themeColor="text1"/>
        </w:rPr>
        <w:t>NHS at Home required cultural adaptation in practice. Patients gained greater confidence, autonomy, and reassurance through active involvement in monitoring their own health. Nursing and allied health professionals adopted digital triage and remote-care coordination roles, supporting the collaborative vision of the Health and Care Act 2022 (UK Government, 2022; Vats, 2024). This represented creativity not only in service design, but in reshaping professional identity, communication, and patient relationships.</w:t>
      </w:r>
    </w:p>
    <w:p w14:paraId="724BC36E" w14:textId="77777777" w:rsidR="00740BDD" w:rsidRDefault="00246955" w:rsidP="00246955">
      <w:pPr>
        <w:spacing w:line="360" w:lineRule="auto"/>
        <w:jc w:val="both"/>
        <w:rPr>
          <w:rFonts w:ascii="Arial" w:eastAsia="Arial Nova" w:hAnsi="Arial" w:cs="Arial"/>
          <w:color w:val="000000" w:themeColor="text1"/>
        </w:rPr>
      </w:pPr>
      <w:r w:rsidRPr="00246955">
        <w:rPr>
          <w:rFonts w:ascii="Arial" w:eastAsia="Arial Nova" w:hAnsi="Arial" w:cs="Arial"/>
          <w:color w:val="000000" w:themeColor="text1"/>
        </w:rPr>
        <w:lastRenderedPageBreak/>
        <w:t>Value Creation and Impact</w:t>
      </w:r>
    </w:p>
    <w:p w14:paraId="60665C1C" w14:textId="7BE0989D" w:rsidR="00246955" w:rsidRPr="00246955" w:rsidRDefault="00246955" w:rsidP="00246955">
      <w:pPr>
        <w:spacing w:line="360" w:lineRule="auto"/>
        <w:jc w:val="both"/>
        <w:rPr>
          <w:rFonts w:ascii="Arial" w:eastAsia="Arial Nova" w:hAnsi="Arial" w:cs="Arial"/>
          <w:color w:val="000000" w:themeColor="text1"/>
        </w:rPr>
      </w:pPr>
      <w:r w:rsidRPr="00246955">
        <w:rPr>
          <w:rFonts w:ascii="Arial" w:eastAsia="Arial Nova" w:hAnsi="Arial" w:cs="Arial"/>
          <w:color w:val="000000" w:themeColor="text1"/>
        </w:rPr>
        <w:t>Early evaluation shows reduced readmissions for cardiac patients, faster intervention for deteriorating conditions, and increased patient satisfaction (Imperial College Healthcare NHS Trust, 2024). For patients, benefits include empowerment, convenience, and enhanced safety. For the NHS, the initiative has created value through efficiency gains, workforce flexibility, and improved resource use. The programme adheres to the Data Protection Act 2018, ensuring ethical and secure handling of patient data. However, digital exclusion remains a barrier, indicating ongoing need for digital support and inclusive design (MIND, 2021).</w:t>
      </w:r>
    </w:p>
    <w:p w14:paraId="51E89AC7" w14:textId="13DE4D42" w:rsidR="00246955" w:rsidRPr="00246955" w:rsidRDefault="005D4B2A" w:rsidP="00246955">
      <w:pPr>
        <w:spacing w:line="360" w:lineRule="auto"/>
        <w:jc w:val="both"/>
        <w:rPr>
          <w:rFonts w:ascii="Arial" w:eastAsia="Arial Nova" w:hAnsi="Arial" w:cs="Arial"/>
          <w:color w:val="000000" w:themeColor="text1"/>
        </w:rPr>
      </w:pPr>
      <w:r>
        <w:rPr>
          <w:rFonts w:ascii="Arial" w:eastAsia="Arial Nova" w:hAnsi="Arial" w:cs="Arial"/>
          <w:color w:val="000000" w:themeColor="text1"/>
        </w:rPr>
        <w:t xml:space="preserve">In conclusion, </w:t>
      </w:r>
      <w:r w:rsidR="00246955" w:rsidRPr="00246955">
        <w:rPr>
          <w:rFonts w:ascii="Arial" w:eastAsia="Arial Nova" w:hAnsi="Arial" w:cs="Arial"/>
          <w:color w:val="000000" w:themeColor="text1"/>
        </w:rPr>
        <w:t>NHS at Home demonstrates how creative thinking, co-design, and policy alignment can transform care delivery. By blending technology with person-centred practice and professional innovation, it generates measurable value for patients and providers while promoting sustainable, equitable healthcare across the UK.</w:t>
      </w:r>
    </w:p>
    <w:p w14:paraId="1BBECEA6" w14:textId="77777777" w:rsidR="00BC605D" w:rsidRDefault="00BC605D" w:rsidP="00193B7B">
      <w:pPr>
        <w:rPr>
          <w:rFonts w:ascii="Arial" w:eastAsia="Arial Nova" w:hAnsi="Arial" w:cs="Arial"/>
          <w:color w:val="000000" w:themeColor="text1"/>
        </w:rPr>
      </w:pPr>
    </w:p>
    <w:p w14:paraId="7F16A9EE" w14:textId="0ACDFF10" w:rsidR="00193B7B" w:rsidRPr="00F57E9A" w:rsidRDefault="00193B7B" w:rsidP="00193B7B">
      <w:pPr>
        <w:rPr>
          <w:rFonts w:ascii="Arial" w:eastAsia="Arial Nova" w:hAnsi="Arial" w:cs="Arial"/>
          <w:color w:val="000000" w:themeColor="text1"/>
          <w:sz w:val="28"/>
          <w:szCs w:val="28"/>
        </w:rPr>
      </w:pPr>
      <w:r w:rsidRPr="00F57E9A">
        <w:rPr>
          <w:rFonts w:ascii="Arial" w:eastAsia="Arial Nova" w:hAnsi="Arial" w:cs="Arial"/>
          <w:color w:val="000000" w:themeColor="text1"/>
          <w:sz w:val="28"/>
          <w:szCs w:val="28"/>
        </w:rPr>
        <w:t>Task 4 - Research Task</w:t>
      </w:r>
    </w:p>
    <w:p w14:paraId="185C1327" w14:textId="1BFABFED" w:rsidR="004804E2" w:rsidRDefault="004804E2" w:rsidP="004804E2">
      <w:pPr>
        <w:spacing w:line="360" w:lineRule="auto"/>
        <w:jc w:val="both"/>
        <w:rPr>
          <w:rFonts w:ascii="Arial" w:eastAsia="Arial Nova" w:hAnsi="Arial" w:cs="Arial"/>
          <w:b/>
          <w:bCs/>
        </w:rPr>
      </w:pPr>
      <w:r w:rsidRPr="00053CB2">
        <w:rPr>
          <w:rFonts w:ascii="Arial" w:eastAsia="Arial Nova" w:hAnsi="Arial" w:cs="Arial"/>
        </w:rPr>
        <w:t>Current Issue: Poor</w:t>
      </w:r>
      <w:r w:rsidR="00541BA5">
        <w:rPr>
          <w:rFonts w:ascii="Arial" w:eastAsia="Arial Nova" w:hAnsi="Arial" w:cs="Arial"/>
        </w:rPr>
        <w:t xml:space="preserve"> o</w:t>
      </w:r>
      <w:r w:rsidRPr="00053CB2">
        <w:rPr>
          <w:rFonts w:ascii="Arial" w:eastAsia="Arial Nova" w:hAnsi="Arial" w:cs="Arial"/>
        </w:rPr>
        <w:t xml:space="preserve">ral </w:t>
      </w:r>
      <w:r w:rsidR="00541BA5">
        <w:rPr>
          <w:rFonts w:ascii="Arial" w:eastAsia="Arial Nova" w:hAnsi="Arial" w:cs="Arial"/>
        </w:rPr>
        <w:t>h</w:t>
      </w:r>
      <w:r w:rsidRPr="00053CB2">
        <w:rPr>
          <w:rFonts w:ascii="Arial" w:eastAsia="Arial Nova" w:hAnsi="Arial" w:cs="Arial"/>
        </w:rPr>
        <w:t xml:space="preserve">ealth </w:t>
      </w:r>
      <w:r w:rsidR="00541BA5">
        <w:rPr>
          <w:rFonts w:ascii="Arial" w:eastAsia="Arial Nova" w:hAnsi="Arial" w:cs="Arial"/>
        </w:rPr>
        <w:t>a</w:t>
      </w:r>
      <w:r w:rsidRPr="00053CB2">
        <w:rPr>
          <w:rFonts w:ascii="Arial" w:eastAsia="Arial Nova" w:hAnsi="Arial" w:cs="Arial"/>
        </w:rPr>
        <w:t xml:space="preserve">mong </w:t>
      </w:r>
      <w:r w:rsidR="00541BA5">
        <w:rPr>
          <w:rFonts w:ascii="Arial" w:eastAsia="Arial Nova" w:hAnsi="Arial" w:cs="Arial"/>
        </w:rPr>
        <w:t>c</w:t>
      </w:r>
      <w:r w:rsidRPr="00053CB2">
        <w:rPr>
          <w:rFonts w:ascii="Arial" w:eastAsia="Arial Nova" w:hAnsi="Arial" w:cs="Arial"/>
        </w:rPr>
        <w:t xml:space="preserve">hildren </w:t>
      </w:r>
    </w:p>
    <w:p w14:paraId="086D8490" w14:textId="26AB655B" w:rsidR="004804E2" w:rsidRPr="00053CB2" w:rsidRDefault="004804E2" w:rsidP="004804E2">
      <w:pPr>
        <w:spacing w:line="360" w:lineRule="auto"/>
        <w:jc w:val="both"/>
        <w:rPr>
          <w:rFonts w:ascii="Arial" w:eastAsia="Arial Nova" w:hAnsi="Arial" w:cs="Arial"/>
          <w:sz w:val="24"/>
          <w:szCs w:val="24"/>
        </w:rPr>
      </w:pPr>
      <w:r w:rsidRPr="00053CB2">
        <w:rPr>
          <w:rFonts w:ascii="Arial" w:eastAsia="Arial Nova" w:hAnsi="Arial" w:cs="Arial"/>
          <w:sz w:val="24"/>
          <w:szCs w:val="24"/>
        </w:rPr>
        <w:t>The Smile4Life Case Study</w:t>
      </w:r>
    </w:p>
    <w:p w14:paraId="6C834D3E" w14:textId="77777777" w:rsidR="004804E2" w:rsidRPr="004804E2" w:rsidRDefault="004804E2" w:rsidP="004804E2">
      <w:pPr>
        <w:spacing w:line="360" w:lineRule="auto"/>
        <w:jc w:val="both"/>
        <w:rPr>
          <w:rFonts w:ascii="Arial" w:eastAsia="Arial Nova" w:hAnsi="Arial" w:cs="Arial"/>
        </w:rPr>
      </w:pPr>
      <w:r w:rsidRPr="004804E2">
        <w:rPr>
          <w:rFonts w:ascii="Arial" w:eastAsia="Arial Nova" w:hAnsi="Arial" w:cs="Arial"/>
        </w:rPr>
        <w:t>Poor oral health among children remains a major public health challenge in the UK, particularly in deprived areas such as Lancashire and Cumbria. The Smile4Life programme was developed to address this issue through prevention, education, and workforce training. National policy, including the NHS Long Term Plan (2019), emphasises preventive, community-based approaches—making Smile4Life an example of innovation aligned with national priorities. Academic research identifies social, behavioural, and systemic factors as the main causes of childhood oral health inequalities.</w:t>
      </w:r>
    </w:p>
    <w:p w14:paraId="7CE425E7" w14:textId="77777777" w:rsidR="004804E2" w:rsidRPr="004804E2" w:rsidRDefault="004804E2" w:rsidP="004804E2">
      <w:pPr>
        <w:spacing w:line="360" w:lineRule="auto"/>
        <w:jc w:val="both"/>
        <w:rPr>
          <w:rFonts w:ascii="Arial" w:eastAsia="Arial Nova" w:hAnsi="Arial" w:cs="Arial"/>
        </w:rPr>
      </w:pPr>
      <w:r w:rsidRPr="004804E2">
        <w:rPr>
          <w:rFonts w:ascii="Arial" w:eastAsia="Arial Nova" w:hAnsi="Arial" w:cs="Arial"/>
        </w:rPr>
        <w:t>Article 1 – Pine et al. (2016)</w:t>
      </w:r>
    </w:p>
    <w:p w14:paraId="043747ED" w14:textId="578F11D1" w:rsidR="004804E2" w:rsidRPr="004804E2" w:rsidRDefault="004804E2" w:rsidP="004804E2">
      <w:pPr>
        <w:spacing w:line="360" w:lineRule="auto"/>
        <w:jc w:val="both"/>
        <w:rPr>
          <w:rFonts w:ascii="Arial" w:eastAsia="Arial Nova" w:hAnsi="Arial" w:cs="Arial"/>
        </w:rPr>
      </w:pPr>
      <w:r w:rsidRPr="004804E2">
        <w:rPr>
          <w:rFonts w:ascii="Arial" w:eastAsia="Arial Nova" w:hAnsi="Arial" w:cs="Arial"/>
        </w:rPr>
        <w:t>Pine and colleagues (2016) found that socioeconomic deprivation strongly predicts poor oral health outcomes in children. Families living in low-income areas are less likely to access dental services, maintain healthy diets, or afford fluoride toothpaste. Limited parental knowledge and restricted access to local NHS practices contribute to persistent decay. The study argues that behaviour-only interventions are insufficient; effective solutions must be community-based and system-wide, addressing education, environment, and service access—principles central to Smile4Life’s design.</w:t>
      </w:r>
    </w:p>
    <w:p w14:paraId="02A579C6" w14:textId="77777777" w:rsidR="004804E2" w:rsidRPr="004804E2" w:rsidRDefault="004804E2" w:rsidP="004804E2">
      <w:pPr>
        <w:spacing w:line="360" w:lineRule="auto"/>
        <w:jc w:val="both"/>
        <w:rPr>
          <w:rFonts w:ascii="Arial" w:eastAsia="Arial Nova" w:hAnsi="Arial" w:cs="Arial"/>
        </w:rPr>
      </w:pPr>
      <w:r w:rsidRPr="004804E2">
        <w:rPr>
          <w:rFonts w:ascii="Arial" w:eastAsia="Arial Nova" w:hAnsi="Arial" w:cs="Arial"/>
        </w:rPr>
        <w:t>Article 2 – Watt and Sheiham (2012)</w:t>
      </w:r>
    </w:p>
    <w:p w14:paraId="57CF0113" w14:textId="213D5169" w:rsidR="004804E2" w:rsidRPr="004804E2" w:rsidRDefault="004804E2" w:rsidP="004804E2">
      <w:pPr>
        <w:spacing w:line="360" w:lineRule="auto"/>
        <w:jc w:val="both"/>
        <w:rPr>
          <w:rFonts w:ascii="Arial" w:eastAsia="Arial Nova" w:hAnsi="Arial" w:cs="Arial"/>
        </w:rPr>
      </w:pPr>
      <w:r w:rsidRPr="004804E2">
        <w:rPr>
          <w:rFonts w:ascii="Arial" w:eastAsia="Arial Nova" w:hAnsi="Arial" w:cs="Arial"/>
        </w:rPr>
        <w:lastRenderedPageBreak/>
        <w:t>Watt and Sheiham (2012) explain that oral health inequalities reflect wider social determinants such as poverty, housing, and policy neglect. They propose integrating oral health promotion into broader public health and early-years strategies. This aligns with Smile4Life’s multi-agency model, which embeds oral health messages within schools, nurseries, and family services, ensuring sustained behaviour change.</w:t>
      </w:r>
    </w:p>
    <w:p w14:paraId="4970D37A" w14:textId="3549051D" w:rsidR="004804E2" w:rsidRPr="004804E2" w:rsidRDefault="004804E2" w:rsidP="004804E2">
      <w:pPr>
        <w:spacing w:line="360" w:lineRule="auto"/>
        <w:jc w:val="both"/>
        <w:rPr>
          <w:rFonts w:ascii="Arial" w:eastAsia="Arial Nova" w:hAnsi="Arial" w:cs="Arial"/>
        </w:rPr>
      </w:pPr>
      <w:r w:rsidRPr="004804E2">
        <w:rPr>
          <w:rFonts w:ascii="Arial" w:eastAsia="Arial Nova" w:hAnsi="Arial" w:cs="Arial"/>
        </w:rPr>
        <w:t>While Smile4Life demonstrates positive community engagement, its long-term success depends on continued funding, staff training, and cross-sector commitment. Overall, these studies show that poor oral health in children arises from structural inequality, highlighting the need for integrated, evidence-based prevention programmes like Smile4Life</w:t>
      </w:r>
      <w:r w:rsidR="00541BA5">
        <w:rPr>
          <w:rFonts w:ascii="Arial" w:eastAsia="Arial Nova" w:hAnsi="Arial" w:cs="Arial"/>
        </w:rPr>
        <w:t>.</w:t>
      </w:r>
    </w:p>
    <w:p w14:paraId="26CEDBD1" w14:textId="18D210F8" w:rsidR="00193B7B" w:rsidRDefault="00193B7B" w:rsidP="004804E2">
      <w:pPr>
        <w:spacing w:line="360" w:lineRule="auto"/>
        <w:jc w:val="both"/>
        <w:rPr>
          <w:rFonts w:ascii="Arial Nova" w:eastAsia="Arial Nova" w:hAnsi="Arial Nova" w:cs="Arial Nova"/>
          <w:i/>
          <w:iCs/>
          <w:color w:val="000000" w:themeColor="text1"/>
        </w:rPr>
      </w:pPr>
    </w:p>
    <w:p w14:paraId="5E6CA60D" w14:textId="27F56369" w:rsidR="00193B7B" w:rsidRPr="00013C5D" w:rsidRDefault="00193B7B" w:rsidP="00013C5D">
      <w:pPr>
        <w:spacing w:line="360" w:lineRule="auto"/>
        <w:jc w:val="both"/>
        <w:rPr>
          <w:rFonts w:ascii="Arial" w:eastAsia="Arial Nova" w:hAnsi="Arial" w:cs="Arial"/>
          <w:color w:val="000000" w:themeColor="text1"/>
          <w:sz w:val="28"/>
          <w:szCs w:val="28"/>
        </w:rPr>
      </w:pPr>
      <w:r w:rsidRPr="00013C5D">
        <w:rPr>
          <w:rFonts w:ascii="Arial" w:eastAsia="Arial Nova" w:hAnsi="Arial" w:cs="Arial"/>
          <w:color w:val="000000" w:themeColor="text1"/>
          <w:sz w:val="28"/>
          <w:szCs w:val="28"/>
        </w:rPr>
        <w:t>Task 5 - Podcast</w:t>
      </w:r>
    </w:p>
    <w:p w14:paraId="2B37E538" w14:textId="59A3A5C6" w:rsidR="00193B7B" w:rsidRDefault="001D20F7" w:rsidP="00013C5D">
      <w:pPr>
        <w:spacing w:line="360" w:lineRule="auto"/>
        <w:jc w:val="both"/>
      </w:pPr>
      <w:r>
        <w:object w:dxaOrig="1200" w:dyaOrig="816" w14:anchorId="50060F7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60pt;height:42pt" o:ole="">
            <v:imagedata r:id="rId9" o:title=""/>
          </v:shape>
          <o:OLEObject Type="Embed" ProgID="Package" ShapeID="_x0000_i1027" DrawAspect="Content" ObjectID="_1823922290" r:id="rId10"/>
        </w:object>
      </w:r>
    </w:p>
    <w:p w14:paraId="5AC52FB7" w14:textId="77777777" w:rsidR="00477EF0" w:rsidRPr="00013C5D" w:rsidRDefault="00477EF0" w:rsidP="00013C5D">
      <w:pPr>
        <w:spacing w:line="360" w:lineRule="auto"/>
        <w:jc w:val="both"/>
        <w:rPr>
          <w:rFonts w:ascii="Arial" w:eastAsia="Arial Nova" w:hAnsi="Arial" w:cs="Arial"/>
          <w:i/>
          <w:iCs/>
        </w:rPr>
      </w:pPr>
    </w:p>
    <w:p w14:paraId="75460559" w14:textId="3C964456" w:rsidR="00193B7B" w:rsidRPr="00477EF0" w:rsidRDefault="00193B7B" w:rsidP="003E2C01">
      <w:pPr>
        <w:spacing w:line="360" w:lineRule="auto"/>
        <w:jc w:val="both"/>
        <w:rPr>
          <w:rFonts w:ascii="Arial" w:eastAsia="Arial Nova" w:hAnsi="Arial" w:cs="Arial"/>
          <w:color w:val="000000" w:themeColor="text1"/>
          <w:sz w:val="28"/>
          <w:szCs w:val="28"/>
        </w:rPr>
      </w:pPr>
      <w:r w:rsidRPr="003E2C01">
        <w:rPr>
          <w:rFonts w:ascii="Arial" w:eastAsia="Arial Nova" w:hAnsi="Arial" w:cs="Arial"/>
          <w:color w:val="000000" w:themeColor="text1"/>
          <w:sz w:val="28"/>
          <w:szCs w:val="28"/>
        </w:rPr>
        <w:t>Task 6 - NHS Leadership Framework Analysis</w:t>
      </w:r>
    </w:p>
    <w:p w14:paraId="25838381" w14:textId="7C697EB2" w:rsidR="00AB2805" w:rsidRPr="00AB2805" w:rsidRDefault="00AB2805" w:rsidP="003E2C01">
      <w:pPr>
        <w:spacing w:line="360" w:lineRule="auto"/>
        <w:jc w:val="both"/>
        <w:rPr>
          <w:rFonts w:ascii="Arial" w:eastAsia="Arial Nova" w:hAnsi="Arial" w:cs="Arial"/>
          <w:color w:val="000000" w:themeColor="text1"/>
        </w:rPr>
      </w:pPr>
      <w:r w:rsidRPr="00AB2805">
        <w:rPr>
          <w:rFonts w:ascii="Arial" w:eastAsia="Arial Nova" w:hAnsi="Arial" w:cs="Arial"/>
          <w:color w:val="000000" w:themeColor="text1"/>
        </w:rPr>
        <w:t>The NHS Leadership Framework (NHS Leadership Academy, 2011) describes the core behaviours and competencies expected across all professional groups in the NHS, emphasising that leadership is not limited to senior posts but shared throughout the workforce. Its purpose is to support compassionate, effective, and improvement-focused leaders who contribute to safe, high-quality, and person-centred care, reflecting values in the NHS Constitution (Department of Health &amp; Social Care, 2021). The framework includes seven interconnected domains. Demonstrating Personal Qualities focuses on self-awareness, emotional intelligence, integrity, and resilience. Working with Others highlights effective communication, collaboration, and valuing diverse contributions. Managing Services involves prioritising, organising resources, and ensuring efficient and equitable delivery. Improving Services promotes innovation, reflective practice, and quality-improvement approaches. Setting Direction requires analysing evidence, anticipating change, and aligning actions with strategic aims. Creating the Vision emphasises inspiring others through a clear, values-driven vision, and Delivering the Strategy relates to planning, evaluating outcomes, and sustaining improvements. This approach aligns with compassionate and collective leadership principles, which are linked to staff wellbeing and improved outcomes (West et al., 2017; The King's Fund, 2022). Overall, the framework underpins modern NHS leadership expectations and supports the ambitions of the NHS Long Term Plan (NHS England, 2019).</w:t>
      </w:r>
    </w:p>
    <w:p w14:paraId="0AD1F81D" w14:textId="77777777" w:rsidR="00FA7429" w:rsidRPr="003E2C01" w:rsidRDefault="00FA7429" w:rsidP="00AB2805">
      <w:pPr>
        <w:spacing w:line="360" w:lineRule="auto"/>
        <w:jc w:val="both"/>
        <w:rPr>
          <w:rFonts w:ascii="Arial" w:eastAsia="Arial Nova" w:hAnsi="Arial" w:cs="Arial"/>
          <w:color w:val="000000" w:themeColor="text1"/>
        </w:rPr>
      </w:pPr>
    </w:p>
    <w:p w14:paraId="64AB91B7" w14:textId="2D201D2D" w:rsidR="00FA7429" w:rsidRDefault="007E7BAB" w:rsidP="00FA7429">
      <w:pPr>
        <w:spacing w:line="360" w:lineRule="auto"/>
        <w:jc w:val="both"/>
        <w:rPr>
          <w:rFonts w:ascii="Arial" w:eastAsia="Arial Nova" w:hAnsi="Arial" w:cs="Arial"/>
          <w:color w:val="000000" w:themeColor="text1"/>
        </w:rPr>
      </w:pPr>
      <w:r w:rsidRPr="007E7BAB">
        <w:rPr>
          <w:rFonts w:ascii="Arial" w:eastAsia="Arial Nova" w:hAnsi="Arial" w:cs="Arial"/>
          <w:color w:val="000000" w:themeColor="text1"/>
        </w:rPr>
        <w:t>How Leaders Can Foster Creativity to Enhance Care in the NHS</w:t>
      </w:r>
    </w:p>
    <w:p w14:paraId="4FFB9354" w14:textId="425FA766" w:rsidR="00FA7429" w:rsidRDefault="001614E0" w:rsidP="00FA7429">
      <w:pPr>
        <w:spacing w:line="360" w:lineRule="auto"/>
        <w:jc w:val="both"/>
        <w:rPr>
          <w:rFonts w:ascii="Arial" w:eastAsia="Arial Nova" w:hAnsi="Arial" w:cs="Arial"/>
          <w:color w:val="000000" w:themeColor="text1"/>
        </w:rPr>
      </w:pPr>
      <w:r w:rsidRPr="001614E0">
        <w:rPr>
          <w:rFonts w:ascii="Arial" w:eastAsia="Arial Nova" w:hAnsi="Arial" w:cs="Arial"/>
          <w:color w:val="000000" w:themeColor="text1"/>
        </w:rPr>
        <w:t>The Improving Services component of the NHS Leadership Framework emphasises innovation, reflective practice, and continuous improvement (NHS Leadership Academy, 2011). A leader in the NHS can use this domain to encourage creativity by creating an environment where staff feel empowered to challenge current practices and explore new solutions. For example, a ward manager might introduce structured improvement sessions in which team members propose small changes to enhance patient experience and safety. Leaders can support this by offering protected time, resources, and constructive feedback. Research suggests that adaptive leadership encourages staff to experiment and develop innovative responses to complex healthcare challenges (Heifetz and Laurie, 2009). By celebrating new ideas, learning from unsuccessful attempts, and promoting shared decision-making, leaders build confidence and psychological safety among staff. This approach enables frontline teams to contribute meaningfully to service redesign, resulting in improved care quality and more responsive NHS services.</w:t>
      </w:r>
    </w:p>
    <w:p w14:paraId="4A0C7FF9" w14:textId="77777777" w:rsidR="00110325" w:rsidRPr="001614E0" w:rsidRDefault="00110325" w:rsidP="00FA7429">
      <w:pPr>
        <w:spacing w:line="360" w:lineRule="auto"/>
        <w:jc w:val="both"/>
        <w:rPr>
          <w:rFonts w:ascii="Arial" w:eastAsia="Arial Nova" w:hAnsi="Arial" w:cs="Arial"/>
          <w:color w:val="000000" w:themeColor="text1"/>
        </w:rPr>
      </w:pPr>
    </w:p>
    <w:p w14:paraId="0DF70862" w14:textId="77777777" w:rsidR="00193B7B" w:rsidRPr="00013C5D" w:rsidRDefault="00193B7B" w:rsidP="00013C5D">
      <w:pPr>
        <w:spacing w:line="360" w:lineRule="auto"/>
        <w:jc w:val="both"/>
        <w:rPr>
          <w:rFonts w:ascii="Arial" w:eastAsia="Arial Nova" w:hAnsi="Arial" w:cs="Arial"/>
          <w:color w:val="000000" w:themeColor="text1"/>
          <w:sz w:val="28"/>
          <w:szCs w:val="28"/>
        </w:rPr>
      </w:pPr>
      <w:r w:rsidRPr="00013C5D">
        <w:rPr>
          <w:rFonts w:ascii="Arial" w:eastAsia="Arial Nova" w:hAnsi="Arial" w:cs="Arial"/>
          <w:color w:val="000000" w:themeColor="text1"/>
          <w:sz w:val="28"/>
          <w:szCs w:val="28"/>
        </w:rPr>
        <w:t>Task 7 - Self-Reflection Journal Entry</w:t>
      </w:r>
    </w:p>
    <w:p w14:paraId="6D880027" w14:textId="77777777" w:rsidR="008C7CEB" w:rsidRPr="008C7CEB" w:rsidRDefault="008C7CEB" w:rsidP="00013C5D">
      <w:pPr>
        <w:spacing w:line="360" w:lineRule="auto"/>
        <w:jc w:val="both"/>
        <w:rPr>
          <w:rFonts w:ascii="Arial" w:eastAsia="Arial Nova" w:hAnsi="Arial" w:cs="Arial"/>
          <w:color w:val="000000" w:themeColor="text1"/>
        </w:rPr>
      </w:pPr>
      <w:r w:rsidRPr="008C7CEB">
        <w:rPr>
          <w:rFonts w:ascii="Arial" w:eastAsia="Arial Nova" w:hAnsi="Arial" w:cs="Arial"/>
          <w:color w:val="000000" w:themeColor="text1"/>
        </w:rPr>
        <w:t>This module has significantly developed my understanding of creativity and value creation within health and social care. As a care assistant, I originally thought creativity meant adding new ideas or activities to support people. However, I now recognise that creativity is a strategic and collaborative process that improves how care is delivered and experienced. Learning about initiatives such as NHS at Home and Smile4Life showed me how innovation succeeds when built on teamwork, evidence-based practice, and community engagement.</w:t>
      </w:r>
    </w:p>
    <w:p w14:paraId="157AC1BF" w14:textId="77777777" w:rsidR="008C7CEB" w:rsidRPr="008C7CEB" w:rsidRDefault="008C7CEB" w:rsidP="00013C5D">
      <w:pPr>
        <w:spacing w:line="360" w:lineRule="auto"/>
        <w:jc w:val="both"/>
        <w:rPr>
          <w:rFonts w:ascii="Arial" w:eastAsia="Arial Nova" w:hAnsi="Arial" w:cs="Arial"/>
          <w:color w:val="000000" w:themeColor="text1"/>
        </w:rPr>
      </w:pPr>
      <w:r w:rsidRPr="008C7CEB">
        <w:rPr>
          <w:rFonts w:ascii="Arial" w:eastAsia="Arial Nova" w:hAnsi="Arial" w:cs="Arial"/>
          <w:color w:val="000000" w:themeColor="text1"/>
        </w:rPr>
        <w:t>I have also learned that value creation is not just about saving time or reducing cost—it means enhancing quality, equality, and dignity in care. This new perspective encourages me to think creatively in my role, for example, by adapting communication to meet individual needs or suggesting small environmental improvements that make care more comfortable and person-centred.</w:t>
      </w:r>
    </w:p>
    <w:p w14:paraId="332C2792" w14:textId="77777777" w:rsidR="00740BDD" w:rsidRDefault="008C7CEB" w:rsidP="00740BDD">
      <w:pPr>
        <w:spacing w:line="360" w:lineRule="auto"/>
        <w:jc w:val="both"/>
        <w:rPr>
          <w:rFonts w:ascii="Arial" w:eastAsia="Arial Nova" w:hAnsi="Arial" w:cs="Arial"/>
          <w:color w:val="000000" w:themeColor="text1"/>
        </w:rPr>
      </w:pPr>
      <w:r w:rsidRPr="008C7CEB">
        <w:rPr>
          <w:rFonts w:ascii="Arial" w:eastAsia="Arial Nova" w:hAnsi="Arial" w:cs="Arial"/>
          <w:color w:val="000000" w:themeColor="text1"/>
        </w:rPr>
        <w:t>Overall, this module has inspired me to be more confident, reflective, and open to change. I now view creativity as part of everyday care and believe that even small ideas, shared within a supportive team, can create meaningful improvements for service users and colleagues. I feel motivated to continue learning and to contribute positively to innovation in health and social care.</w:t>
      </w:r>
    </w:p>
    <w:p w14:paraId="24E6A48E" w14:textId="6F693BE8" w:rsidR="00193B7B" w:rsidRPr="00740BDD" w:rsidRDefault="00193B7B" w:rsidP="00740BDD">
      <w:pPr>
        <w:spacing w:line="360" w:lineRule="auto"/>
        <w:jc w:val="both"/>
        <w:rPr>
          <w:rFonts w:ascii="Arial" w:eastAsia="Arial Nova" w:hAnsi="Arial" w:cs="Arial"/>
          <w:color w:val="000000" w:themeColor="text1"/>
          <w:sz w:val="28"/>
          <w:szCs w:val="28"/>
        </w:rPr>
      </w:pPr>
      <w:r w:rsidRPr="00740BDD">
        <w:rPr>
          <w:rFonts w:ascii="Arial" w:eastAsia="Arial Nova" w:hAnsi="Arial" w:cs="Arial"/>
          <w:color w:val="000000" w:themeColor="text1"/>
          <w:sz w:val="28"/>
          <w:szCs w:val="28"/>
        </w:rPr>
        <w:lastRenderedPageBreak/>
        <w:t>Reference List</w:t>
      </w:r>
    </w:p>
    <w:p w14:paraId="3F43B1C1" w14:textId="77777777" w:rsidR="00193B7B" w:rsidRPr="00462900" w:rsidRDefault="00193B7B" w:rsidP="00193B7B">
      <w:pPr>
        <w:rPr>
          <w:rFonts w:ascii="Aptos" w:eastAsia="Aptos" w:hAnsi="Aptos" w:cs="Aptos"/>
          <w:color w:val="000000" w:themeColor="text1"/>
        </w:rPr>
      </w:pPr>
    </w:p>
    <w:p w14:paraId="3CBE1549"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Boden, M.A. (1994) </w:t>
      </w:r>
      <w:r w:rsidRPr="00462900">
        <w:rPr>
          <w:rFonts w:ascii="Arial" w:hAnsi="Arial" w:cs="Arial"/>
          <w:i/>
          <w:iCs/>
        </w:rPr>
        <w:t>Dimensions of creativity</w:t>
      </w:r>
      <w:r w:rsidRPr="00462900">
        <w:rPr>
          <w:rFonts w:ascii="Arial" w:hAnsi="Arial" w:cs="Arial"/>
        </w:rPr>
        <w:t>. Cambridge, MA: MIT Press.</w:t>
      </w:r>
    </w:p>
    <w:p w14:paraId="634369C9"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Brewster, L., Holt, R., Howell, A., Bamford, C. and Hampshaw, S. (2021) ‘Creative practice as a driver for health and care innovation’, </w:t>
      </w:r>
      <w:r w:rsidRPr="00462900">
        <w:rPr>
          <w:rFonts w:ascii="Arial" w:hAnsi="Arial" w:cs="Arial"/>
          <w:i/>
          <w:iCs/>
        </w:rPr>
        <w:t>Health Expectations</w:t>
      </w:r>
      <w:r w:rsidRPr="00462900">
        <w:rPr>
          <w:rFonts w:ascii="Arial" w:hAnsi="Arial" w:cs="Arial"/>
        </w:rPr>
        <w:t>, 24(4), pp.1182–1191.</w:t>
      </w:r>
    </w:p>
    <w:p w14:paraId="362AC9D4" w14:textId="77777777" w:rsidR="00C93D2C" w:rsidRPr="001D20F7" w:rsidRDefault="00462900" w:rsidP="00462900">
      <w:pPr>
        <w:spacing w:line="360" w:lineRule="auto"/>
        <w:jc w:val="both"/>
        <w:rPr>
          <w:rFonts w:ascii="Arial" w:hAnsi="Arial" w:cs="Arial"/>
        </w:rPr>
      </w:pPr>
      <w:r w:rsidRPr="00462900">
        <w:rPr>
          <w:rFonts w:ascii="Arial" w:hAnsi="Arial" w:cs="Arial"/>
        </w:rPr>
        <w:t xml:space="preserve">Care Quality Commission (2021) </w:t>
      </w:r>
      <w:r w:rsidRPr="00462900">
        <w:rPr>
          <w:rFonts w:ascii="Arial" w:hAnsi="Arial" w:cs="Arial"/>
          <w:i/>
          <w:iCs/>
        </w:rPr>
        <w:t>Enabling innovation and adoption in health and social care</w:t>
      </w:r>
      <w:r w:rsidRPr="00462900">
        <w:rPr>
          <w:rFonts w:ascii="Arial" w:hAnsi="Arial" w:cs="Arial"/>
        </w:rPr>
        <w:t xml:space="preserve">. Available at: </w:t>
      </w:r>
    </w:p>
    <w:p w14:paraId="2C3E1CD0" w14:textId="33D771AD" w:rsidR="00462900" w:rsidRPr="001D20F7" w:rsidRDefault="00C93D2C" w:rsidP="00462900">
      <w:pPr>
        <w:spacing w:line="360" w:lineRule="auto"/>
        <w:jc w:val="both"/>
        <w:rPr>
          <w:rFonts w:ascii="Arial" w:hAnsi="Arial" w:cs="Arial"/>
        </w:rPr>
      </w:pPr>
      <w:hyperlink r:id="rId11" w:history="1">
        <w:r w:rsidRPr="001D20F7">
          <w:rPr>
            <w:rStyle w:val="Hyperlink"/>
            <w:rFonts w:ascii="Arial" w:hAnsi="Arial" w:cs="Arial"/>
            <w:color w:val="auto"/>
            <w:u w:val="none"/>
          </w:rPr>
          <w:t>https://www.cqc.org.uk/sites/default/files/20210208_InnovationPrinciples_report.pdf</w:t>
        </w:r>
      </w:hyperlink>
      <w:r w:rsidR="00462900" w:rsidRPr="001D20F7">
        <w:rPr>
          <w:rFonts w:ascii="Arial" w:hAnsi="Arial" w:cs="Arial"/>
        </w:rPr>
        <w:t xml:space="preserve"> (Accessed: 2</w:t>
      </w:r>
      <w:r w:rsidRPr="001D20F7">
        <w:rPr>
          <w:rFonts w:ascii="Arial" w:hAnsi="Arial" w:cs="Arial"/>
        </w:rPr>
        <w:t>9</w:t>
      </w:r>
      <w:r w:rsidR="00462900" w:rsidRPr="001D20F7">
        <w:rPr>
          <w:rFonts w:ascii="Arial" w:hAnsi="Arial" w:cs="Arial"/>
        </w:rPr>
        <w:t xml:space="preserve"> </w:t>
      </w:r>
      <w:r w:rsidRPr="001D20F7">
        <w:rPr>
          <w:rFonts w:ascii="Arial" w:hAnsi="Arial" w:cs="Arial"/>
        </w:rPr>
        <w:t>October</w:t>
      </w:r>
      <w:r w:rsidR="00462900" w:rsidRPr="001D20F7">
        <w:rPr>
          <w:rFonts w:ascii="Arial" w:hAnsi="Arial" w:cs="Arial"/>
        </w:rPr>
        <w:t xml:space="preserve"> 202</w:t>
      </w:r>
      <w:r w:rsidRPr="001D20F7">
        <w:rPr>
          <w:rFonts w:ascii="Arial" w:hAnsi="Arial" w:cs="Arial"/>
        </w:rPr>
        <w:t>5</w:t>
      </w:r>
      <w:r w:rsidR="00462900" w:rsidRPr="001D20F7">
        <w:rPr>
          <w:rFonts w:ascii="Arial" w:hAnsi="Arial" w:cs="Arial"/>
        </w:rPr>
        <w:t>).</w:t>
      </w:r>
    </w:p>
    <w:p w14:paraId="65E41467"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Carlile, P.R. and Jordan, J.M. (2012) </w:t>
      </w:r>
      <w:r w:rsidRPr="00462900">
        <w:rPr>
          <w:rFonts w:ascii="Arial" w:hAnsi="Arial" w:cs="Arial"/>
          <w:i/>
          <w:iCs/>
        </w:rPr>
        <w:t>Managing knowledge in complex systems: Leadership and innovation in the creative economy</w:t>
      </w:r>
      <w:r w:rsidRPr="00462900">
        <w:rPr>
          <w:rFonts w:ascii="Arial" w:hAnsi="Arial" w:cs="Arial"/>
        </w:rPr>
        <w:t>. New York: Routledge.</w:t>
      </w:r>
    </w:p>
    <w:p w14:paraId="79EFA023"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Coulton, S., Clift, S., Skingley, A. and Rodriguez, J. (2015) ‘Effectiveness and cost-effectiveness of community singing for older people’, </w:t>
      </w:r>
      <w:r w:rsidRPr="00462900">
        <w:rPr>
          <w:rFonts w:ascii="Arial" w:hAnsi="Arial" w:cs="Arial"/>
          <w:i/>
          <w:iCs/>
        </w:rPr>
        <w:t>British Journal of Psychiatry</w:t>
      </w:r>
      <w:r w:rsidRPr="00462900">
        <w:rPr>
          <w:rFonts w:ascii="Arial" w:hAnsi="Arial" w:cs="Arial"/>
        </w:rPr>
        <w:t>, 207(3), pp.250–255.</w:t>
      </w:r>
    </w:p>
    <w:p w14:paraId="78DF4E0E"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Department of Health &amp; Social Care (2021) </w:t>
      </w:r>
      <w:r w:rsidRPr="00462900">
        <w:rPr>
          <w:rFonts w:ascii="Arial" w:hAnsi="Arial" w:cs="Arial"/>
          <w:i/>
          <w:iCs/>
        </w:rPr>
        <w:t>The NHS Constitution for England</w:t>
      </w:r>
      <w:r w:rsidRPr="00462900">
        <w:rPr>
          <w:rFonts w:ascii="Arial" w:hAnsi="Arial" w:cs="Arial"/>
        </w:rPr>
        <w:t>. London: DHSC.</w:t>
      </w:r>
    </w:p>
    <w:p w14:paraId="29C26C4B"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Edmondson, A.C. (2019) </w:t>
      </w:r>
      <w:r w:rsidRPr="00462900">
        <w:rPr>
          <w:rFonts w:ascii="Arial" w:hAnsi="Arial" w:cs="Arial"/>
          <w:i/>
          <w:iCs/>
        </w:rPr>
        <w:t>The fearless organization: Creating psychological safety in the workplace for learning, innovation, and growth</w:t>
      </w:r>
      <w:r w:rsidRPr="00462900">
        <w:rPr>
          <w:rFonts w:ascii="Arial" w:hAnsi="Arial" w:cs="Arial"/>
        </w:rPr>
        <w:t>. Hoboken, NJ: Wiley.</w:t>
      </w:r>
    </w:p>
    <w:p w14:paraId="22C140CE"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Gibbs, G. (1988) </w:t>
      </w:r>
      <w:r w:rsidRPr="00462900">
        <w:rPr>
          <w:rFonts w:ascii="Arial" w:hAnsi="Arial" w:cs="Arial"/>
          <w:i/>
          <w:iCs/>
        </w:rPr>
        <w:t>Learning by doing: A guide to teaching and learning methods</w:t>
      </w:r>
      <w:r w:rsidRPr="00462900">
        <w:rPr>
          <w:rFonts w:ascii="Arial" w:hAnsi="Arial" w:cs="Arial"/>
        </w:rPr>
        <w:t>. Oxford: Oxford Polytechnic.</w:t>
      </w:r>
    </w:p>
    <w:p w14:paraId="6ADFE438"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Greenhalgh, T., Wherton, J., Shaw, S. and Morrison, C. (2020) ‘Video consultations for COVID-19’, </w:t>
      </w:r>
      <w:r w:rsidRPr="00462900">
        <w:rPr>
          <w:rFonts w:ascii="Arial" w:hAnsi="Arial" w:cs="Arial"/>
          <w:i/>
          <w:iCs/>
        </w:rPr>
        <w:t>The BMJ</w:t>
      </w:r>
      <w:r w:rsidRPr="00462900">
        <w:rPr>
          <w:rFonts w:ascii="Arial" w:hAnsi="Arial" w:cs="Arial"/>
        </w:rPr>
        <w:t>, 368, m998.</w:t>
      </w:r>
    </w:p>
    <w:p w14:paraId="2A4319D4"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Heifetz, R. and Laurie, D. (2009) ‘The work of leadership’, </w:t>
      </w:r>
      <w:r w:rsidRPr="00462900">
        <w:rPr>
          <w:rFonts w:ascii="Arial" w:hAnsi="Arial" w:cs="Arial"/>
          <w:i/>
          <w:iCs/>
        </w:rPr>
        <w:t>Harvard Business Review</w:t>
      </w:r>
      <w:r w:rsidRPr="00462900">
        <w:rPr>
          <w:rFonts w:ascii="Arial" w:hAnsi="Arial" w:cs="Arial"/>
        </w:rPr>
        <w:t>, 75(1), pp.124–134.</w:t>
      </w:r>
    </w:p>
    <w:p w14:paraId="6B4299A1" w14:textId="539BF5A8" w:rsidR="00462900" w:rsidRPr="00462900" w:rsidRDefault="00462900" w:rsidP="00462900">
      <w:pPr>
        <w:spacing w:line="360" w:lineRule="auto"/>
        <w:jc w:val="both"/>
        <w:rPr>
          <w:rFonts w:ascii="Arial" w:hAnsi="Arial" w:cs="Arial"/>
        </w:rPr>
      </w:pPr>
      <w:r w:rsidRPr="00462900">
        <w:rPr>
          <w:rFonts w:ascii="Arial" w:hAnsi="Arial" w:cs="Arial"/>
        </w:rPr>
        <w:t xml:space="preserve">Imperial College Healthcare NHS Trust (2024) </w:t>
      </w:r>
      <w:r w:rsidRPr="00462900">
        <w:rPr>
          <w:rFonts w:ascii="Arial" w:hAnsi="Arial" w:cs="Arial"/>
          <w:i/>
          <w:iCs/>
        </w:rPr>
        <w:t>Remote monitoring of heart attack patients significantly reduced hospital readmissions</w:t>
      </w:r>
      <w:r w:rsidRPr="00462900">
        <w:rPr>
          <w:rFonts w:ascii="Arial" w:hAnsi="Arial" w:cs="Arial"/>
        </w:rPr>
        <w:t xml:space="preserve">. Available at: </w:t>
      </w:r>
      <w:hyperlink r:id="rId12" w:tgtFrame="_new" w:history="1">
        <w:r w:rsidRPr="001D20F7">
          <w:rPr>
            <w:rStyle w:val="Hyperlink"/>
            <w:rFonts w:ascii="Arial" w:hAnsi="Arial" w:cs="Arial"/>
            <w:color w:val="auto"/>
            <w:u w:val="none"/>
          </w:rPr>
          <w:t>https://www.imperial.nhs.uk/about-us/news/remote-monitoring-of-heart-attack-patients-significantly-reduced-hospital-readmissions</w:t>
        </w:r>
      </w:hyperlink>
      <w:r w:rsidRPr="001D20F7">
        <w:rPr>
          <w:rFonts w:ascii="Arial" w:hAnsi="Arial" w:cs="Arial"/>
        </w:rPr>
        <w:t xml:space="preserve"> </w:t>
      </w:r>
      <w:r w:rsidRPr="00462900">
        <w:rPr>
          <w:rFonts w:ascii="Arial" w:hAnsi="Arial" w:cs="Arial"/>
        </w:rPr>
        <w:t xml:space="preserve">(Accessed: </w:t>
      </w:r>
      <w:r w:rsidR="00C93D2C">
        <w:rPr>
          <w:rFonts w:ascii="Arial" w:hAnsi="Arial" w:cs="Arial"/>
        </w:rPr>
        <w:t>1st</w:t>
      </w:r>
      <w:r w:rsidRPr="00462900">
        <w:rPr>
          <w:rFonts w:ascii="Arial" w:hAnsi="Arial" w:cs="Arial"/>
        </w:rPr>
        <w:t xml:space="preserve"> </w:t>
      </w:r>
      <w:r w:rsidR="00C93D2C">
        <w:rPr>
          <w:rFonts w:ascii="Arial" w:hAnsi="Arial" w:cs="Arial"/>
        </w:rPr>
        <w:t>November</w:t>
      </w:r>
      <w:r w:rsidRPr="00462900">
        <w:rPr>
          <w:rFonts w:ascii="Arial" w:hAnsi="Arial" w:cs="Arial"/>
        </w:rPr>
        <w:t xml:space="preserve"> 202</w:t>
      </w:r>
      <w:r w:rsidR="00C93D2C">
        <w:rPr>
          <w:rFonts w:ascii="Arial" w:hAnsi="Arial" w:cs="Arial"/>
        </w:rPr>
        <w:t>5</w:t>
      </w:r>
      <w:r w:rsidRPr="00462900">
        <w:rPr>
          <w:rFonts w:ascii="Arial" w:hAnsi="Arial" w:cs="Arial"/>
        </w:rPr>
        <w:t>).</w:t>
      </w:r>
    </w:p>
    <w:p w14:paraId="750C977E"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Jiang, J., Liu, Y., Wang, R. and Li, X. (2023) ‘Metacognitive processes in creative thinking: A review’, </w:t>
      </w:r>
      <w:r w:rsidRPr="00462900">
        <w:rPr>
          <w:rFonts w:ascii="Arial" w:hAnsi="Arial" w:cs="Arial"/>
          <w:i/>
          <w:iCs/>
        </w:rPr>
        <w:t>Psychology of Creativity and Cognition</w:t>
      </w:r>
      <w:r w:rsidRPr="00462900">
        <w:rPr>
          <w:rFonts w:ascii="Arial" w:hAnsi="Arial" w:cs="Arial"/>
        </w:rPr>
        <w:t>, 12(2), pp.145–160.</w:t>
      </w:r>
    </w:p>
    <w:p w14:paraId="7F1CAD16" w14:textId="58FC9094" w:rsidR="00462900" w:rsidRPr="00462900" w:rsidRDefault="00462900" w:rsidP="00462900">
      <w:pPr>
        <w:spacing w:line="360" w:lineRule="auto"/>
        <w:jc w:val="both"/>
        <w:rPr>
          <w:rFonts w:ascii="Arial" w:hAnsi="Arial" w:cs="Arial"/>
        </w:rPr>
      </w:pPr>
      <w:r w:rsidRPr="00462900">
        <w:rPr>
          <w:rFonts w:ascii="Arial" w:hAnsi="Arial" w:cs="Arial"/>
        </w:rPr>
        <w:lastRenderedPageBreak/>
        <w:t xml:space="preserve">MIND (2021) </w:t>
      </w:r>
      <w:r w:rsidRPr="00462900">
        <w:rPr>
          <w:rFonts w:ascii="Arial" w:hAnsi="Arial" w:cs="Arial"/>
          <w:i/>
          <w:iCs/>
        </w:rPr>
        <w:t>Trying to connect: the importance of choice in remote mental health services</w:t>
      </w:r>
      <w:r w:rsidRPr="00462900">
        <w:rPr>
          <w:rFonts w:ascii="Arial" w:hAnsi="Arial" w:cs="Arial"/>
        </w:rPr>
        <w:t>. Available at</w:t>
      </w:r>
      <w:r w:rsidRPr="001D20F7">
        <w:rPr>
          <w:rFonts w:ascii="Arial" w:hAnsi="Arial" w:cs="Arial"/>
        </w:rPr>
        <w:t xml:space="preserve">: </w:t>
      </w:r>
      <w:hyperlink r:id="rId13" w:tgtFrame="_new" w:history="1">
        <w:r w:rsidRPr="001D20F7">
          <w:rPr>
            <w:rStyle w:val="Hyperlink"/>
            <w:rFonts w:ascii="Arial" w:hAnsi="Arial" w:cs="Arial"/>
            <w:color w:val="auto"/>
            <w:u w:val="none"/>
          </w:rPr>
          <w:t>https://www.mind.org.uk/media/8575/mind-20582-trying-to-connect-report-aw2-welsh-recommendations-lr.pdf</w:t>
        </w:r>
      </w:hyperlink>
      <w:r w:rsidRPr="00462900">
        <w:rPr>
          <w:rFonts w:ascii="Arial" w:hAnsi="Arial" w:cs="Arial"/>
        </w:rPr>
        <w:t xml:space="preserve"> (Accessed: </w:t>
      </w:r>
      <w:r w:rsidR="00C93D2C">
        <w:rPr>
          <w:rFonts w:ascii="Arial" w:hAnsi="Arial" w:cs="Arial"/>
        </w:rPr>
        <w:t>30</w:t>
      </w:r>
      <w:r w:rsidRPr="00462900">
        <w:rPr>
          <w:rFonts w:ascii="Arial" w:hAnsi="Arial" w:cs="Arial"/>
        </w:rPr>
        <w:t xml:space="preserve"> September 202</w:t>
      </w:r>
      <w:r w:rsidR="00C93D2C">
        <w:rPr>
          <w:rFonts w:ascii="Arial" w:hAnsi="Arial" w:cs="Arial"/>
        </w:rPr>
        <w:t>5</w:t>
      </w:r>
      <w:r w:rsidRPr="00462900">
        <w:rPr>
          <w:rFonts w:ascii="Arial" w:hAnsi="Arial" w:cs="Arial"/>
        </w:rPr>
        <w:t>).</w:t>
      </w:r>
    </w:p>
    <w:p w14:paraId="0A292FFD"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NHS England (2019) </w:t>
      </w:r>
      <w:r w:rsidRPr="00462900">
        <w:rPr>
          <w:rFonts w:ascii="Arial" w:hAnsi="Arial" w:cs="Arial"/>
          <w:i/>
          <w:iCs/>
        </w:rPr>
        <w:t>The NHS Long Term Plan</w:t>
      </w:r>
      <w:r w:rsidRPr="00462900">
        <w:rPr>
          <w:rFonts w:ascii="Arial" w:hAnsi="Arial" w:cs="Arial"/>
        </w:rPr>
        <w:t>. London: NHS England.</w:t>
      </w:r>
    </w:p>
    <w:p w14:paraId="6922AE49"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NHS Leadership Academy (2011) </w:t>
      </w:r>
      <w:r w:rsidRPr="00462900">
        <w:rPr>
          <w:rFonts w:ascii="Arial" w:hAnsi="Arial" w:cs="Arial"/>
          <w:i/>
          <w:iCs/>
        </w:rPr>
        <w:t>NHS leadership framework</w:t>
      </w:r>
      <w:r w:rsidRPr="00462900">
        <w:rPr>
          <w:rFonts w:ascii="Arial" w:hAnsi="Arial" w:cs="Arial"/>
        </w:rPr>
        <w:t>. Leeds: NHS Leadership Academy.</w:t>
      </w:r>
    </w:p>
    <w:p w14:paraId="72851B41"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Osborn, A.F. and Parnes, S.J. (1967) </w:t>
      </w:r>
      <w:r w:rsidRPr="00462900">
        <w:rPr>
          <w:rFonts w:ascii="Arial" w:hAnsi="Arial" w:cs="Arial"/>
          <w:i/>
          <w:iCs/>
        </w:rPr>
        <w:t>Creative problem solving: The basic course</w:t>
      </w:r>
      <w:r w:rsidRPr="00462900">
        <w:rPr>
          <w:rFonts w:ascii="Arial" w:hAnsi="Arial" w:cs="Arial"/>
        </w:rPr>
        <w:t>. Buffalo, NY: Creative Education Foundation.</w:t>
      </w:r>
    </w:p>
    <w:p w14:paraId="77738CAA"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Paul, E., et al. (2024) ‘Creative environments and staff wellbeing in healthcare’, </w:t>
      </w:r>
      <w:r w:rsidRPr="00462900">
        <w:rPr>
          <w:rFonts w:ascii="Arial" w:hAnsi="Arial" w:cs="Arial"/>
          <w:i/>
          <w:iCs/>
        </w:rPr>
        <w:t>Journal of Health Organisation and Management</w:t>
      </w:r>
      <w:r w:rsidRPr="00462900">
        <w:rPr>
          <w:rFonts w:ascii="Arial" w:hAnsi="Arial" w:cs="Arial"/>
        </w:rPr>
        <w:t>, 38(2), pp.145–161.</w:t>
      </w:r>
    </w:p>
    <w:p w14:paraId="26E83FEF"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Pine, C.M., Adair, P.M., Petersen, P.E. and Douglass, C. (2016) ‘Developing explanatory models of health inequalities in childhood dental caries’, </w:t>
      </w:r>
      <w:r w:rsidRPr="00462900">
        <w:rPr>
          <w:rFonts w:ascii="Arial" w:hAnsi="Arial" w:cs="Arial"/>
          <w:i/>
          <w:iCs/>
        </w:rPr>
        <w:t>Community Dentistry and Oral Epidemiology</w:t>
      </w:r>
      <w:r w:rsidRPr="00462900">
        <w:rPr>
          <w:rFonts w:ascii="Arial" w:hAnsi="Arial" w:cs="Arial"/>
        </w:rPr>
        <w:t>, 44(2), pp.142–150.</w:t>
      </w:r>
    </w:p>
    <w:p w14:paraId="36E97623"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Pink, D.H. (2009) </w:t>
      </w:r>
      <w:r w:rsidRPr="00462900">
        <w:rPr>
          <w:rFonts w:ascii="Arial" w:hAnsi="Arial" w:cs="Arial"/>
          <w:i/>
          <w:iCs/>
        </w:rPr>
        <w:t>Drive: The surprising truth about what motivates us</w:t>
      </w:r>
      <w:r w:rsidRPr="00462900">
        <w:rPr>
          <w:rFonts w:ascii="Arial" w:hAnsi="Arial" w:cs="Arial"/>
        </w:rPr>
        <w:t>. New York: Riverhead Books.</w:t>
      </w:r>
    </w:p>
    <w:p w14:paraId="3565ED0A"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Pick, A., Meyer, L., Thompson, R. and Klasen, M. (2024) ‘Neural synchronisation and collaborative creativity in group innovation tasks’, </w:t>
      </w:r>
      <w:r w:rsidRPr="00462900">
        <w:rPr>
          <w:rFonts w:ascii="Arial" w:hAnsi="Arial" w:cs="Arial"/>
          <w:i/>
          <w:iCs/>
        </w:rPr>
        <w:t>Journal of Creative Behaviour</w:t>
      </w:r>
      <w:r w:rsidRPr="00462900">
        <w:rPr>
          <w:rFonts w:ascii="Arial" w:hAnsi="Arial" w:cs="Arial"/>
        </w:rPr>
        <w:t>, 58(1), pp.34–50.</w:t>
      </w:r>
    </w:p>
    <w:p w14:paraId="224367AF"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Porter, M.E. (2010) ‘What is value in health care?’, </w:t>
      </w:r>
      <w:r w:rsidRPr="00462900">
        <w:rPr>
          <w:rFonts w:ascii="Arial" w:hAnsi="Arial" w:cs="Arial"/>
          <w:i/>
          <w:iCs/>
        </w:rPr>
        <w:t>New England Journal of Medicine</w:t>
      </w:r>
      <w:r w:rsidRPr="00462900">
        <w:rPr>
          <w:rFonts w:ascii="Arial" w:hAnsi="Arial" w:cs="Arial"/>
        </w:rPr>
        <w:t>, 363, pp.2477–2481.</w:t>
      </w:r>
    </w:p>
    <w:p w14:paraId="0EED7041"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Rawlings, D., Harper, C. and Moran, N. (2025) ‘Understanding divergent and convergent thinking in creative problem solving’, </w:t>
      </w:r>
      <w:r w:rsidRPr="00462900">
        <w:rPr>
          <w:rFonts w:ascii="Arial" w:hAnsi="Arial" w:cs="Arial"/>
          <w:i/>
          <w:iCs/>
        </w:rPr>
        <w:t>Creativity Research Journal</w:t>
      </w:r>
      <w:r w:rsidRPr="00462900">
        <w:rPr>
          <w:rFonts w:ascii="Arial" w:hAnsi="Arial" w:cs="Arial"/>
        </w:rPr>
        <w:t>, 37(1), pp.1–12.</w:t>
      </w:r>
    </w:p>
    <w:p w14:paraId="45F8329F"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Roth, S., Balzat, B., Mahnke, A. and Friesacher, H. (2024) ‘Value-based healthcare and social care outcomes’, </w:t>
      </w:r>
      <w:r w:rsidRPr="00462900">
        <w:rPr>
          <w:rFonts w:ascii="Arial" w:hAnsi="Arial" w:cs="Arial"/>
          <w:i/>
          <w:iCs/>
        </w:rPr>
        <w:t>International Journal of Integrated Care</w:t>
      </w:r>
      <w:r w:rsidRPr="00462900">
        <w:rPr>
          <w:rFonts w:ascii="Arial" w:hAnsi="Arial" w:cs="Arial"/>
        </w:rPr>
        <w:t>, 24(1), pp.1–10.</w:t>
      </w:r>
    </w:p>
    <w:p w14:paraId="5DBAE2C3"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Ryan, R.M. and Deci, E.L. (2000) ‘Intrinsic and extrinsic motivations: Classic definitions and new directions’, </w:t>
      </w:r>
      <w:r w:rsidRPr="00462900">
        <w:rPr>
          <w:rFonts w:ascii="Arial" w:hAnsi="Arial" w:cs="Arial"/>
          <w:i/>
          <w:iCs/>
        </w:rPr>
        <w:t>Contemporary Educational Psychology</w:t>
      </w:r>
      <w:r w:rsidRPr="00462900">
        <w:rPr>
          <w:rFonts w:ascii="Arial" w:hAnsi="Arial" w:cs="Arial"/>
        </w:rPr>
        <w:t>, 25(1), pp.54–67.</w:t>
      </w:r>
    </w:p>
    <w:p w14:paraId="659A4D58"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UK Government (2012) </w:t>
      </w:r>
      <w:r w:rsidRPr="00462900">
        <w:rPr>
          <w:rFonts w:ascii="Arial" w:hAnsi="Arial" w:cs="Arial"/>
          <w:i/>
          <w:iCs/>
        </w:rPr>
        <w:t>Health and Social Care Act 2012</w:t>
      </w:r>
      <w:r w:rsidRPr="00462900">
        <w:rPr>
          <w:rFonts w:ascii="Arial" w:hAnsi="Arial" w:cs="Arial"/>
        </w:rPr>
        <w:t>. London: The Stationery Office.</w:t>
      </w:r>
    </w:p>
    <w:p w14:paraId="6B96287F"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UK Government (2014) </w:t>
      </w:r>
      <w:r w:rsidRPr="00462900">
        <w:rPr>
          <w:rFonts w:ascii="Arial" w:hAnsi="Arial" w:cs="Arial"/>
          <w:i/>
          <w:iCs/>
        </w:rPr>
        <w:t>Care Act 2014</w:t>
      </w:r>
      <w:r w:rsidRPr="00462900">
        <w:rPr>
          <w:rFonts w:ascii="Arial" w:hAnsi="Arial" w:cs="Arial"/>
        </w:rPr>
        <w:t>. London: The Stationery Office.</w:t>
      </w:r>
    </w:p>
    <w:p w14:paraId="7A9C6FD1"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UK Government (2018) </w:t>
      </w:r>
      <w:r w:rsidRPr="00462900">
        <w:rPr>
          <w:rFonts w:ascii="Arial" w:hAnsi="Arial" w:cs="Arial"/>
          <w:i/>
          <w:iCs/>
        </w:rPr>
        <w:t>Data Protection Act 2018</w:t>
      </w:r>
      <w:r w:rsidRPr="00462900">
        <w:rPr>
          <w:rFonts w:ascii="Arial" w:hAnsi="Arial" w:cs="Arial"/>
        </w:rPr>
        <w:t>. London: The Stationery Office.</w:t>
      </w:r>
    </w:p>
    <w:p w14:paraId="5E7AA37A"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UK Government (2022) </w:t>
      </w:r>
      <w:r w:rsidRPr="00462900">
        <w:rPr>
          <w:rFonts w:ascii="Arial" w:hAnsi="Arial" w:cs="Arial"/>
          <w:i/>
          <w:iCs/>
        </w:rPr>
        <w:t>Health and Care Act 2022</w:t>
      </w:r>
      <w:r w:rsidRPr="00462900">
        <w:rPr>
          <w:rFonts w:ascii="Arial" w:hAnsi="Arial" w:cs="Arial"/>
        </w:rPr>
        <w:t>. London: The Stationery Office.</w:t>
      </w:r>
    </w:p>
    <w:p w14:paraId="21DE7795" w14:textId="77777777" w:rsidR="00462900" w:rsidRPr="00462900" w:rsidRDefault="00462900" w:rsidP="00462900">
      <w:pPr>
        <w:spacing w:line="360" w:lineRule="auto"/>
        <w:jc w:val="both"/>
        <w:rPr>
          <w:rFonts w:ascii="Arial" w:hAnsi="Arial" w:cs="Arial"/>
        </w:rPr>
      </w:pPr>
      <w:r w:rsidRPr="00462900">
        <w:rPr>
          <w:rFonts w:ascii="Arial" w:hAnsi="Arial" w:cs="Arial"/>
        </w:rPr>
        <w:lastRenderedPageBreak/>
        <w:t xml:space="preserve">Vats, K. (2024) ‘Navigating the digital landscape: embracing innovation and prioritising patient-centric care’, </w:t>
      </w:r>
      <w:r w:rsidRPr="00462900">
        <w:rPr>
          <w:rFonts w:ascii="Arial" w:hAnsi="Arial" w:cs="Arial"/>
          <w:i/>
          <w:iCs/>
        </w:rPr>
        <w:t>Cureus</w:t>
      </w:r>
      <w:r w:rsidRPr="00462900">
        <w:rPr>
          <w:rFonts w:ascii="Arial" w:hAnsi="Arial" w:cs="Arial"/>
        </w:rPr>
        <w:t>, 16(4).</w:t>
      </w:r>
    </w:p>
    <w:p w14:paraId="6E9E570F"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Watt, R.G. and Sheiham, A. (2012) ‘Integrating the common risk factor approach into a social determinants framework’, </w:t>
      </w:r>
      <w:r w:rsidRPr="00462900">
        <w:rPr>
          <w:rFonts w:ascii="Arial" w:hAnsi="Arial" w:cs="Arial"/>
          <w:i/>
          <w:iCs/>
        </w:rPr>
        <w:t>Community Dentistry and Oral Epidemiology</w:t>
      </w:r>
      <w:r w:rsidRPr="00462900">
        <w:rPr>
          <w:rFonts w:ascii="Arial" w:hAnsi="Arial" w:cs="Arial"/>
        </w:rPr>
        <w:t>, 40(4), pp.289–296.</w:t>
      </w:r>
    </w:p>
    <w:p w14:paraId="4B7EC2AD"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West, M., Eckert, R., Collins, B. and Chowla, R. (2017) </w:t>
      </w:r>
      <w:r w:rsidRPr="00462900">
        <w:rPr>
          <w:rFonts w:ascii="Arial" w:hAnsi="Arial" w:cs="Arial"/>
          <w:i/>
          <w:iCs/>
        </w:rPr>
        <w:t>Caring to change: How compassionate leadership can stimulate innovation in health care</w:t>
      </w:r>
      <w:r w:rsidRPr="00462900">
        <w:rPr>
          <w:rFonts w:ascii="Arial" w:hAnsi="Arial" w:cs="Arial"/>
        </w:rPr>
        <w:t>. London: The King’s Fund.</w:t>
      </w:r>
    </w:p>
    <w:p w14:paraId="58FF33CC" w14:textId="77777777" w:rsidR="00462900" w:rsidRPr="00462900" w:rsidRDefault="00462900" w:rsidP="00462900">
      <w:pPr>
        <w:spacing w:line="360" w:lineRule="auto"/>
        <w:jc w:val="both"/>
        <w:rPr>
          <w:rFonts w:ascii="Arial" w:hAnsi="Arial" w:cs="Arial"/>
        </w:rPr>
      </w:pPr>
      <w:r w:rsidRPr="00462900">
        <w:rPr>
          <w:rFonts w:ascii="Arial" w:hAnsi="Arial" w:cs="Arial"/>
        </w:rPr>
        <w:t xml:space="preserve">Zuber, V. (2018) ‘Creativity and positive mental health in social care settings’, </w:t>
      </w:r>
      <w:r w:rsidRPr="00462900">
        <w:rPr>
          <w:rFonts w:ascii="Arial" w:hAnsi="Arial" w:cs="Arial"/>
          <w:i/>
          <w:iCs/>
        </w:rPr>
        <w:t>The Arts in Psychotherapy</w:t>
      </w:r>
      <w:r w:rsidRPr="00462900">
        <w:rPr>
          <w:rFonts w:ascii="Arial" w:hAnsi="Arial" w:cs="Arial"/>
        </w:rPr>
        <w:t>, 59, pp.70–77.</w:t>
      </w:r>
    </w:p>
    <w:p w14:paraId="59DF0578" w14:textId="77777777" w:rsidR="00193B7B" w:rsidRDefault="00193B7B"/>
    <w:sectPr w:rsidR="00193B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E4ED3"/>
    <w:multiLevelType w:val="multilevel"/>
    <w:tmpl w:val="8C621A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89E5F10"/>
    <w:multiLevelType w:val="multilevel"/>
    <w:tmpl w:val="87FC73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31733068">
    <w:abstractNumId w:val="0"/>
  </w:num>
  <w:num w:numId="2" w16cid:durableId="1411931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BAC"/>
    <w:rsid w:val="00013C5D"/>
    <w:rsid w:val="000418A9"/>
    <w:rsid w:val="00053373"/>
    <w:rsid w:val="00053CB2"/>
    <w:rsid w:val="00063BF3"/>
    <w:rsid w:val="00087EC9"/>
    <w:rsid w:val="000A6BFC"/>
    <w:rsid w:val="000F4CC4"/>
    <w:rsid w:val="00110325"/>
    <w:rsid w:val="00136B00"/>
    <w:rsid w:val="00160BFC"/>
    <w:rsid w:val="001614E0"/>
    <w:rsid w:val="00193B7B"/>
    <w:rsid w:val="00194EE5"/>
    <w:rsid w:val="0019618B"/>
    <w:rsid w:val="001A4A3F"/>
    <w:rsid w:val="001C7526"/>
    <w:rsid w:val="001D20F7"/>
    <w:rsid w:val="00203DAB"/>
    <w:rsid w:val="00246955"/>
    <w:rsid w:val="00250B29"/>
    <w:rsid w:val="002A1023"/>
    <w:rsid w:val="002E73E3"/>
    <w:rsid w:val="00315C48"/>
    <w:rsid w:val="003A6F8B"/>
    <w:rsid w:val="003E2C01"/>
    <w:rsid w:val="00402B2A"/>
    <w:rsid w:val="00422928"/>
    <w:rsid w:val="00462900"/>
    <w:rsid w:val="00477EF0"/>
    <w:rsid w:val="004804E2"/>
    <w:rsid w:val="004944DA"/>
    <w:rsid w:val="004B7902"/>
    <w:rsid w:val="004B7DC0"/>
    <w:rsid w:val="005009B3"/>
    <w:rsid w:val="00516B2F"/>
    <w:rsid w:val="005318A9"/>
    <w:rsid w:val="00533F0A"/>
    <w:rsid w:val="00540DCF"/>
    <w:rsid w:val="00541BA5"/>
    <w:rsid w:val="00542896"/>
    <w:rsid w:val="005A5C91"/>
    <w:rsid w:val="005D401D"/>
    <w:rsid w:val="005D4B2A"/>
    <w:rsid w:val="005E32CE"/>
    <w:rsid w:val="005F63FE"/>
    <w:rsid w:val="00656B4F"/>
    <w:rsid w:val="006725F1"/>
    <w:rsid w:val="00673C6A"/>
    <w:rsid w:val="00687093"/>
    <w:rsid w:val="006A5D43"/>
    <w:rsid w:val="006C0D2E"/>
    <w:rsid w:val="006E3FC2"/>
    <w:rsid w:val="006F78F6"/>
    <w:rsid w:val="00721F34"/>
    <w:rsid w:val="00740BDD"/>
    <w:rsid w:val="007427D5"/>
    <w:rsid w:val="00755462"/>
    <w:rsid w:val="00773905"/>
    <w:rsid w:val="007A145A"/>
    <w:rsid w:val="007D189F"/>
    <w:rsid w:val="007E7BAB"/>
    <w:rsid w:val="00802CCF"/>
    <w:rsid w:val="008614B5"/>
    <w:rsid w:val="00886884"/>
    <w:rsid w:val="008C7CEB"/>
    <w:rsid w:val="008E680F"/>
    <w:rsid w:val="00925B2B"/>
    <w:rsid w:val="009856F7"/>
    <w:rsid w:val="009A01B4"/>
    <w:rsid w:val="009E3133"/>
    <w:rsid w:val="009E4B16"/>
    <w:rsid w:val="00A158FB"/>
    <w:rsid w:val="00A72A12"/>
    <w:rsid w:val="00A74019"/>
    <w:rsid w:val="00A84F33"/>
    <w:rsid w:val="00AB2805"/>
    <w:rsid w:val="00AB3EB7"/>
    <w:rsid w:val="00AE5D9C"/>
    <w:rsid w:val="00AF3D35"/>
    <w:rsid w:val="00B91A1B"/>
    <w:rsid w:val="00B97BAC"/>
    <w:rsid w:val="00BC48D1"/>
    <w:rsid w:val="00BC605D"/>
    <w:rsid w:val="00C9358F"/>
    <w:rsid w:val="00C93D2C"/>
    <w:rsid w:val="00C97127"/>
    <w:rsid w:val="00CA2AFB"/>
    <w:rsid w:val="00CA6F93"/>
    <w:rsid w:val="00CC2A47"/>
    <w:rsid w:val="00CD6B4F"/>
    <w:rsid w:val="00CE78EB"/>
    <w:rsid w:val="00D01A59"/>
    <w:rsid w:val="00D7106A"/>
    <w:rsid w:val="00DB3C9A"/>
    <w:rsid w:val="00DD5BB2"/>
    <w:rsid w:val="00DF6823"/>
    <w:rsid w:val="00E14D80"/>
    <w:rsid w:val="00E23537"/>
    <w:rsid w:val="00E267D8"/>
    <w:rsid w:val="00E40EF5"/>
    <w:rsid w:val="00E61A89"/>
    <w:rsid w:val="00EC3A5C"/>
    <w:rsid w:val="00ED49AB"/>
    <w:rsid w:val="00EE5D9D"/>
    <w:rsid w:val="00F028A7"/>
    <w:rsid w:val="00F109DE"/>
    <w:rsid w:val="00F179C2"/>
    <w:rsid w:val="00F37DB0"/>
    <w:rsid w:val="00F47ACA"/>
    <w:rsid w:val="00F57E9A"/>
    <w:rsid w:val="00F94CFE"/>
    <w:rsid w:val="00FA2D5A"/>
    <w:rsid w:val="00FA7429"/>
    <w:rsid w:val="00FB1385"/>
    <w:rsid w:val="00FB4D79"/>
    <w:rsid w:val="00FC2A50"/>
    <w:rsid w:val="00FD070C"/>
    <w:rsid w:val="00FD2A63"/>
    <w:rsid w:val="00FE4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5869A"/>
  <w15:chartTrackingRefBased/>
  <w15:docId w15:val="{32E4E163-6A4D-4A7D-A9C5-CF105B627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7B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7B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7B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7B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7B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7B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7B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7B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7B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B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7B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7B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7B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7B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7B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7B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7B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7BAC"/>
    <w:rPr>
      <w:rFonts w:eastAsiaTheme="majorEastAsia" w:cstheme="majorBidi"/>
      <w:color w:val="272727" w:themeColor="text1" w:themeTint="D8"/>
    </w:rPr>
  </w:style>
  <w:style w:type="paragraph" w:styleId="Title">
    <w:name w:val="Title"/>
    <w:basedOn w:val="Normal"/>
    <w:next w:val="Normal"/>
    <w:link w:val="TitleChar"/>
    <w:uiPriority w:val="10"/>
    <w:qFormat/>
    <w:rsid w:val="00B97B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7B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7B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7B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7BAC"/>
    <w:pPr>
      <w:spacing w:before="160"/>
      <w:jc w:val="center"/>
    </w:pPr>
    <w:rPr>
      <w:i/>
      <w:iCs/>
      <w:color w:val="404040" w:themeColor="text1" w:themeTint="BF"/>
    </w:rPr>
  </w:style>
  <w:style w:type="character" w:customStyle="1" w:styleId="QuoteChar">
    <w:name w:val="Quote Char"/>
    <w:basedOn w:val="DefaultParagraphFont"/>
    <w:link w:val="Quote"/>
    <w:uiPriority w:val="29"/>
    <w:rsid w:val="00B97BAC"/>
    <w:rPr>
      <w:i/>
      <w:iCs/>
      <w:color w:val="404040" w:themeColor="text1" w:themeTint="BF"/>
    </w:rPr>
  </w:style>
  <w:style w:type="paragraph" w:styleId="ListParagraph">
    <w:name w:val="List Paragraph"/>
    <w:basedOn w:val="Normal"/>
    <w:uiPriority w:val="34"/>
    <w:qFormat/>
    <w:rsid w:val="00B97BAC"/>
    <w:pPr>
      <w:ind w:left="720"/>
      <w:contextualSpacing/>
    </w:pPr>
  </w:style>
  <w:style w:type="character" w:styleId="IntenseEmphasis">
    <w:name w:val="Intense Emphasis"/>
    <w:basedOn w:val="DefaultParagraphFont"/>
    <w:uiPriority w:val="21"/>
    <w:qFormat/>
    <w:rsid w:val="00B97BAC"/>
    <w:rPr>
      <w:i/>
      <w:iCs/>
      <w:color w:val="0F4761" w:themeColor="accent1" w:themeShade="BF"/>
    </w:rPr>
  </w:style>
  <w:style w:type="paragraph" w:styleId="IntenseQuote">
    <w:name w:val="Intense Quote"/>
    <w:basedOn w:val="Normal"/>
    <w:next w:val="Normal"/>
    <w:link w:val="IntenseQuoteChar"/>
    <w:uiPriority w:val="30"/>
    <w:qFormat/>
    <w:rsid w:val="00B97B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7BAC"/>
    <w:rPr>
      <w:i/>
      <w:iCs/>
      <w:color w:val="0F4761" w:themeColor="accent1" w:themeShade="BF"/>
    </w:rPr>
  </w:style>
  <w:style w:type="character" w:styleId="IntenseReference">
    <w:name w:val="Intense Reference"/>
    <w:basedOn w:val="DefaultParagraphFont"/>
    <w:uiPriority w:val="32"/>
    <w:qFormat/>
    <w:rsid w:val="00B97BAC"/>
    <w:rPr>
      <w:b/>
      <w:bCs/>
      <w:smallCaps/>
      <w:color w:val="0F4761" w:themeColor="accent1" w:themeShade="BF"/>
      <w:spacing w:val="5"/>
    </w:rPr>
  </w:style>
  <w:style w:type="character" w:styleId="Hyperlink">
    <w:name w:val="Hyperlink"/>
    <w:basedOn w:val="DefaultParagraphFont"/>
    <w:uiPriority w:val="99"/>
    <w:unhideWhenUsed/>
    <w:rsid w:val="00193B7B"/>
    <w:rPr>
      <w:color w:val="467886" w:themeColor="hyperlink"/>
      <w:u w:val="single"/>
    </w:rPr>
  </w:style>
  <w:style w:type="character" w:styleId="UnresolvedMention">
    <w:name w:val="Unresolved Mention"/>
    <w:basedOn w:val="DefaultParagraphFont"/>
    <w:uiPriority w:val="99"/>
    <w:semiHidden/>
    <w:unhideWhenUsed/>
    <w:rsid w:val="00CA2AFB"/>
    <w:rPr>
      <w:color w:val="605E5C"/>
      <w:shd w:val="clear" w:color="auto" w:fill="E1DFDD"/>
    </w:rPr>
  </w:style>
  <w:style w:type="character" w:styleId="FollowedHyperlink">
    <w:name w:val="FollowedHyperlink"/>
    <w:basedOn w:val="DefaultParagraphFont"/>
    <w:uiPriority w:val="99"/>
    <w:semiHidden/>
    <w:unhideWhenUsed/>
    <w:rsid w:val="004804E2"/>
    <w:rPr>
      <w:color w:val="96607D" w:themeColor="followedHyperlink"/>
      <w:u w:val="single"/>
    </w:rPr>
  </w:style>
  <w:style w:type="paragraph" w:styleId="NormalWeb">
    <w:name w:val="Normal (Web)"/>
    <w:basedOn w:val="Normal"/>
    <w:uiPriority w:val="99"/>
    <w:semiHidden/>
    <w:unhideWhenUsed/>
    <w:rsid w:val="00EC3A5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EC3A5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hyperlink" Target="https://www.mind.org.uk/media/8575/mind-20582-trying-to-connect-report-aw2-welsh-recommendations-lr.pdf"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imperial.nhs.uk/about-us/news/remote-monitoring-of-heart-attack-patients-significantly-reduced-hospital-readmission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qc.org.uk/sites/default/files/20210208_InnovationPrinciples_report.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A39950-666B-4350-93AF-1AD8FD7494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2670</Words>
  <Characters>15222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Melania Ciornei (2329516)</dc:creator>
  <cp:keywords/>
  <dc:description/>
  <cp:lastModifiedBy>Melania Ciornei (2329516)</cp:lastModifiedBy>
  <cp:revision>31</cp:revision>
  <dcterms:created xsi:type="dcterms:W3CDTF">2025-10-14T19:00:00Z</dcterms:created>
  <dcterms:modified xsi:type="dcterms:W3CDTF">2025-11-06T08:18:00Z</dcterms:modified>
</cp:coreProperties>
</file>