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6C3E79" w14:textId="48CA8F0F" w:rsidR="00F1582F" w:rsidRPr="00A2022C" w:rsidRDefault="00A2022C" w:rsidP="00A2022C">
      <w:pPr>
        <w:pStyle w:val="Heading1"/>
        <w:rPr>
          <w:lang w:val="en-GB"/>
        </w:rPr>
      </w:pPr>
      <w:r>
        <w:rPr>
          <w:lang w:val="en-GB"/>
        </w:rPr>
        <w:t>Commentary on Luke 10:</w:t>
      </w:r>
      <w:r w:rsidR="00871275">
        <w:rPr>
          <w:lang w:val="en-GB"/>
        </w:rPr>
        <w:t>38-42</w:t>
      </w:r>
    </w:p>
    <w:p w14:paraId="3614B738" w14:textId="77777777" w:rsidR="006A1094" w:rsidRDefault="006A1094" w:rsidP="00866FFA">
      <w:pPr>
        <w:spacing w:line="360" w:lineRule="auto"/>
        <w:rPr>
          <w:lang w:val="en-GB"/>
        </w:rPr>
      </w:pPr>
    </w:p>
    <w:p w14:paraId="1AC39ECE" w14:textId="41996DC3" w:rsidR="004E2790" w:rsidRDefault="004E2790" w:rsidP="00866FFA">
      <w:pPr>
        <w:spacing w:line="360" w:lineRule="auto"/>
        <w:rPr>
          <w:lang w:val="en-GB"/>
        </w:rPr>
      </w:pPr>
      <w:r>
        <w:rPr>
          <w:lang w:val="en-GB"/>
        </w:rPr>
        <w:t>This essay offers a literary reading of the account of Martha and Mary</w:t>
      </w:r>
      <w:r w:rsidR="009A1224">
        <w:rPr>
          <w:lang w:val="en-GB"/>
        </w:rPr>
        <w:t xml:space="preserve"> in Luke’s Gospel. This scene forms part of Luke’s special material within the synoptic tradition</w:t>
      </w:r>
      <w:r w:rsidR="009A1224">
        <w:rPr>
          <w:rStyle w:val="FootnoteReference"/>
          <w:lang w:val="en-GB"/>
        </w:rPr>
        <w:footnoteReference w:id="1"/>
      </w:r>
      <w:r w:rsidR="009A1224">
        <w:rPr>
          <w:lang w:val="en-GB"/>
        </w:rPr>
        <w:t xml:space="preserve"> and, unlike John’s Gospel, it is the two women who drive the narrative forward, rather than their brother Lazarus (John 11:1-12:8), who Luke’s tradition appears not to know.</w:t>
      </w:r>
      <w:r w:rsidR="009A1224">
        <w:rPr>
          <w:rStyle w:val="FootnoteReference"/>
          <w:lang w:val="en-GB"/>
        </w:rPr>
        <w:footnoteReference w:id="2"/>
      </w:r>
      <w:r w:rsidR="009A1224">
        <w:rPr>
          <w:lang w:val="en-GB"/>
        </w:rPr>
        <w:t xml:space="preserve"> </w:t>
      </w:r>
      <w:r w:rsidR="000556FE">
        <w:rPr>
          <w:lang w:val="en-GB"/>
        </w:rPr>
        <w:t>Historical r</w:t>
      </w:r>
      <w:r w:rsidR="009D6849">
        <w:rPr>
          <w:lang w:val="en-GB"/>
        </w:rPr>
        <w:t xml:space="preserve">eadings have </w:t>
      </w:r>
      <w:r w:rsidR="000556FE">
        <w:rPr>
          <w:lang w:val="en-GB"/>
        </w:rPr>
        <w:t>often</w:t>
      </w:r>
      <w:r w:rsidR="009D6849">
        <w:rPr>
          <w:lang w:val="en-GB"/>
        </w:rPr>
        <w:t xml:space="preserve"> </w:t>
      </w:r>
      <w:r w:rsidR="00787899">
        <w:rPr>
          <w:lang w:val="en-GB"/>
        </w:rPr>
        <w:t>posited that the two</w:t>
      </w:r>
      <w:r w:rsidR="009D6849">
        <w:rPr>
          <w:lang w:val="en-GB"/>
        </w:rPr>
        <w:t xml:space="preserve"> </w:t>
      </w:r>
      <w:r w:rsidR="00787899">
        <w:rPr>
          <w:lang w:val="en-GB"/>
        </w:rPr>
        <w:t>women</w:t>
      </w:r>
      <w:r w:rsidR="009D6849">
        <w:rPr>
          <w:lang w:val="en-GB"/>
        </w:rPr>
        <w:t xml:space="preserve"> </w:t>
      </w:r>
      <w:r w:rsidR="00787899">
        <w:rPr>
          <w:lang w:val="en-GB"/>
        </w:rPr>
        <w:t>embody</w:t>
      </w:r>
      <w:r w:rsidR="009D6849">
        <w:rPr>
          <w:lang w:val="en-GB"/>
        </w:rPr>
        <w:t xml:space="preserve"> a contrast between activity and contemplation, whereby</w:t>
      </w:r>
      <w:r w:rsidR="00881170">
        <w:rPr>
          <w:lang w:val="en-GB"/>
        </w:rPr>
        <w:t xml:space="preserve"> the contemplative</w:t>
      </w:r>
      <w:r w:rsidR="009D6849">
        <w:rPr>
          <w:lang w:val="en-GB"/>
        </w:rPr>
        <w:t xml:space="preserve"> Mary serves as an example of ‘the better part’. Indeed, Reformation readers such as Luther sharpened this contrast even more by seeing Martha as an example of the perils of self-justification.</w:t>
      </w:r>
      <w:r w:rsidR="009D6849">
        <w:rPr>
          <w:rStyle w:val="FootnoteReference"/>
          <w:lang w:val="en-GB"/>
        </w:rPr>
        <w:footnoteReference w:id="3"/>
      </w:r>
      <w:r w:rsidR="009D6849">
        <w:rPr>
          <w:lang w:val="en-GB"/>
        </w:rPr>
        <w:t xml:space="preserve"> </w:t>
      </w:r>
      <w:r w:rsidR="000556FE">
        <w:rPr>
          <w:lang w:val="en-GB"/>
        </w:rPr>
        <w:t xml:space="preserve">Reviewing the history of interpretation, </w:t>
      </w:r>
      <w:r w:rsidR="00881170">
        <w:rPr>
          <w:lang w:val="en-GB"/>
        </w:rPr>
        <w:t xml:space="preserve">Elisabeth Moltmann-Wendel </w:t>
      </w:r>
      <w:r w:rsidR="001019E7">
        <w:rPr>
          <w:lang w:val="en-GB"/>
        </w:rPr>
        <w:t>highlights</w:t>
      </w:r>
      <w:r w:rsidR="00881170">
        <w:rPr>
          <w:lang w:val="en-GB"/>
        </w:rPr>
        <w:t xml:space="preserve"> the gendered nature of this </w:t>
      </w:r>
      <w:r w:rsidR="000556FE">
        <w:rPr>
          <w:lang w:val="en-GB"/>
        </w:rPr>
        <w:t xml:space="preserve">kind of </w:t>
      </w:r>
      <w:r w:rsidR="00881170">
        <w:rPr>
          <w:lang w:val="en-GB"/>
        </w:rPr>
        <w:t xml:space="preserve">reading, and indeed Luke’s own composition, </w:t>
      </w:r>
      <w:r w:rsidR="000D71E9">
        <w:rPr>
          <w:lang w:val="en-GB"/>
        </w:rPr>
        <w:t xml:space="preserve">playfully </w:t>
      </w:r>
      <w:r w:rsidR="00881170">
        <w:rPr>
          <w:lang w:val="en-GB"/>
        </w:rPr>
        <w:t xml:space="preserve">suggesting that Luke was intimidated by Martha’s competence and offers this </w:t>
      </w:r>
      <w:r w:rsidR="00E41898">
        <w:rPr>
          <w:lang w:val="en-GB"/>
        </w:rPr>
        <w:t>periscope with a warning tone</w:t>
      </w:r>
      <w:r w:rsidR="00881170">
        <w:rPr>
          <w:lang w:val="en-GB"/>
        </w:rPr>
        <w:t>: ‘too much emancipation is dangerous</w:t>
      </w:r>
      <w:r w:rsidR="00F3397C">
        <w:rPr>
          <w:lang w:val="en-GB"/>
        </w:rPr>
        <w:t>!</w:t>
      </w:r>
      <w:r w:rsidR="00881170">
        <w:rPr>
          <w:lang w:val="en-GB"/>
        </w:rPr>
        <w:t>’</w:t>
      </w:r>
      <w:r w:rsidR="00881170">
        <w:rPr>
          <w:rStyle w:val="FootnoteReference"/>
          <w:lang w:val="en-GB"/>
        </w:rPr>
        <w:footnoteReference w:id="4"/>
      </w:r>
      <w:r w:rsidR="00881170">
        <w:rPr>
          <w:lang w:val="en-GB"/>
        </w:rPr>
        <w:t xml:space="preserve"> In this essay, I deploy a literary reading of the story informed by Family Systems Theory to resituate the conflict outside of the dichotomy between the two women’s individual choices, meaning the reader </w:t>
      </w:r>
      <w:r w:rsidR="00C358AF">
        <w:rPr>
          <w:lang w:val="en-GB"/>
        </w:rPr>
        <w:t>no longer needs to make a value judgement between the two women.</w:t>
      </w:r>
    </w:p>
    <w:p w14:paraId="72808E26" w14:textId="77777777" w:rsidR="002F6CF6" w:rsidRDefault="002F6CF6" w:rsidP="00866FFA">
      <w:pPr>
        <w:spacing w:line="360" w:lineRule="auto"/>
        <w:rPr>
          <w:lang w:val="en-GB"/>
        </w:rPr>
      </w:pPr>
    </w:p>
    <w:p w14:paraId="286BCC38" w14:textId="1797DEDB" w:rsidR="00866FFA" w:rsidRDefault="00866FFA" w:rsidP="00866FFA">
      <w:pPr>
        <w:spacing w:line="360" w:lineRule="auto"/>
        <w:rPr>
          <w:lang w:val="en-GB"/>
        </w:rPr>
      </w:pPr>
      <w:r>
        <w:rPr>
          <w:lang w:val="en-GB"/>
        </w:rPr>
        <w:t xml:space="preserve">The drama of the story revolves around the </w:t>
      </w:r>
      <w:r w:rsidR="006357D2">
        <w:rPr>
          <w:lang w:val="en-GB"/>
        </w:rPr>
        <w:t xml:space="preserve">relationship between the </w:t>
      </w:r>
      <w:r>
        <w:rPr>
          <w:lang w:val="en-GB"/>
        </w:rPr>
        <w:t>two sisters</w:t>
      </w:r>
      <w:r w:rsidR="00BB67FE">
        <w:rPr>
          <w:lang w:val="en-GB"/>
        </w:rPr>
        <w:t>, the offer of hospitality to Jesus provoking a conflict between Martha and Mary.</w:t>
      </w:r>
      <w:r w:rsidR="006357D2">
        <w:rPr>
          <w:lang w:val="en-GB"/>
        </w:rPr>
        <w:t xml:space="preserve"> </w:t>
      </w:r>
      <w:r w:rsidR="00F47DAF">
        <w:rPr>
          <w:lang w:val="en-GB"/>
        </w:rPr>
        <w:t>Spatially, this offer of hospitality marks a change from the previous block of Jesus’ public teaching, which focussed on the sending and returning of the seventy (10:1-12;17-24) and public challenges to Jesus’ interpretation of the law (10:25), providing the occasion for the Parable of the Good Samaritan.</w:t>
      </w:r>
      <w:r w:rsidR="00C20346">
        <w:rPr>
          <w:lang w:val="en-GB"/>
        </w:rPr>
        <w:t xml:space="preserve"> By contrast, the action of this story take place in a domestic setting, behind closed doors with an </w:t>
      </w:r>
      <w:r w:rsidR="00E41898">
        <w:rPr>
          <w:lang w:val="en-GB"/>
        </w:rPr>
        <w:t xml:space="preserve">implied </w:t>
      </w:r>
      <w:r w:rsidR="00C20346">
        <w:rPr>
          <w:lang w:val="en-GB"/>
        </w:rPr>
        <w:t xml:space="preserve">omniscient narrator. </w:t>
      </w:r>
      <w:r w:rsidR="009A1224">
        <w:rPr>
          <w:lang w:val="en-GB"/>
        </w:rPr>
        <w:t>The disciples, presumed to be travelling with Jesus, fade into the background and the two women take centre stage.</w:t>
      </w:r>
      <w:r w:rsidR="009A1224">
        <w:rPr>
          <w:rStyle w:val="FootnoteReference"/>
          <w:lang w:val="en-GB"/>
        </w:rPr>
        <w:footnoteReference w:id="5"/>
      </w:r>
    </w:p>
    <w:p w14:paraId="19DACCD3" w14:textId="77777777" w:rsidR="00866FFA" w:rsidRDefault="00866FFA" w:rsidP="00866FFA">
      <w:pPr>
        <w:spacing w:line="360" w:lineRule="auto"/>
        <w:rPr>
          <w:lang w:val="en-GB"/>
        </w:rPr>
      </w:pPr>
    </w:p>
    <w:p w14:paraId="13C753DE" w14:textId="53992627" w:rsidR="00866FFA" w:rsidRDefault="00866FFA" w:rsidP="00866FFA">
      <w:pPr>
        <w:spacing w:line="360" w:lineRule="auto"/>
        <w:rPr>
          <w:lang w:val="en-GB"/>
        </w:rPr>
      </w:pPr>
      <w:r>
        <w:rPr>
          <w:lang w:val="en-GB"/>
        </w:rPr>
        <w:t>Martha represents a character</w:t>
      </w:r>
      <w:r w:rsidR="00886CB6">
        <w:rPr>
          <w:lang w:val="en-GB"/>
        </w:rPr>
        <w:t>-</w:t>
      </w:r>
      <w:r>
        <w:rPr>
          <w:lang w:val="en-GB"/>
        </w:rPr>
        <w:t xml:space="preserve">type who appears relatively frequently in the Lukan materials: independent women of means who financially support the </w:t>
      </w:r>
      <w:r w:rsidR="006357D2">
        <w:rPr>
          <w:lang w:val="en-GB"/>
        </w:rPr>
        <w:t xml:space="preserve">ministry of Jesus or the early Jesus movement (compare Mary of Magdala, Joanna and Susanna in Luke 8:1-3, or alternatively Lydia </w:t>
      </w:r>
      <w:r w:rsidR="006357D2">
        <w:rPr>
          <w:lang w:val="en-GB"/>
        </w:rPr>
        <w:lastRenderedPageBreak/>
        <w:t>in Acts 16:14-15).</w:t>
      </w:r>
      <w:r w:rsidR="00DE75CD">
        <w:rPr>
          <w:rStyle w:val="FootnoteReference"/>
          <w:lang w:val="en-GB"/>
        </w:rPr>
        <w:footnoteReference w:id="6"/>
      </w:r>
      <w:r w:rsidR="006357D2">
        <w:rPr>
          <w:lang w:val="en-GB"/>
        </w:rPr>
        <w:t xml:space="preserve"> </w:t>
      </w:r>
      <w:r w:rsidR="00D15923">
        <w:rPr>
          <w:lang w:val="en-GB"/>
        </w:rPr>
        <w:t xml:space="preserve">Martha appears to be </w:t>
      </w:r>
      <w:r w:rsidR="00D27BA8">
        <w:rPr>
          <w:lang w:val="en-GB"/>
        </w:rPr>
        <w:t>own her property</w:t>
      </w:r>
      <w:r w:rsidR="00D15923">
        <w:rPr>
          <w:lang w:val="en-GB"/>
        </w:rPr>
        <w:t xml:space="preserve"> and the one issuing the offer of hospitality, thus acting as the head of the household</w:t>
      </w:r>
      <w:r w:rsidR="00B85022">
        <w:rPr>
          <w:lang w:val="en-GB"/>
        </w:rPr>
        <w:t>.</w:t>
      </w:r>
      <w:r w:rsidR="00904ACE">
        <w:rPr>
          <w:rStyle w:val="FootnoteReference"/>
          <w:lang w:val="en-GB"/>
        </w:rPr>
        <w:footnoteReference w:id="7"/>
      </w:r>
      <w:r w:rsidR="006357D2">
        <w:rPr>
          <w:lang w:val="en-GB"/>
        </w:rPr>
        <w:t xml:space="preserve"> </w:t>
      </w:r>
    </w:p>
    <w:p w14:paraId="78AD4A9C" w14:textId="77777777" w:rsidR="002F6CF6" w:rsidRDefault="002F6CF6" w:rsidP="00866FFA">
      <w:pPr>
        <w:spacing w:line="360" w:lineRule="auto"/>
        <w:rPr>
          <w:lang w:val="en-GB"/>
        </w:rPr>
      </w:pPr>
    </w:p>
    <w:p w14:paraId="04E50964" w14:textId="752DC9D1" w:rsidR="00D15923" w:rsidRDefault="00402B64" w:rsidP="00866FFA">
      <w:pPr>
        <w:spacing w:line="360" w:lineRule="auto"/>
        <w:rPr>
          <w:lang w:val="en-GB"/>
        </w:rPr>
      </w:pPr>
      <w:r>
        <w:rPr>
          <w:lang w:val="en-GB"/>
        </w:rPr>
        <w:t xml:space="preserve">The details of the plot are sparse, but vivid. </w:t>
      </w:r>
      <w:r w:rsidR="00D15923">
        <w:rPr>
          <w:lang w:val="en-GB"/>
        </w:rPr>
        <w:t>Mary, whose transgressive action is the central conflict driving the plot forward, is the subject of just one ver</w:t>
      </w:r>
      <w:r w:rsidR="00E16DCB">
        <w:rPr>
          <w:lang w:val="en-GB"/>
        </w:rPr>
        <w:t>b</w:t>
      </w:r>
      <w:r w:rsidR="00D15923">
        <w:rPr>
          <w:lang w:val="en-GB"/>
        </w:rPr>
        <w:t xml:space="preserve">: she is </w:t>
      </w:r>
      <w:r w:rsidR="00D15923" w:rsidRPr="009333A0">
        <w:rPr>
          <w:i/>
          <w:iCs/>
          <w:lang w:val="en-GB"/>
        </w:rPr>
        <w:t>sitting</w:t>
      </w:r>
      <w:r w:rsidR="00D15923">
        <w:rPr>
          <w:lang w:val="en-GB"/>
        </w:rPr>
        <w:t xml:space="preserve"> at the Lord’s feet (Luke 10:39</w:t>
      </w:r>
      <w:r w:rsidR="00EE11FB">
        <w:rPr>
          <w:lang w:val="en-GB"/>
        </w:rPr>
        <w:t>)</w:t>
      </w:r>
      <w:r w:rsidR="00D24F31">
        <w:rPr>
          <w:lang w:val="en-GB"/>
        </w:rPr>
        <w:t>.</w:t>
      </w:r>
      <w:r w:rsidR="00D24F31">
        <w:rPr>
          <w:rStyle w:val="FootnoteReference"/>
          <w:lang w:val="en-GB"/>
        </w:rPr>
        <w:footnoteReference w:id="8"/>
      </w:r>
      <w:r w:rsidR="00D15923">
        <w:rPr>
          <w:lang w:val="en-GB"/>
        </w:rPr>
        <w:t xml:space="preserve"> </w:t>
      </w:r>
      <w:r w:rsidR="00EF76CD">
        <w:rPr>
          <w:lang w:val="en-GB"/>
        </w:rPr>
        <w:t>This stillness is juxtaposed with the</w:t>
      </w:r>
      <w:r w:rsidR="00D15923">
        <w:rPr>
          <w:lang w:val="en-GB"/>
        </w:rPr>
        <w:t xml:space="preserve"> </w:t>
      </w:r>
      <w:r w:rsidR="00AA6144">
        <w:rPr>
          <w:lang w:val="en-GB"/>
        </w:rPr>
        <w:t xml:space="preserve">activity </w:t>
      </w:r>
      <w:r w:rsidR="00D15923">
        <w:rPr>
          <w:lang w:val="en-GB"/>
        </w:rPr>
        <w:t>of Martha</w:t>
      </w:r>
      <w:r w:rsidR="00386F87">
        <w:rPr>
          <w:lang w:val="en-GB"/>
        </w:rPr>
        <w:t xml:space="preserve">: </w:t>
      </w:r>
      <w:r w:rsidR="00D15923">
        <w:rPr>
          <w:lang w:val="en-GB"/>
        </w:rPr>
        <w:t>welcoming Jesus into her home, being distracted by many tasks,</w:t>
      </w:r>
      <w:r w:rsidR="00F672EB">
        <w:rPr>
          <w:rStyle w:val="FootnoteReference"/>
          <w:lang w:val="en-GB"/>
        </w:rPr>
        <w:footnoteReference w:id="9"/>
      </w:r>
      <w:r w:rsidR="00D15923">
        <w:rPr>
          <w:lang w:val="en-GB"/>
        </w:rPr>
        <w:t xml:space="preserve"> coming to Jesus</w:t>
      </w:r>
      <w:r w:rsidR="00C8410E">
        <w:rPr>
          <w:lang w:val="en-GB"/>
        </w:rPr>
        <w:t>, asking him to intervene</w:t>
      </w:r>
      <w:r w:rsidR="00D15923">
        <w:rPr>
          <w:lang w:val="en-GB"/>
        </w:rPr>
        <w:t>. Mary remains silent throughout</w:t>
      </w:r>
      <w:r w:rsidR="00FD6040">
        <w:rPr>
          <w:lang w:val="en-GB"/>
        </w:rPr>
        <w:t>; Martha is a maelstrom of acti</w:t>
      </w:r>
      <w:r w:rsidR="00253D92">
        <w:rPr>
          <w:lang w:val="en-GB"/>
        </w:rPr>
        <w:t>on</w:t>
      </w:r>
      <w:r w:rsidR="00FD6040">
        <w:rPr>
          <w:lang w:val="en-GB"/>
        </w:rPr>
        <w:t>.</w:t>
      </w:r>
      <w:r w:rsidR="00F83543">
        <w:rPr>
          <w:lang w:val="en-GB"/>
        </w:rPr>
        <w:t xml:space="preserve"> What is the reader to make of Mary, the source of the conflict?</w:t>
      </w:r>
      <w:r w:rsidR="00D15923">
        <w:rPr>
          <w:lang w:val="en-GB"/>
        </w:rPr>
        <w:t xml:space="preserve"> </w:t>
      </w:r>
      <w:r w:rsidR="00711B12">
        <w:rPr>
          <w:lang w:val="en-GB"/>
        </w:rPr>
        <w:t xml:space="preserve">On one hand, </w:t>
      </w:r>
      <w:r w:rsidR="00D27BA8">
        <w:rPr>
          <w:lang w:val="en-GB"/>
        </w:rPr>
        <w:t>Mary’s</w:t>
      </w:r>
      <w:r w:rsidR="00D15923">
        <w:rPr>
          <w:lang w:val="en-GB"/>
        </w:rPr>
        <w:t xml:space="preserve"> agency is </w:t>
      </w:r>
      <w:r w:rsidR="00D27BA8">
        <w:rPr>
          <w:lang w:val="en-GB"/>
        </w:rPr>
        <w:t>emphasised</w:t>
      </w:r>
      <w:r w:rsidR="00D15923">
        <w:rPr>
          <w:lang w:val="en-GB"/>
        </w:rPr>
        <w:t xml:space="preserve"> through the transgressive choice to take on the position of a disciple at Jesus’ feet</w:t>
      </w:r>
      <w:r w:rsidR="00F47998">
        <w:rPr>
          <w:lang w:val="en-GB"/>
        </w:rPr>
        <w:t>, a position traditionally reserved for men</w:t>
      </w:r>
      <w:r w:rsidR="00904ACE">
        <w:rPr>
          <w:rStyle w:val="FootnoteReference"/>
          <w:lang w:val="en-GB"/>
        </w:rPr>
        <w:footnoteReference w:id="10"/>
      </w:r>
      <w:r w:rsidR="00552F79">
        <w:rPr>
          <w:lang w:val="en-GB"/>
        </w:rPr>
        <w:t xml:space="preserve"> – emphasised by the active reflexive </w:t>
      </w:r>
      <w:r w:rsidR="00552F79" w:rsidRPr="00552F79">
        <w:rPr>
          <w:lang w:val="en-GB"/>
        </w:rPr>
        <w:t>παρακαθεσθεῖσα</w:t>
      </w:r>
      <w:r w:rsidR="00552F79">
        <w:rPr>
          <w:rStyle w:val="FootnoteReference"/>
          <w:lang w:val="en-GB"/>
        </w:rPr>
        <w:footnoteReference w:id="11"/>
      </w:r>
      <w:r w:rsidR="000B249B">
        <w:rPr>
          <w:lang w:val="en-GB"/>
        </w:rPr>
        <w:t xml:space="preserve"> (10:39)</w:t>
      </w:r>
      <w:r w:rsidR="00711B12">
        <w:rPr>
          <w:lang w:val="en-GB"/>
        </w:rPr>
        <w:t xml:space="preserve">, </w:t>
      </w:r>
      <w:r w:rsidR="000B249B">
        <w:rPr>
          <w:lang w:val="en-GB"/>
        </w:rPr>
        <w:t xml:space="preserve">and </w:t>
      </w:r>
      <w:r w:rsidR="00D27BA8">
        <w:rPr>
          <w:lang w:val="en-GB"/>
        </w:rPr>
        <w:t>Jesus’ affirmation</w:t>
      </w:r>
      <w:r w:rsidR="000B249B">
        <w:rPr>
          <w:lang w:val="en-GB"/>
        </w:rPr>
        <w:t xml:space="preserve"> of the decision in the dialogue “Mary has chosen the better part” (10:42)</w:t>
      </w:r>
      <w:r w:rsidR="00F47998">
        <w:rPr>
          <w:lang w:val="en-GB"/>
        </w:rPr>
        <w:t xml:space="preserve">. At the same time, though, her agency is </w:t>
      </w:r>
      <w:r w:rsidR="00D15923">
        <w:rPr>
          <w:lang w:val="en-GB"/>
        </w:rPr>
        <w:t>reduced by the fact that she does not resolve the conflict for herself but instead is dependent on Jesus intervening on her behalf</w:t>
      </w:r>
      <w:r w:rsidR="00C14222">
        <w:rPr>
          <w:lang w:val="en-GB"/>
        </w:rPr>
        <w:t>.</w:t>
      </w:r>
      <w:r w:rsidR="00F47DAF">
        <w:rPr>
          <w:lang w:val="en-GB"/>
        </w:rPr>
        <w:t xml:space="preserve"> </w:t>
      </w:r>
      <w:r w:rsidR="00101FAD">
        <w:rPr>
          <w:lang w:val="en-GB"/>
        </w:rPr>
        <w:t xml:space="preserve">Mary’s </w:t>
      </w:r>
      <w:r w:rsidR="00412B0F">
        <w:rPr>
          <w:lang w:val="en-GB"/>
        </w:rPr>
        <w:t>situation is thus ambiguous, and it is this ambiguity that is challenging for many readers of the account.</w:t>
      </w:r>
      <w:r w:rsidR="006C0E75">
        <w:rPr>
          <w:lang w:val="en-GB"/>
        </w:rPr>
        <w:t xml:space="preserve"> </w:t>
      </w:r>
      <w:r w:rsidR="009F4E56">
        <w:rPr>
          <w:lang w:val="en-GB"/>
        </w:rPr>
        <w:t xml:space="preserve">The author allows her to choose her role, but denies her the ability to defend it. </w:t>
      </w:r>
      <w:r w:rsidR="00627901">
        <w:rPr>
          <w:lang w:val="en-GB"/>
        </w:rPr>
        <w:t xml:space="preserve"> </w:t>
      </w:r>
    </w:p>
    <w:p w14:paraId="55A97C4F" w14:textId="7DC3C49D" w:rsidR="00552F79" w:rsidRDefault="00552F79" w:rsidP="00866FFA">
      <w:pPr>
        <w:spacing w:line="360" w:lineRule="auto"/>
        <w:rPr>
          <w:lang w:val="en-GB"/>
        </w:rPr>
      </w:pPr>
    </w:p>
    <w:p w14:paraId="5A5AB71D" w14:textId="05C13F4E" w:rsidR="00A32A7B" w:rsidRDefault="00D73539" w:rsidP="00866FFA">
      <w:pPr>
        <w:spacing w:line="360" w:lineRule="auto"/>
        <w:rPr>
          <w:lang w:val="en-GB"/>
        </w:rPr>
      </w:pPr>
      <w:r>
        <w:rPr>
          <w:lang w:val="en-GB"/>
        </w:rPr>
        <w:t xml:space="preserve">Indeed, Jesus’ </w:t>
      </w:r>
      <w:r w:rsidR="00542015">
        <w:rPr>
          <w:lang w:val="en-GB"/>
        </w:rPr>
        <w:t>words</w:t>
      </w:r>
      <w:r>
        <w:rPr>
          <w:lang w:val="en-GB"/>
        </w:rPr>
        <w:t xml:space="preserve"> underline this ambiguity. The double vocative “Martha, Martha” (10:41) </w:t>
      </w:r>
      <w:r w:rsidR="00EB3E42">
        <w:rPr>
          <w:lang w:val="en-GB"/>
        </w:rPr>
        <w:t xml:space="preserve">begins a statement that </w:t>
      </w:r>
      <w:r>
        <w:rPr>
          <w:lang w:val="en-GB"/>
        </w:rPr>
        <w:t xml:space="preserve">affirms the </w:t>
      </w:r>
      <w:r w:rsidR="00D27BA8">
        <w:rPr>
          <w:lang w:val="en-GB"/>
        </w:rPr>
        <w:t xml:space="preserve">Mary’s action. </w:t>
      </w:r>
      <w:r>
        <w:rPr>
          <w:lang w:val="en-GB"/>
        </w:rPr>
        <w:t xml:space="preserve">Yet it is Martha who is addressed and thus Martha who is invited to take the further step necessary to complete the narrative, namely </w:t>
      </w:r>
      <w:r w:rsidR="00A92C19">
        <w:rPr>
          <w:lang w:val="en-GB"/>
        </w:rPr>
        <w:t>changing her own perspective away from her distraction</w:t>
      </w:r>
      <w:r>
        <w:rPr>
          <w:lang w:val="en-GB"/>
        </w:rPr>
        <w:t xml:space="preserve"> to emulate Mary’s contemplation.</w:t>
      </w:r>
      <w:r w:rsidR="00271A3C">
        <w:rPr>
          <w:lang w:val="en-GB"/>
        </w:rPr>
        <w:t xml:space="preserve"> She is invited to reflect on her own activity and choose to inhabit the world that Mary has spontaneously taken part in.</w:t>
      </w:r>
      <w:r w:rsidR="00271A3C">
        <w:rPr>
          <w:rStyle w:val="FootnoteReference"/>
          <w:lang w:val="en-GB"/>
        </w:rPr>
        <w:footnoteReference w:id="12"/>
      </w:r>
      <w:r>
        <w:rPr>
          <w:lang w:val="en-GB"/>
        </w:rPr>
        <w:t xml:space="preserve"> </w:t>
      </w:r>
      <w:r w:rsidR="00E927A8">
        <w:rPr>
          <w:lang w:val="en-GB"/>
        </w:rPr>
        <w:t xml:space="preserve">Assuming that she decides to accept this challenge – </w:t>
      </w:r>
      <w:r w:rsidR="0070480E">
        <w:rPr>
          <w:lang w:val="en-GB"/>
        </w:rPr>
        <w:t>a question Luke’s narrative ultimately leaves open</w:t>
      </w:r>
      <w:r w:rsidR="00E927A8">
        <w:rPr>
          <w:lang w:val="en-GB"/>
        </w:rPr>
        <w:t xml:space="preserve"> – it would </w:t>
      </w:r>
      <w:r w:rsidR="008B403B">
        <w:rPr>
          <w:lang w:val="en-GB"/>
        </w:rPr>
        <w:t>through Martha’s</w:t>
      </w:r>
      <w:r w:rsidR="00E927A8">
        <w:rPr>
          <w:lang w:val="en-GB"/>
        </w:rPr>
        <w:t xml:space="preserve"> character that the tension of the plot is resolved. </w:t>
      </w:r>
      <w:r w:rsidR="00017298">
        <w:rPr>
          <w:lang w:val="en-GB"/>
        </w:rPr>
        <w:t>At least o</w:t>
      </w:r>
      <w:r w:rsidR="002E418E">
        <w:rPr>
          <w:lang w:val="en-GB"/>
        </w:rPr>
        <w:t>n the level of the plo</w:t>
      </w:r>
      <w:r w:rsidR="00017298">
        <w:rPr>
          <w:lang w:val="en-GB"/>
        </w:rPr>
        <w:t xml:space="preserve">t, </w:t>
      </w:r>
      <w:r w:rsidR="002E418E">
        <w:rPr>
          <w:lang w:val="en-GB"/>
        </w:rPr>
        <w:t xml:space="preserve">Mary’s action, boundary challenging as it was, </w:t>
      </w:r>
      <w:r w:rsidR="0055238F">
        <w:rPr>
          <w:lang w:val="en-GB"/>
        </w:rPr>
        <w:t>merely provides an occasion for Martha to develop as a character</w:t>
      </w:r>
      <w:r w:rsidR="002E418E">
        <w:rPr>
          <w:lang w:val="en-GB"/>
        </w:rPr>
        <w:t>.</w:t>
      </w:r>
      <w:r w:rsidR="00904ACE">
        <w:rPr>
          <w:rStyle w:val="FootnoteReference"/>
          <w:lang w:val="en-GB"/>
        </w:rPr>
        <w:footnoteReference w:id="13"/>
      </w:r>
    </w:p>
    <w:p w14:paraId="62314DBF" w14:textId="188070A8" w:rsidR="00392DF1" w:rsidRDefault="00392DF1" w:rsidP="00866FFA">
      <w:pPr>
        <w:spacing w:line="360" w:lineRule="auto"/>
        <w:rPr>
          <w:lang w:val="en-GB"/>
        </w:rPr>
      </w:pPr>
    </w:p>
    <w:p w14:paraId="126E8F76" w14:textId="528984A8" w:rsidR="00392DF1" w:rsidRDefault="00392DF1" w:rsidP="00866FFA">
      <w:pPr>
        <w:spacing w:line="360" w:lineRule="auto"/>
        <w:rPr>
          <w:lang w:val="en-GB"/>
        </w:rPr>
      </w:pPr>
      <w:r>
        <w:rPr>
          <w:lang w:val="en-GB"/>
        </w:rPr>
        <w:lastRenderedPageBreak/>
        <w:t xml:space="preserve">Paying attention to these details of characterisation and plot thus complicates an easy reading of this passage where the contemplative Mary is pitted against the actionist Martha. If anything, Martha is the more colourful character, invited to take a step of growth, whereas Mary recedes into the background, little more than a plot device. </w:t>
      </w:r>
      <w:r w:rsidR="001664D2">
        <w:rPr>
          <w:lang w:val="en-GB"/>
        </w:rPr>
        <w:t xml:space="preserve">Is there another way of reading this text? </w:t>
      </w:r>
    </w:p>
    <w:p w14:paraId="5D664479" w14:textId="375DC90C" w:rsidR="006F5CFD" w:rsidRDefault="006F5CFD" w:rsidP="00866FFA">
      <w:pPr>
        <w:spacing w:line="360" w:lineRule="auto"/>
        <w:rPr>
          <w:lang w:val="en-GB"/>
        </w:rPr>
      </w:pPr>
    </w:p>
    <w:p w14:paraId="2581E336" w14:textId="103A0111" w:rsidR="00F1214A" w:rsidRDefault="00421097" w:rsidP="000B3AC8">
      <w:pPr>
        <w:spacing w:line="360" w:lineRule="auto"/>
        <w:rPr>
          <w:lang w:val="en-GB"/>
        </w:rPr>
      </w:pPr>
      <w:r>
        <w:rPr>
          <w:lang w:val="en-GB"/>
        </w:rPr>
        <w:t xml:space="preserve">Although the </w:t>
      </w:r>
      <w:r w:rsidR="000576A7">
        <w:rPr>
          <w:lang w:val="en-GB"/>
        </w:rPr>
        <w:t>narrator</w:t>
      </w:r>
      <w:r>
        <w:rPr>
          <w:lang w:val="en-GB"/>
        </w:rPr>
        <w:t xml:space="preserve"> is omnipresent, he </w:t>
      </w:r>
      <w:r w:rsidR="00C55911">
        <w:rPr>
          <w:lang w:val="en-GB"/>
        </w:rPr>
        <w:t>gives no</w:t>
      </w:r>
      <w:r>
        <w:rPr>
          <w:lang w:val="en-GB"/>
        </w:rPr>
        <w:t xml:space="preserve"> details </w:t>
      </w:r>
      <w:r w:rsidR="00DA2668">
        <w:rPr>
          <w:lang w:val="en-GB"/>
        </w:rPr>
        <w:t>about</w:t>
      </w:r>
      <w:r>
        <w:rPr>
          <w:lang w:val="en-GB"/>
        </w:rPr>
        <w:t xml:space="preserve"> the inner emotional life of the characters. The reader is left to assume</w:t>
      </w:r>
      <w:r w:rsidR="00CF36B1">
        <w:rPr>
          <w:lang w:val="en-GB"/>
        </w:rPr>
        <w:t xml:space="preserve">. </w:t>
      </w:r>
      <w:r w:rsidR="00015714">
        <w:rPr>
          <w:lang w:val="en-GB"/>
        </w:rPr>
        <w:t>Following the suggestion of Kamila Blessing,</w:t>
      </w:r>
      <w:r w:rsidR="00015714">
        <w:rPr>
          <w:rStyle w:val="FootnoteReference"/>
          <w:lang w:val="en-GB"/>
        </w:rPr>
        <w:footnoteReference w:id="14"/>
      </w:r>
      <w:r w:rsidR="00015714">
        <w:rPr>
          <w:lang w:val="en-GB"/>
        </w:rPr>
        <w:t xml:space="preserve"> </w:t>
      </w:r>
      <w:r w:rsidR="00CF36B1">
        <w:rPr>
          <w:lang w:val="en-GB"/>
        </w:rPr>
        <w:t xml:space="preserve">I propose </w:t>
      </w:r>
      <w:r w:rsidR="00015714">
        <w:rPr>
          <w:lang w:val="en-GB"/>
        </w:rPr>
        <w:t xml:space="preserve">that </w:t>
      </w:r>
      <w:r>
        <w:rPr>
          <w:lang w:val="en-GB"/>
        </w:rPr>
        <w:t>Family Systems Theory</w:t>
      </w:r>
      <w:r w:rsidR="00D836A8">
        <w:rPr>
          <w:lang w:val="en-GB"/>
        </w:rPr>
        <w:t>, in particular Bowen Theory,</w:t>
      </w:r>
      <w:r>
        <w:rPr>
          <w:lang w:val="en-GB"/>
        </w:rPr>
        <w:t xml:space="preserve"> may help </w:t>
      </w:r>
      <w:r w:rsidR="00015714">
        <w:rPr>
          <w:lang w:val="en-GB"/>
        </w:rPr>
        <w:t xml:space="preserve">provide a useful lens </w:t>
      </w:r>
      <w:r w:rsidR="00DA2668">
        <w:rPr>
          <w:lang w:val="en-GB"/>
        </w:rPr>
        <w:t xml:space="preserve">through </w:t>
      </w:r>
      <w:r w:rsidR="00015714">
        <w:rPr>
          <w:lang w:val="en-GB"/>
        </w:rPr>
        <w:t xml:space="preserve">which to read this narrative, unlocking details that are ambiguous. </w:t>
      </w:r>
      <w:r w:rsidR="00D836A8">
        <w:rPr>
          <w:lang w:val="en-GB"/>
        </w:rPr>
        <w:t>Bowen Theory</w:t>
      </w:r>
      <w:r>
        <w:rPr>
          <w:lang w:val="en-GB"/>
        </w:rPr>
        <w:t xml:space="preserve"> posits that all families are governed by predictable patterns that explain the actions of individuals within that family.</w:t>
      </w:r>
      <w:r w:rsidR="00D836A8">
        <w:rPr>
          <w:rStyle w:val="FootnoteReference"/>
          <w:lang w:val="en-GB"/>
        </w:rPr>
        <w:footnoteReference w:id="15"/>
      </w:r>
      <w:r w:rsidR="00D836A8">
        <w:rPr>
          <w:lang w:val="en-GB"/>
        </w:rPr>
        <w:t xml:space="preserve"> </w:t>
      </w:r>
      <w:r w:rsidR="00015714">
        <w:rPr>
          <w:lang w:val="en-GB"/>
        </w:rPr>
        <w:t>On the level of a literary reading, then, it is possible to make reasonable assumptions about a character’s driving motivations, even when these aren’t explicitly stated</w:t>
      </w:r>
      <w:r w:rsidR="002C48CA">
        <w:rPr>
          <w:lang w:val="en-GB"/>
        </w:rPr>
        <w:t xml:space="preserve">. </w:t>
      </w:r>
      <w:r w:rsidR="00195EEB">
        <w:rPr>
          <w:lang w:val="en-GB"/>
        </w:rPr>
        <w:t xml:space="preserve">One of </w:t>
      </w:r>
      <w:r w:rsidR="00310155">
        <w:rPr>
          <w:lang w:val="en-GB"/>
        </w:rPr>
        <w:t>Bowen Theory’s key</w:t>
      </w:r>
      <w:r w:rsidR="00195EEB">
        <w:rPr>
          <w:lang w:val="en-GB"/>
        </w:rPr>
        <w:t xml:space="preserve"> tenants is the idea that human relationships most naturally exist as </w:t>
      </w:r>
      <w:r w:rsidR="00015714">
        <w:rPr>
          <w:lang w:val="en-GB"/>
        </w:rPr>
        <w:t>‘</w:t>
      </w:r>
      <w:r w:rsidR="00195EEB">
        <w:rPr>
          <w:lang w:val="en-GB"/>
        </w:rPr>
        <w:t>triangles</w:t>
      </w:r>
      <w:r w:rsidR="00015714">
        <w:rPr>
          <w:lang w:val="en-GB"/>
        </w:rPr>
        <w:t>’</w:t>
      </w:r>
      <w:r w:rsidR="00195EEB">
        <w:rPr>
          <w:lang w:val="en-GB"/>
        </w:rPr>
        <w:t>, that is, between two persons and a thing or between three persons.</w:t>
      </w:r>
      <w:r w:rsidR="00015714">
        <w:rPr>
          <w:rStyle w:val="FootnoteReference"/>
          <w:lang w:val="en-GB"/>
        </w:rPr>
        <w:footnoteReference w:id="16"/>
      </w:r>
      <w:r w:rsidR="00CF36B1">
        <w:rPr>
          <w:lang w:val="en-GB"/>
        </w:rPr>
        <w:t xml:space="preserve"> Therefore, whilst relationships between two persons </w:t>
      </w:r>
      <w:r w:rsidR="00E107E4">
        <w:rPr>
          <w:lang w:val="en-GB"/>
        </w:rPr>
        <w:t xml:space="preserve">(dyads) </w:t>
      </w:r>
      <w:r w:rsidR="00CF36B1">
        <w:rPr>
          <w:lang w:val="en-GB"/>
        </w:rPr>
        <w:t>are possible, ‘it has a low tolerance for anxiety and is easily disturbed…by relationship forces from outside the twosome’.</w:t>
      </w:r>
      <w:r w:rsidR="00CF36B1">
        <w:rPr>
          <w:rStyle w:val="FootnoteReference"/>
          <w:lang w:val="en-GB"/>
        </w:rPr>
        <w:footnoteReference w:id="17"/>
      </w:r>
      <w:r w:rsidR="00CF36B1">
        <w:rPr>
          <w:lang w:val="en-GB"/>
        </w:rPr>
        <w:t xml:space="preserve"> The result is tria</w:t>
      </w:r>
      <w:r w:rsidR="003B0281">
        <w:rPr>
          <w:lang w:val="en-GB"/>
        </w:rPr>
        <w:t>ng</w:t>
      </w:r>
      <w:r w:rsidR="00A6020A">
        <w:rPr>
          <w:lang w:val="en-GB"/>
        </w:rPr>
        <w:t>ulation</w:t>
      </w:r>
      <w:r w:rsidR="00CF36B1">
        <w:rPr>
          <w:lang w:val="en-GB"/>
        </w:rPr>
        <w:t xml:space="preserve">, whereby the anxiety in the relationship between two people is </w:t>
      </w:r>
      <w:r w:rsidR="00321ACB">
        <w:rPr>
          <w:lang w:val="en-GB"/>
        </w:rPr>
        <w:t xml:space="preserve">diffused </w:t>
      </w:r>
      <w:r w:rsidR="00CF36B1">
        <w:rPr>
          <w:lang w:val="en-GB"/>
        </w:rPr>
        <w:t>by pulling in a third person; triangles are, for Bowen</w:t>
      </w:r>
      <w:r w:rsidR="00226947">
        <w:rPr>
          <w:lang w:val="en-GB"/>
        </w:rPr>
        <w:t xml:space="preserve"> Theory</w:t>
      </w:r>
      <w:r w:rsidR="00CF36B1">
        <w:rPr>
          <w:lang w:val="en-GB"/>
        </w:rPr>
        <w:t>, inherently more stable and able to bear stressing factors such as change.</w:t>
      </w:r>
      <w:r w:rsidR="00CF36B1">
        <w:rPr>
          <w:rStyle w:val="FootnoteReference"/>
          <w:lang w:val="en-GB"/>
        </w:rPr>
        <w:footnoteReference w:id="18"/>
      </w:r>
      <w:r w:rsidR="002B5780">
        <w:rPr>
          <w:lang w:val="en-GB"/>
        </w:rPr>
        <w:t xml:space="preserve"> </w:t>
      </w:r>
      <w:r w:rsidR="00E107E4">
        <w:rPr>
          <w:lang w:val="en-GB"/>
        </w:rPr>
        <w:t>Sometimes triangulation is healthy, allowing a dyad to move forward in a relationship</w:t>
      </w:r>
      <w:r w:rsidR="00D80CDB">
        <w:rPr>
          <w:lang w:val="en-GB"/>
        </w:rPr>
        <w:t xml:space="preserve"> </w:t>
      </w:r>
      <w:r w:rsidR="00DA2668">
        <w:rPr>
          <w:lang w:val="en-GB"/>
        </w:rPr>
        <w:t>through</w:t>
      </w:r>
      <w:r w:rsidR="00D80CDB">
        <w:rPr>
          <w:lang w:val="en-GB"/>
        </w:rPr>
        <w:t xml:space="preserve"> the involvement of a neutral third party</w:t>
      </w:r>
      <w:r w:rsidR="00502813">
        <w:rPr>
          <w:lang w:val="en-GB"/>
        </w:rPr>
        <w:t xml:space="preserve">, creating non-anxious space in which to </w:t>
      </w:r>
      <w:r w:rsidR="00502813" w:rsidRPr="00F36F86">
        <w:rPr>
          <w:lang w:val="en-GB"/>
        </w:rPr>
        <w:t>examine the conflict</w:t>
      </w:r>
      <w:r w:rsidR="00E107E4" w:rsidRPr="00F36F86">
        <w:rPr>
          <w:lang w:val="en-GB"/>
        </w:rPr>
        <w:t>;</w:t>
      </w:r>
      <w:r w:rsidR="00D80CDB" w:rsidRPr="00F36F86">
        <w:rPr>
          <w:rStyle w:val="FootnoteReference"/>
          <w:lang w:val="en-GB"/>
        </w:rPr>
        <w:footnoteReference w:id="19"/>
      </w:r>
      <w:r w:rsidR="00E107E4" w:rsidRPr="00F36F86">
        <w:rPr>
          <w:lang w:val="en-GB"/>
        </w:rPr>
        <w:t xml:space="preserve"> however, when only one person in the relation</w:t>
      </w:r>
      <w:r w:rsidR="00F36F86" w:rsidRPr="00F36F86">
        <w:rPr>
          <w:lang w:val="en-GB"/>
        </w:rPr>
        <w:t>ship</w:t>
      </w:r>
      <w:r w:rsidR="00E107E4" w:rsidRPr="00F36F86">
        <w:rPr>
          <w:lang w:val="en-GB"/>
        </w:rPr>
        <w:t xml:space="preserve"> is trying to involve a third party, </w:t>
      </w:r>
      <w:r w:rsidR="00F36F86" w:rsidRPr="00F36F86">
        <w:rPr>
          <w:lang w:val="en-GB"/>
        </w:rPr>
        <w:t>it takes on an unhealthy dynamic that prevents</w:t>
      </w:r>
      <w:r w:rsidR="00E107E4" w:rsidRPr="00F36F86">
        <w:rPr>
          <w:lang w:val="en-GB"/>
        </w:rPr>
        <w:t xml:space="preserve"> a conflict from being resolved.</w:t>
      </w:r>
      <w:r w:rsidR="00F36F86" w:rsidRPr="00F36F86">
        <w:rPr>
          <w:rStyle w:val="FootnoteReference"/>
          <w:lang w:val="en-GB"/>
        </w:rPr>
        <w:footnoteReference w:id="20"/>
      </w:r>
    </w:p>
    <w:p w14:paraId="3E776BB1" w14:textId="77777777" w:rsidR="00F1214A" w:rsidRDefault="00F1214A" w:rsidP="000B3AC8">
      <w:pPr>
        <w:spacing w:line="360" w:lineRule="auto"/>
        <w:rPr>
          <w:lang w:val="en-GB"/>
        </w:rPr>
      </w:pPr>
    </w:p>
    <w:p w14:paraId="04171FF7" w14:textId="1CC46F1A" w:rsidR="00552F79" w:rsidRDefault="002B5780" w:rsidP="00866FFA">
      <w:pPr>
        <w:spacing w:line="360" w:lineRule="auto"/>
        <w:rPr>
          <w:lang w:val="en-GB"/>
        </w:rPr>
      </w:pPr>
      <w:r>
        <w:rPr>
          <w:lang w:val="en-GB"/>
        </w:rPr>
        <w:t xml:space="preserve">This theory might help to make sense of some of the confusing aspects of the narrative. The relationship between the sisters </w:t>
      </w:r>
      <w:r w:rsidR="00DA2668">
        <w:rPr>
          <w:lang w:val="en-GB"/>
        </w:rPr>
        <w:t xml:space="preserve">previously </w:t>
      </w:r>
      <w:r>
        <w:rPr>
          <w:lang w:val="en-GB"/>
        </w:rPr>
        <w:t xml:space="preserve">existed as a semi-stable </w:t>
      </w:r>
      <w:r w:rsidR="00FF4C61">
        <w:rPr>
          <w:lang w:val="en-GB"/>
        </w:rPr>
        <w:t>dyad</w:t>
      </w:r>
      <w:r>
        <w:rPr>
          <w:lang w:val="en-GB"/>
        </w:rPr>
        <w:t xml:space="preserve">. Bringing Jesus into the family dynamic through the offer of hospitality added a stressor to that relationship which the twosome was unable to contain, not least </w:t>
      </w:r>
      <w:r w:rsidR="00DA2668">
        <w:rPr>
          <w:lang w:val="en-GB"/>
        </w:rPr>
        <w:t>because</w:t>
      </w:r>
      <w:r>
        <w:rPr>
          <w:lang w:val="en-GB"/>
        </w:rPr>
        <w:t xml:space="preserve"> the two sisters had different reactions to the new person in the dynamic, with Martha seeking to honour him through hospitality and </w:t>
      </w:r>
      <w:r>
        <w:rPr>
          <w:lang w:val="en-GB"/>
        </w:rPr>
        <w:lastRenderedPageBreak/>
        <w:t xml:space="preserve">Mary responding to him in the posture of </w:t>
      </w:r>
      <w:r w:rsidR="000E558F">
        <w:rPr>
          <w:lang w:val="en-GB"/>
        </w:rPr>
        <w:t>discipleship</w:t>
      </w:r>
      <w:r>
        <w:rPr>
          <w:lang w:val="en-GB"/>
        </w:rPr>
        <w:t>.</w:t>
      </w:r>
      <w:r w:rsidR="00F1214A">
        <w:rPr>
          <w:lang w:val="en-GB"/>
        </w:rPr>
        <w:t xml:space="preserve"> Martha perceives herself to be isolated by a change in the family dynamic that she herself caused by inviting Jesus into the house.</w:t>
      </w:r>
      <w:r w:rsidR="009A1224">
        <w:rPr>
          <w:rStyle w:val="FootnoteReference"/>
          <w:lang w:val="en-GB"/>
        </w:rPr>
        <w:footnoteReference w:id="21"/>
      </w:r>
      <w:r>
        <w:rPr>
          <w:lang w:val="en-GB"/>
        </w:rPr>
        <w:t xml:space="preserve"> </w:t>
      </w:r>
      <w:r w:rsidR="000B3AC8">
        <w:rPr>
          <w:lang w:val="en-GB"/>
        </w:rPr>
        <w:t xml:space="preserve">The twosome relationship thus disrupted, Martha attempts to triangulate the anxiety by reference to Jesus: ‘tell her to help me’ (10:40). Seen through the lens of </w:t>
      </w:r>
      <w:r w:rsidR="00D80CDB">
        <w:rPr>
          <w:lang w:val="en-GB"/>
        </w:rPr>
        <w:t>Bowen</w:t>
      </w:r>
      <w:r w:rsidR="000B3AC8">
        <w:rPr>
          <w:lang w:val="en-GB"/>
        </w:rPr>
        <w:t xml:space="preserve"> Theory, Jesus’ answer </w:t>
      </w:r>
      <w:r w:rsidR="004F4F76">
        <w:rPr>
          <w:lang w:val="en-GB"/>
        </w:rPr>
        <w:t xml:space="preserve">is </w:t>
      </w:r>
      <w:r w:rsidR="000B3AC8">
        <w:rPr>
          <w:lang w:val="en-GB"/>
        </w:rPr>
        <w:t>not to pit Mary’s contemplation against Martha’s service</w:t>
      </w:r>
      <w:r w:rsidR="004F4F76">
        <w:rPr>
          <w:lang w:val="en-GB"/>
        </w:rPr>
        <w:t xml:space="preserve">. Instead, he refuses </w:t>
      </w:r>
      <w:r w:rsidR="001A2073">
        <w:rPr>
          <w:lang w:val="en-GB"/>
        </w:rPr>
        <w:t>Martha’s attempt at triangulation,</w:t>
      </w:r>
      <w:r w:rsidR="000B3AC8">
        <w:rPr>
          <w:lang w:val="en-GB"/>
        </w:rPr>
        <w:t xml:space="preserve"> but </w:t>
      </w:r>
      <w:r w:rsidR="00DA2668">
        <w:rPr>
          <w:lang w:val="en-GB"/>
        </w:rPr>
        <w:t>instead acts</w:t>
      </w:r>
      <w:r w:rsidR="006175E6">
        <w:rPr>
          <w:lang w:val="en-GB"/>
        </w:rPr>
        <w:t xml:space="preserve"> as a non-anxious presence,</w:t>
      </w:r>
      <w:r w:rsidR="004F4F76">
        <w:rPr>
          <w:lang w:val="en-GB"/>
        </w:rPr>
        <w:t xml:space="preserve"> bring</w:t>
      </w:r>
      <w:r w:rsidR="00DA2668">
        <w:rPr>
          <w:lang w:val="en-GB"/>
        </w:rPr>
        <w:t>ing</w:t>
      </w:r>
      <w:r w:rsidR="000B3AC8">
        <w:rPr>
          <w:lang w:val="en-GB"/>
        </w:rPr>
        <w:t xml:space="preserve"> the underlying relational anxiety into the open and nam</w:t>
      </w:r>
      <w:r w:rsidR="003A067D">
        <w:rPr>
          <w:lang w:val="en-GB"/>
        </w:rPr>
        <w:t>ing</w:t>
      </w:r>
      <w:r w:rsidR="000B3AC8">
        <w:rPr>
          <w:lang w:val="en-GB"/>
        </w:rPr>
        <w:t xml:space="preserve"> it</w:t>
      </w:r>
      <w:r w:rsidR="00BE2419">
        <w:rPr>
          <w:lang w:val="en-GB"/>
        </w:rPr>
        <w:t xml:space="preserve"> (‘you are worried and distracted about many things’)</w:t>
      </w:r>
      <w:r w:rsidR="00FB3B0C">
        <w:rPr>
          <w:lang w:val="en-GB"/>
        </w:rPr>
        <w:t>, whilst also ensuring the stability of the relationship by affirming Mary’s reaction</w:t>
      </w:r>
      <w:r w:rsidR="00BE2419">
        <w:rPr>
          <w:lang w:val="en-GB"/>
        </w:rPr>
        <w:t xml:space="preserve"> (‘Mary has chosen the better part’)</w:t>
      </w:r>
      <w:r w:rsidR="00FB3B0C">
        <w:rPr>
          <w:lang w:val="en-GB"/>
        </w:rPr>
        <w:t>.</w:t>
      </w:r>
      <w:r w:rsidR="00D80CDB">
        <w:rPr>
          <w:lang w:val="en-GB"/>
        </w:rPr>
        <w:t xml:space="preserve"> Martha is invited by Jesus</w:t>
      </w:r>
      <w:r w:rsidR="00647DE4">
        <w:rPr>
          <w:lang w:val="en-GB"/>
        </w:rPr>
        <w:t>’</w:t>
      </w:r>
      <w:r w:rsidR="00D80CDB">
        <w:rPr>
          <w:lang w:val="en-GB"/>
        </w:rPr>
        <w:t xml:space="preserve"> diagnosis to consider her own </w:t>
      </w:r>
      <w:r w:rsidR="003A067D">
        <w:rPr>
          <w:lang w:val="en-GB"/>
        </w:rPr>
        <w:t>what active behavioural choices she has open to her rather than simply reacting</w:t>
      </w:r>
      <w:r w:rsidR="00D80CDB">
        <w:rPr>
          <w:lang w:val="en-GB"/>
        </w:rPr>
        <w:t xml:space="preserve"> to the perceived failures of the other half of the dyad.</w:t>
      </w:r>
      <w:r w:rsidR="00D80CDB">
        <w:rPr>
          <w:rStyle w:val="FootnoteReference"/>
          <w:lang w:val="en-GB"/>
        </w:rPr>
        <w:footnoteReference w:id="22"/>
      </w:r>
      <w:r w:rsidR="004824C5">
        <w:rPr>
          <w:lang w:val="en-GB"/>
        </w:rPr>
        <w:t xml:space="preserve"> </w:t>
      </w:r>
      <w:r w:rsidR="000B3AC8">
        <w:rPr>
          <w:lang w:val="en-GB"/>
        </w:rPr>
        <w:t xml:space="preserve">I propose that this psychological reading of the narrative helps to break some of the Mary-Martha dichotomies between postures of service and postures of contemplation by radically placing the source of the conflict not in the individual women’s responses to Jesus, but in the instability brought into the relationship by the addition of an outsider. Furthermore, this is potentially a plausible literary reading: Luke, after all, has Jesus talking about how his appearance will bring division into apparently firm relationships (Luke 12:51-53). </w:t>
      </w:r>
    </w:p>
    <w:p w14:paraId="4312CE30" w14:textId="77777777" w:rsidR="00421097" w:rsidRDefault="00421097" w:rsidP="00866FFA">
      <w:pPr>
        <w:spacing w:line="360" w:lineRule="auto"/>
        <w:rPr>
          <w:lang w:val="en-GB"/>
        </w:rPr>
      </w:pPr>
    </w:p>
    <w:p w14:paraId="4CBB4BFB" w14:textId="52A6605A" w:rsidR="00B00F6C" w:rsidRDefault="00B73708" w:rsidP="00866FFA">
      <w:pPr>
        <w:spacing w:line="360" w:lineRule="auto"/>
        <w:rPr>
          <w:lang w:val="en-GB"/>
        </w:rPr>
      </w:pPr>
      <w:r>
        <w:rPr>
          <w:lang w:val="en-GB"/>
        </w:rPr>
        <w:t>Finally, w</w:t>
      </w:r>
      <w:r w:rsidR="00552F79">
        <w:rPr>
          <w:lang w:val="en-GB"/>
        </w:rPr>
        <w:t xml:space="preserve">here does this </w:t>
      </w:r>
      <w:r>
        <w:rPr>
          <w:lang w:val="en-GB"/>
        </w:rPr>
        <w:t xml:space="preserve">scene </w:t>
      </w:r>
      <w:r w:rsidR="00552F79">
        <w:rPr>
          <w:lang w:val="en-GB"/>
        </w:rPr>
        <w:t>fit within Luke’s wider narrative themes</w:t>
      </w:r>
      <w:r w:rsidR="009B4074">
        <w:rPr>
          <w:lang w:val="en-GB"/>
        </w:rPr>
        <w:t xml:space="preserve">? </w:t>
      </w:r>
      <w:r w:rsidR="00270F14">
        <w:rPr>
          <w:lang w:val="en-GB"/>
        </w:rPr>
        <w:t>Recent scholarship has drawn attention to the presentation of women in Luke’s writing. Mary Rose D’Angelo argues that on one hand, the Lukan special material increases the number of reports of women</w:t>
      </w:r>
      <w:r w:rsidR="002520D8">
        <w:rPr>
          <w:lang w:val="en-GB"/>
        </w:rPr>
        <w:t xml:space="preserve"> in the synoptic gospels</w:t>
      </w:r>
      <w:r w:rsidR="00270F14">
        <w:rPr>
          <w:lang w:val="en-GB"/>
        </w:rPr>
        <w:t xml:space="preserve">, but the kinds of roles that are portrayed </w:t>
      </w:r>
      <w:r w:rsidR="00214D2B">
        <w:rPr>
          <w:lang w:val="en-GB"/>
        </w:rPr>
        <w:t>remain culturally restricted</w:t>
      </w:r>
      <w:r w:rsidR="00270F14">
        <w:rPr>
          <w:lang w:val="en-GB"/>
        </w:rPr>
        <w:t>.</w:t>
      </w:r>
      <w:r w:rsidR="00270F14">
        <w:rPr>
          <w:rStyle w:val="FootnoteReference"/>
          <w:lang w:val="en-GB"/>
        </w:rPr>
        <w:footnoteReference w:id="23"/>
      </w:r>
      <w:r w:rsidR="00B507E3">
        <w:rPr>
          <w:lang w:val="en-GB"/>
        </w:rPr>
        <w:t xml:space="preserve"> </w:t>
      </w:r>
      <w:r w:rsidR="00B9120C">
        <w:rPr>
          <w:lang w:val="en-GB"/>
        </w:rPr>
        <w:t>For instance, regarding this passage, D’Angelo notes that</w:t>
      </w:r>
      <w:r w:rsidR="00B507E3">
        <w:rPr>
          <w:lang w:val="en-GB"/>
        </w:rPr>
        <w:t xml:space="preserve"> is the silent Mary who is approved rather than the speaking Martha: ‘women speak in the gospel only to be corrected by Jesus’.</w:t>
      </w:r>
      <w:r w:rsidR="00B507E3">
        <w:rPr>
          <w:rStyle w:val="FootnoteReference"/>
          <w:lang w:val="en-GB"/>
        </w:rPr>
        <w:footnoteReference w:id="24"/>
      </w:r>
      <w:r w:rsidR="009F1109">
        <w:rPr>
          <w:lang w:val="en-GB"/>
        </w:rPr>
        <w:t xml:space="preserve"> </w:t>
      </w:r>
      <w:r w:rsidR="0074637A">
        <w:rPr>
          <w:lang w:val="en-GB"/>
        </w:rPr>
        <w:t xml:space="preserve">The discussion is detailed – and recent studies have </w:t>
      </w:r>
      <w:r w:rsidR="00B44469">
        <w:rPr>
          <w:lang w:val="en-GB"/>
        </w:rPr>
        <w:t>read Luke more positively</w:t>
      </w:r>
      <w:r w:rsidR="0074637A">
        <w:rPr>
          <w:lang w:val="en-GB"/>
        </w:rPr>
        <w:t xml:space="preserve"> than D’Angelo</w:t>
      </w:r>
      <w:r w:rsidR="0074637A">
        <w:rPr>
          <w:rStyle w:val="FootnoteReference"/>
          <w:lang w:val="en-GB"/>
        </w:rPr>
        <w:footnoteReference w:id="25"/>
      </w:r>
      <w:r w:rsidR="0074637A">
        <w:rPr>
          <w:lang w:val="en-GB"/>
        </w:rPr>
        <w:t xml:space="preserve"> - and would go beyond the boundaries of this essay. However, </w:t>
      </w:r>
      <w:r w:rsidR="00214D2B">
        <w:rPr>
          <w:lang w:val="en-GB"/>
        </w:rPr>
        <w:t xml:space="preserve">it could well be that the kind of </w:t>
      </w:r>
      <w:r w:rsidR="0074637A">
        <w:rPr>
          <w:lang w:val="en-GB"/>
        </w:rPr>
        <w:t>literary reading presented above,</w:t>
      </w:r>
      <w:r w:rsidR="007C5024">
        <w:rPr>
          <w:lang w:val="en-GB"/>
        </w:rPr>
        <w:t xml:space="preserve"> with </w:t>
      </w:r>
      <w:r w:rsidR="00214D2B">
        <w:rPr>
          <w:lang w:val="en-GB"/>
        </w:rPr>
        <w:t>its focus on the</w:t>
      </w:r>
      <w:r w:rsidR="0074637A">
        <w:rPr>
          <w:lang w:val="en-GB"/>
        </w:rPr>
        <w:t xml:space="preserve"> structural anxieties</w:t>
      </w:r>
      <w:r w:rsidR="00214D2B">
        <w:rPr>
          <w:lang w:val="en-GB"/>
        </w:rPr>
        <w:t xml:space="preserve"> within relationships can offer a helpful new approach to assessing Luke’s view of women</w:t>
      </w:r>
      <w:r w:rsidR="00E97108">
        <w:rPr>
          <w:lang w:val="en-GB"/>
        </w:rPr>
        <w:t xml:space="preserve"> </w:t>
      </w:r>
      <w:r w:rsidR="00214D2B">
        <w:rPr>
          <w:lang w:val="en-GB"/>
        </w:rPr>
        <w:t xml:space="preserve">by focussing on how they respond within systems rather than seeing them as standalone character types. </w:t>
      </w:r>
    </w:p>
    <w:p w14:paraId="61FC81A7" w14:textId="77777777" w:rsidR="006A1094" w:rsidRDefault="006A1094" w:rsidP="00866FFA">
      <w:pPr>
        <w:spacing w:line="360" w:lineRule="auto"/>
        <w:rPr>
          <w:b/>
          <w:bCs/>
          <w:lang w:val="en-GB"/>
        </w:rPr>
      </w:pPr>
    </w:p>
    <w:p w14:paraId="6F1325CF" w14:textId="53C5AFF7" w:rsidR="003559B1" w:rsidRPr="003559B1" w:rsidRDefault="003559B1" w:rsidP="00866FFA">
      <w:pPr>
        <w:spacing w:line="360" w:lineRule="auto"/>
        <w:rPr>
          <w:b/>
          <w:bCs/>
          <w:lang w:val="en-GB"/>
        </w:rPr>
      </w:pPr>
      <w:r>
        <w:rPr>
          <w:b/>
          <w:bCs/>
          <w:lang w:val="en-GB"/>
        </w:rPr>
        <w:t>Words (excluding footnotes and bibliography as in module task description): 15</w:t>
      </w:r>
      <w:r w:rsidR="00F13F0D">
        <w:rPr>
          <w:b/>
          <w:bCs/>
          <w:lang w:val="en-GB"/>
        </w:rPr>
        <w:t>01</w:t>
      </w:r>
    </w:p>
    <w:p w14:paraId="40B09C19" w14:textId="77777777" w:rsidR="00B00F6C" w:rsidRPr="00E41898" w:rsidRDefault="00B00F6C">
      <w:pPr>
        <w:rPr>
          <w:lang w:val="en-GB"/>
        </w:rPr>
      </w:pPr>
      <w:r>
        <w:rPr>
          <w:lang w:val="en-GB"/>
        </w:rPr>
        <w:br w:type="page"/>
      </w:r>
    </w:p>
    <w:p w14:paraId="6CC85413" w14:textId="5C977B18" w:rsidR="002C48CA" w:rsidRDefault="00B00F6C" w:rsidP="00B00F6C">
      <w:pPr>
        <w:pStyle w:val="Heading1"/>
        <w:rPr>
          <w:lang w:val="en-GB"/>
        </w:rPr>
      </w:pPr>
      <w:r>
        <w:rPr>
          <w:lang w:val="en-GB"/>
        </w:rPr>
        <w:lastRenderedPageBreak/>
        <w:t>Bibliography</w:t>
      </w:r>
    </w:p>
    <w:p w14:paraId="3A5A3138" w14:textId="311F0198" w:rsidR="00B00F6C" w:rsidRDefault="00B00F6C" w:rsidP="00B00F6C">
      <w:pPr>
        <w:rPr>
          <w:lang w:val="en-GB"/>
        </w:rPr>
      </w:pPr>
    </w:p>
    <w:p w14:paraId="163EDC1A" w14:textId="77777777" w:rsidR="00F13F0D" w:rsidRPr="00F13F0D" w:rsidRDefault="00B00F6C" w:rsidP="00F13F0D">
      <w:pPr>
        <w:pStyle w:val="Bibliography"/>
        <w:spacing w:after="120"/>
        <w:rPr>
          <w:rFonts w:cs="Times New Roman"/>
          <w:lang w:val="en-GB"/>
        </w:rPr>
      </w:pPr>
      <w:r>
        <w:rPr>
          <w:lang w:val="en-GB"/>
        </w:rPr>
        <w:fldChar w:fldCharType="begin"/>
      </w:r>
      <w:r w:rsidR="00F13F0D">
        <w:rPr>
          <w:lang w:val="en-GB"/>
        </w:rPr>
        <w:instrText xml:space="preserve"> ADDIN ZOTERO_BIBL {"uncited":[],"omitted":[],"custom":[]} CSL_BIBLIOGRAPHY </w:instrText>
      </w:r>
      <w:r>
        <w:rPr>
          <w:lang w:val="en-GB"/>
        </w:rPr>
        <w:fldChar w:fldCharType="separate"/>
      </w:r>
      <w:r w:rsidR="00F13F0D" w:rsidRPr="00F13F0D">
        <w:rPr>
          <w:rFonts w:cs="Times New Roman"/>
          <w:lang w:val="en-GB"/>
        </w:rPr>
        <w:t xml:space="preserve">Blessing, Kamila. </w:t>
      </w:r>
      <w:r w:rsidR="00F13F0D" w:rsidRPr="00F13F0D">
        <w:rPr>
          <w:rFonts w:cs="Times New Roman"/>
          <w:i/>
          <w:iCs/>
          <w:lang w:val="en-GB"/>
        </w:rPr>
        <w:t>Families of the Bible: A New Perspective</w:t>
      </w:r>
      <w:r w:rsidR="00F13F0D" w:rsidRPr="00F13F0D">
        <w:rPr>
          <w:rFonts w:cs="Times New Roman"/>
          <w:lang w:val="en-GB"/>
        </w:rPr>
        <w:t>. ABC-CLIO, 2010.</w:t>
      </w:r>
    </w:p>
    <w:p w14:paraId="048E9316" w14:textId="77777777" w:rsidR="00F13F0D" w:rsidRPr="00F13F0D" w:rsidRDefault="00F13F0D" w:rsidP="00F13F0D">
      <w:pPr>
        <w:pStyle w:val="Bibliography"/>
        <w:spacing w:after="120"/>
        <w:rPr>
          <w:rFonts w:cs="Times New Roman"/>
          <w:lang w:val="en-GB"/>
        </w:rPr>
      </w:pPr>
      <w:r w:rsidRPr="00F13F0D">
        <w:rPr>
          <w:rFonts w:cs="Times New Roman"/>
          <w:lang w:val="en-GB"/>
        </w:rPr>
        <w:t xml:space="preserve">Bock, Darrell L. </w:t>
      </w:r>
      <w:r w:rsidRPr="00F13F0D">
        <w:rPr>
          <w:rFonts w:cs="Times New Roman"/>
          <w:i/>
          <w:iCs/>
          <w:lang w:val="en-GB"/>
        </w:rPr>
        <w:t>Luke 9:51-24:53</w:t>
      </w:r>
      <w:r w:rsidRPr="00F13F0D">
        <w:rPr>
          <w:rFonts w:cs="Times New Roman"/>
          <w:lang w:val="en-GB"/>
        </w:rPr>
        <w:t>. 3rd edition. Grand Rapids, Mich: Baker Academic, 1996.</w:t>
      </w:r>
    </w:p>
    <w:p w14:paraId="6CAD6AF6" w14:textId="77777777" w:rsidR="00F13F0D" w:rsidRPr="00F13F0D" w:rsidRDefault="00F13F0D" w:rsidP="00F13F0D">
      <w:pPr>
        <w:pStyle w:val="Bibliography"/>
        <w:spacing w:after="120"/>
        <w:rPr>
          <w:rFonts w:cs="Times New Roman"/>
          <w:lang w:val="en-GB"/>
        </w:rPr>
      </w:pPr>
      <w:r w:rsidRPr="00F13F0D">
        <w:rPr>
          <w:rFonts w:cs="Times New Roman"/>
          <w:lang w:val="de-AT"/>
        </w:rPr>
        <w:t xml:space="preserve">Bovon, Francois. </w:t>
      </w:r>
      <w:r w:rsidRPr="00F13F0D">
        <w:rPr>
          <w:rFonts w:cs="Times New Roman"/>
          <w:i/>
          <w:iCs/>
          <w:lang w:val="de-AT"/>
        </w:rPr>
        <w:t>Das Evangelium Nach Lukas</w:t>
      </w:r>
      <w:r w:rsidRPr="00F13F0D">
        <w:rPr>
          <w:rFonts w:cs="Times New Roman"/>
          <w:lang w:val="de-AT"/>
        </w:rPr>
        <w:t xml:space="preserve">. Vol. 2. 4 vols. Evangelisch-Katholischer Kommentar Zum Neuen Testament. </w:t>
      </w:r>
      <w:r w:rsidRPr="00F13F0D">
        <w:rPr>
          <w:rFonts w:cs="Times New Roman"/>
          <w:lang w:val="en-GB"/>
        </w:rPr>
        <w:t>Neukirchen-Vluyn: Neukirchener Verlag, 1996.</w:t>
      </w:r>
    </w:p>
    <w:p w14:paraId="53ED5381" w14:textId="77777777" w:rsidR="00F13F0D" w:rsidRPr="00F13F0D" w:rsidRDefault="00F13F0D" w:rsidP="00F13F0D">
      <w:pPr>
        <w:pStyle w:val="Bibliography"/>
        <w:spacing w:after="120"/>
        <w:rPr>
          <w:rFonts w:cs="Times New Roman"/>
          <w:lang w:val="en-GB"/>
        </w:rPr>
      </w:pPr>
      <w:r w:rsidRPr="00F13F0D">
        <w:rPr>
          <w:rFonts w:cs="Times New Roman"/>
          <w:lang w:val="en-GB"/>
        </w:rPr>
        <w:t xml:space="preserve">Bowen, Murray. ‘An Interview with Murray Brown’. In </w:t>
      </w:r>
      <w:r w:rsidRPr="00F13F0D">
        <w:rPr>
          <w:rFonts w:cs="Times New Roman"/>
          <w:i/>
          <w:iCs/>
          <w:lang w:val="en-GB"/>
        </w:rPr>
        <w:t>Family Therapy in Clinical Practice</w:t>
      </w:r>
      <w:r w:rsidRPr="00F13F0D">
        <w:rPr>
          <w:rFonts w:cs="Times New Roman"/>
          <w:lang w:val="en-GB"/>
        </w:rPr>
        <w:t>. Jason Aronson, 1993.</w:t>
      </w:r>
    </w:p>
    <w:p w14:paraId="52A96AAE" w14:textId="77777777" w:rsidR="00F13F0D" w:rsidRPr="00F13F0D" w:rsidRDefault="00F13F0D" w:rsidP="00F13F0D">
      <w:pPr>
        <w:pStyle w:val="Bibliography"/>
        <w:spacing w:after="120"/>
        <w:rPr>
          <w:rFonts w:cs="Times New Roman"/>
          <w:lang w:val="en-GB"/>
        </w:rPr>
      </w:pPr>
      <w:r w:rsidRPr="00F13F0D">
        <w:rPr>
          <w:rFonts w:cs="Times New Roman"/>
          <w:lang w:val="en-GB"/>
        </w:rPr>
        <w:t xml:space="preserve">Bowen, Murray, and Michael E. Kerr. </w:t>
      </w:r>
      <w:r w:rsidRPr="00F13F0D">
        <w:rPr>
          <w:rFonts w:cs="Times New Roman"/>
          <w:i/>
          <w:iCs/>
          <w:lang w:val="en-GB"/>
        </w:rPr>
        <w:t>Family Evaluation</w:t>
      </w:r>
      <w:r w:rsidRPr="00F13F0D">
        <w:rPr>
          <w:rFonts w:cs="Times New Roman"/>
          <w:lang w:val="en-GB"/>
        </w:rPr>
        <w:t>. W. W. Norton &amp; Company, 2009.</w:t>
      </w:r>
    </w:p>
    <w:p w14:paraId="486E87DA" w14:textId="77777777" w:rsidR="00F13F0D" w:rsidRPr="00F13F0D" w:rsidRDefault="00F13F0D" w:rsidP="00F13F0D">
      <w:pPr>
        <w:pStyle w:val="Bibliography"/>
        <w:spacing w:after="120"/>
        <w:rPr>
          <w:rFonts w:cs="Times New Roman"/>
          <w:lang w:val="en-GB"/>
        </w:rPr>
      </w:pPr>
      <w:r w:rsidRPr="00F13F0D">
        <w:rPr>
          <w:rFonts w:cs="Times New Roman"/>
          <w:lang w:val="en-GB"/>
        </w:rPr>
        <w:t xml:space="preserve">Chen, Diane. </w:t>
      </w:r>
      <w:r w:rsidRPr="00F13F0D">
        <w:rPr>
          <w:rFonts w:cs="Times New Roman"/>
          <w:i/>
          <w:iCs/>
          <w:lang w:val="en-GB"/>
        </w:rPr>
        <w:t>Luke</w:t>
      </w:r>
      <w:r w:rsidRPr="00F13F0D">
        <w:rPr>
          <w:rFonts w:cs="Times New Roman"/>
          <w:lang w:val="en-GB"/>
        </w:rPr>
        <w:t>. New Covenant Commentary. Eugene, OR: Cascade Books, 2017.</w:t>
      </w:r>
    </w:p>
    <w:p w14:paraId="535E8C96" w14:textId="77777777" w:rsidR="00F13F0D" w:rsidRPr="00F13F0D" w:rsidRDefault="00F13F0D" w:rsidP="00F13F0D">
      <w:pPr>
        <w:pStyle w:val="Bibliography"/>
        <w:spacing w:after="120"/>
        <w:rPr>
          <w:rFonts w:cs="Times New Roman"/>
          <w:lang w:val="en-GB"/>
        </w:rPr>
      </w:pPr>
      <w:r w:rsidRPr="00F13F0D">
        <w:rPr>
          <w:rFonts w:cs="Times New Roman"/>
          <w:lang w:val="en-GB"/>
        </w:rPr>
        <w:t xml:space="preserve">D’Angelo, Mary Rose. ‘Women in Luke-Acts: A Redactional View’. </w:t>
      </w:r>
      <w:r w:rsidRPr="00F13F0D">
        <w:rPr>
          <w:rFonts w:cs="Times New Roman"/>
          <w:i/>
          <w:iCs/>
          <w:lang w:val="en-GB"/>
        </w:rPr>
        <w:t>Journal of Biblical Literature</w:t>
      </w:r>
      <w:r w:rsidRPr="00F13F0D">
        <w:rPr>
          <w:rFonts w:cs="Times New Roman"/>
          <w:lang w:val="en-GB"/>
        </w:rPr>
        <w:t xml:space="preserve"> 109, no. 3 (1990): 441–61.</w:t>
      </w:r>
    </w:p>
    <w:p w14:paraId="6D4440E3" w14:textId="77777777" w:rsidR="00F13F0D" w:rsidRPr="00F13F0D" w:rsidRDefault="00F13F0D" w:rsidP="00F13F0D">
      <w:pPr>
        <w:pStyle w:val="Bibliography"/>
        <w:spacing w:after="120"/>
        <w:rPr>
          <w:rFonts w:cs="Times New Roman"/>
          <w:lang w:val="en-GB"/>
        </w:rPr>
      </w:pPr>
      <w:r w:rsidRPr="00F13F0D">
        <w:rPr>
          <w:rFonts w:cs="Times New Roman"/>
          <w:lang w:val="de-AT"/>
        </w:rPr>
        <w:t xml:space="preserve">Moltmann-Wendel, Elisabeth. </w:t>
      </w:r>
      <w:r w:rsidRPr="00F13F0D">
        <w:rPr>
          <w:rFonts w:cs="Times New Roman"/>
          <w:i/>
          <w:iCs/>
          <w:lang w:val="de-AT"/>
        </w:rPr>
        <w:t>Ein Eigener Mensch Werden: Frauen Um Jesus</w:t>
      </w:r>
      <w:r w:rsidRPr="00F13F0D">
        <w:rPr>
          <w:rFonts w:cs="Times New Roman"/>
          <w:lang w:val="de-AT"/>
        </w:rPr>
        <w:t xml:space="preserve">. </w:t>
      </w:r>
      <w:r w:rsidRPr="00F13F0D">
        <w:rPr>
          <w:rFonts w:cs="Times New Roman"/>
          <w:lang w:val="en-GB"/>
        </w:rPr>
        <w:t>Gütersloh: Güthersloher Verlagshaus, 1980.</w:t>
      </w:r>
    </w:p>
    <w:p w14:paraId="6E7A41F8" w14:textId="77777777" w:rsidR="00F13F0D" w:rsidRPr="00F13F0D" w:rsidRDefault="00F13F0D" w:rsidP="00F13F0D">
      <w:pPr>
        <w:pStyle w:val="Bibliography"/>
        <w:spacing w:after="120"/>
        <w:rPr>
          <w:rFonts w:cs="Times New Roman"/>
          <w:lang w:val="en-GB"/>
        </w:rPr>
      </w:pPr>
      <w:r w:rsidRPr="00F13F0D">
        <w:rPr>
          <w:rFonts w:cs="Times New Roman"/>
          <w:lang w:val="en-GB"/>
        </w:rPr>
        <w:t xml:space="preserve">Papero, Daniel V. ‘Assisting the Two-Person System: An Approach Based on the Bowen Theory’. </w:t>
      </w:r>
      <w:r w:rsidRPr="00F13F0D">
        <w:rPr>
          <w:rFonts w:cs="Times New Roman"/>
          <w:i/>
          <w:iCs/>
          <w:lang w:val="en-GB"/>
        </w:rPr>
        <w:t>Australian and New Zealand Journal of Family Therapy</w:t>
      </w:r>
      <w:r w:rsidRPr="00F13F0D">
        <w:rPr>
          <w:rFonts w:cs="Times New Roman"/>
          <w:lang w:val="en-GB"/>
        </w:rPr>
        <w:t xml:space="preserve"> 35, no. 4 (2014): 386–97. https://doi.org/10.1002/anzf.1079.</w:t>
      </w:r>
    </w:p>
    <w:p w14:paraId="6341AA86" w14:textId="77777777" w:rsidR="00F13F0D" w:rsidRPr="00F13F0D" w:rsidRDefault="00F13F0D" w:rsidP="00F13F0D">
      <w:pPr>
        <w:pStyle w:val="Bibliography"/>
        <w:spacing w:after="120"/>
        <w:rPr>
          <w:rFonts w:cs="Times New Roman"/>
          <w:lang w:val="en-GB"/>
        </w:rPr>
      </w:pPr>
      <w:r w:rsidRPr="00F13F0D">
        <w:rPr>
          <w:rFonts w:cs="Times New Roman"/>
          <w:lang w:val="en-GB"/>
        </w:rPr>
        <w:t xml:space="preserve">Rasheed, Mikal Nazir. </w:t>
      </w:r>
      <w:r w:rsidRPr="00F13F0D">
        <w:rPr>
          <w:rFonts w:cs="Times New Roman"/>
          <w:i/>
          <w:iCs/>
          <w:lang w:val="en-GB"/>
        </w:rPr>
        <w:t>Family Therapy: Models and Techniques</w:t>
      </w:r>
      <w:r w:rsidRPr="00F13F0D">
        <w:rPr>
          <w:rFonts w:cs="Times New Roman"/>
          <w:lang w:val="en-GB"/>
        </w:rPr>
        <w:t>. London: Sage, 2010.</w:t>
      </w:r>
    </w:p>
    <w:p w14:paraId="6937B204" w14:textId="77777777" w:rsidR="00F13F0D" w:rsidRPr="00F13F0D" w:rsidRDefault="00F13F0D" w:rsidP="00F13F0D">
      <w:pPr>
        <w:pStyle w:val="Bibliography"/>
        <w:spacing w:after="120"/>
        <w:rPr>
          <w:rFonts w:cs="Times New Roman"/>
          <w:lang w:val="en-GB"/>
        </w:rPr>
      </w:pPr>
      <w:r w:rsidRPr="00F13F0D">
        <w:rPr>
          <w:rFonts w:cs="Times New Roman"/>
          <w:lang w:val="en-GB"/>
        </w:rPr>
        <w:t xml:space="preserve">Reid, Barbara E. ‘The Gospel of Luke: Friend or Foe of Women Proclaimers of the Word?’ </w:t>
      </w:r>
      <w:r w:rsidRPr="00F13F0D">
        <w:rPr>
          <w:rFonts w:cs="Times New Roman"/>
          <w:i/>
          <w:iCs/>
          <w:lang w:val="en-GB"/>
        </w:rPr>
        <w:t>The Catholic Biblical Quarterly</w:t>
      </w:r>
      <w:r w:rsidRPr="00F13F0D">
        <w:rPr>
          <w:rFonts w:cs="Times New Roman"/>
          <w:lang w:val="en-GB"/>
        </w:rPr>
        <w:t xml:space="preserve"> 78, no. 1 (January 2016): 1–23.</w:t>
      </w:r>
    </w:p>
    <w:p w14:paraId="0D8CEC4E" w14:textId="00675854" w:rsidR="00B00F6C" w:rsidRPr="00B00F6C" w:rsidRDefault="00B00F6C" w:rsidP="00F13F0D">
      <w:pPr>
        <w:spacing w:after="120"/>
        <w:rPr>
          <w:lang w:val="en-GB"/>
        </w:rPr>
      </w:pPr>
      <w:r>
        <w:rPr>
          <w:lang w:val="en-GB"/>
        </w:rPr>
        <w:fldChar w:fldCharType="end"/>
      </w:r>
    </w:p>
    <w:sectPr w:rsidR="00B00F6C" w:rsidRPr="00B00F6C" w:rsidSect="00CE5A7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223ACA" w14:textId="77777777" w:rsidR="000A4B45" w:rsidRDefault="000A4B45" w:rsidP="006357D2">
      <w:r>
        <w:separator/>
      </w:r>
    </w:p>
  </w:endnote>
  <w:endnote w:type="continuationSeparator" w:id="0">
    <w:p w14:paraId="3395232C" w14:textId="77777777" w:rsidR="000A4B45" w:rsidRDefault="000A4B45" w:rsidP="006357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5879D9" w14:textId="77777777" w:rsidR="000A4B45" w:rsidRDefault="000A4B45" w:rsidP="006357D2">
      <w:r>
        <w:separator/>
      </w:r>
    </w:p>
  </w:footnote>
  <w:footnote w:type="continuationSeparator" w:id="0">
    <w:p w14:paraId="1EC0185C" w14:textId="77777777" w:rsidR="000A4B45" w:rsidRDefault="000A4B45" w:rsidP="006357D2">
      <w:r>
        <w:continuationSeparator/>
      </w:r>
    </w:p>
  </w:footnote>
  <w:footnote w:id="1">
    <w:p w14:paraId="174F8E18" w14:textId="70EDD1FC" w:rsidR="009A1224" w:rsidRPr="00CA1DCB" w:rsidRDefault="009A1224" w:rsidP="009A1224">
      <w:pPr>
        <w:pStyle w:val="FootnoteText"/>
        <w:rPr>
          <w:lang w:val="en-US"/>
        </w:rPr>
      </w:pPr>
      <w:r>
        <w:rPr>
          <w:rStyle w:val="FootnoteReference"/>
        </w:rPr>
        <w:footnoteRef/>
      </w:r>
      <w:r>
        <w:t xml:space="preserve"> </w:t>
      </w:r>
      <w:r>
        <w:fldChar w:fldCharType="begin"/>
      </w:r>
      <w:r w:rsidR="00F13F0D">
        <w:instrText xml:space="preserve"> ADDIN ZOTERO_ITEM CSL_CITATION {"citationID":"MnxE2Wy4","properties":{"formattedCitation":"Darrell L. Bock, {\\i{}Luke 9:51-24:53}, 3rd edition (Grand Rapids, Mich: Baker Academic, 1996), 1038.","plainCitation":"Darrell L. Bock, Luke 9:51-24:53, 3rd edition (Grand Rapids, Mich: Baker Academic, 1996), 1038.","noteIndex":1},"citationItems":[{"id":1007,"uris":["http://zotero.org/users/1120467/items/N4L2AKUA"],"uri":["http://zotero.org/users/1120467/items/N4L2AKUA"],"itemData":{"id":1007,"type":"book","abstract":"This clearly-organized, contemporary analysis gives scholars, ministers, and teachers valuable perspective on Luke--from Jesus' journey to Jerusalem, through the Last Supper, to the resurrection.","edition":"3rd edition","event-place":"Grand Rapids, Mich","ISBN":"978-0-8010-1052-1","language":"English","number-of-pages":"1162","publisher":"Baker Academic","publisher-place":"Grand Rapids, Mich","source":"Amazon","title":"Luke 9:51-24:53","title-short":"Luke 9","author":[{"family":"Bock","given":"Darrell L."}],"issued":{"date-parts":[["1996",5,1]]}},"locator":"1038"}],"schema":"https://github.com/citation-style-language/schema/raw/master/csl-citation.json"} </w:instrText>
      </w:r>
      <w:r>
        <w:fldChar w:fldCharType="separate"/>
      </w:r>
      <w:r w:rsidRPr="00CA1DCB">
        <w:rPr>
          <w:rFonts w:cs="Times New Roman"/>
          <w:lang w:val="en-GB"/>
        </w:rPr>
        <w:t xml:space="preserve">Darrell L. Bock, </w:t>
      </w:r>
      <w:r w:rsidRPr="00CA1DCB">
        <w:rPr>
          <w:rFonts w:cs="Times New Roman"/>
          <w:i/>
          <w:iCs/>
          <w:lang w:val="en-GB"/>
        </w:rPr>
        <w:t>Luke 9:51-24:53</w:t>
      </w:r>
      <w:r w:rsidRPr="00CA1DCB">
        <w:rPr>
          <w:rFonts w:cs="Times New Roman"/>
          <w:lang w:val="en-GB"/>
        </w:rPr>
        <w:t>, 3rd edition (Grand Rapids, Mich: Baker Academic, 1996), 1038.</w:t>
      </w:r>
      <w:r>
        <w:fldChar w:fldCharType="end"/>
      </w:r>
    </w:p>
  </w:footnote>
  <w:footnote w:id="2">
    <w:p w14:paraId="779ED380" w14:textId="069FE842" w:rsidR="009A1224" w:rsidRPr="009A1224" w:rsidRDefault="009A1224" w:rsidP="009A1224">
      <w:pPr>
        <w:pStyle w:val="FootnoteText"/>
        <w:rPr>
          <w:lang w:val="de-AT"/>
        </w:rPr>
      </w:pPr>
      <w:r>
        <w:rPr>
          <w:rStyle w:val="FootnoteReference"/>
        </w:rPr>
        <w:footnoteRef/>
      </w:r>
      <w:r>
        <w:t xml:space="preserve"> </w:t>
      </w:r>
      <w:r>
        <w:fldChar w:fldCharType="begin"/>
      </w:r>
      <w:r w:rsidR="00F13F0D">
        <w:instrText xml:space="preserve"> ADDIN ZOTERO_ITEM CSL_CITATION {"citationID":"pCWXMdhM","properties":{"formattedCitation":"Ibid., 1039.","plainCitation":"Ibid., 1039.","noteIndex":2},"citationItems":[{"id":1007,"uris":["http://zotero.org/users/1120467/items/N4L2AKUA"],"uri":["http://zotero.org/users/1120467/items/N4L2AKUA"],"itemData":{"id":1007,"type":"book","abstract":"This clearly-organized, contemporary analysis gives scholars, ministers, and teachers valuable perspective on Luke--from Jesus' journey to Jerusalem, through the Last Supper, to the resurrection.","edition":"3rd edition","event-place":"Grand Rapids, Mich","ISBN":"978-0-8010-1052-1","language":"English","number-of-pages":"1162","publisher":"Baker Academic","publisher-place":"Grand Rapids, Mich","source":"Amazon","title":"Luke 9:51-24:53","title-short":"Luke 9","author":[{"family":"Bock","given":"Darrell L."}],"issued":{"date-parts":[["1996",5,1]]}},"locator":"1039"}],"schema":"https://github.com/citation-style-language/schema/raw/master/csl-citation.json"} </w:instrText>
      </w:r>
      <w:r>
        <w:fldChar w:fldCharType="separate"/>
      </w:r>
      <w:r>
        <w:rPr>
          <w:noProof/>
        </w:rPr>
        <w:t>Ibid., 1039.</w:t>
      </w:r>
      <w:r>
        <w:fldChar w:fldCharType="end"/>
      </w:r>
    </w:p>
  </w:footnote>
  <w:footnote w:id="3">
    <w:p w14:paraId="37D4007E" w14:textId="318A80E6" w:rsidR="009D6849" w:rsidRPr="009D6849" w:rsidRDefault="009D6849">
      <w:pPr>
        <w:pStyle w:val="FootnoteText"/>
        <w:rPr>
          <w:lang w:val="de-AT"/>
        </w:rPr>
      </w:pPr>
      <w:r>
        <w:rPr>
          <w:rStyle w:val="FootnoteReference"/>
        </w:rPr>
        <w:footnoteRef/>
      </w:r>
      <w:r>
        <w:t xml:space="preserve"> </w:t>
      </w:r>
      <w:r>
        <w:fldChar w:fldCharType="begin"/>
      </w:r>
      <w:r w:rsidR="00F13F0D">
        <w:instrText xml:space="preserve"> ADDIN ZOTERO_ITEM CSL_CITATION {"citationID":"lucU3SIf","properties":{"formattedCitation":"Francois Bovon, {\\i{}Das Evangelium Nach Lukas}, vol. 2, Evangelisch-Katholischer Kommentar Zum Neuen Testament (Neukirchen-Vluyn: Neukirchener Verlag, 1996), 115.","plainCitation":"Francois Bovon, Das Evangelium Nach Lukas, vol. 2, Evangelisch-Katholischer Kommentar Zum Neuen Testament (Neukirchen-Vluyn: Neukirchener Verlag, 1996), 115.","noteIndex":3},"citationItems":[{"id":1008,"uris":["http://zotero.org/users/1120467/items/U8WTMF6J"],"uri":["http://zotero.org/users/1120467/items/U8WTMF6J"],"itemData":{"id":1008,"type":"book","collection-title":"Evangelisch-Katholischer Kommentar zum Neuen Testament","event-place":"Neukirchen-Vluyn","number-of-volumes":"4","publisher":"Neukirchener Verlag","publisher-place":"Neukirchen-Vluyn","title":"Das Evangelium nach Lukas","volume":"2","author":[{"family":"Bovon","given":"Francois"}],"issued":{"date-parts":[["1996"]]}},"locator":"115"}],"schema":"https://github.com/citation-style-language/schema/raw/master/csl-citation.json"} </w:instrText>
      </w:r>
      <w:r>
        <w:fldChar w:fldCharType="separate"/>
      </w:r>
      <w:r w:rsidRPr="009D6849">
        <w:rPr>
          <w:rFonts w:cs="Times New Roman"/>
          <w:lang w:val="de-AT"/>
        </w:rPr>
        <w:t xml:space="preserve">Francois Bovon, </w:t>
      </w:r>
      <w:r w:rsidRPr="009D6849">
        <w:rPr>
          <w:rFonts w:cs="Times New Roman"/>
          <w:i/>
          <w:iCs/>
          <w:lang w:val="de-AT"/>
        </w:rPr>
        <w:t>Das Evangelium Nach Lukas</w:t>
      </w:r>
      <w:r w:rsidRPr="009D6849">
        <w:rPr>
          <w:rFonts w:cs="Times New Roman"/>
          <w:lang w:val="de-AT"/>
        </w:rPr>
        <w:t>, vol. 2, Evangelisch-Katholischer Kommentar Zum Neuen Testament (Neukirchen-Vluyn: Neukirchener Verlag, 1996), 115.</w:t>
      </w:r>
      <w:r>
        <w:fldChar w:fldCharType="end"/>
      </w:r>
    </w:p>
  </w:footnote>
  <w:footnote w:id="4">
    <w:p w14:paraId="09A78B89" w14:textId="2C482977" w:rsidR="00881170" w:rsidRPr="00886CB6" w:rsidRDefault="00881170">
      <w:pPr>
        <w:pStyle w:val="FootnoteText"/>
        <w:rPr>
          <w:lang w:val="en-US"/>
        </w:rPr>
      </w:pPr>
      <w:r>
        <w:rPr>
          <w:rStyle w:val="FootnoteReference"/>
        </w:rPr>
        <w:footnoteRef/>
      </w:r>
      <w:r>
        <w:t xml:space="preserve"> </w:t>
      </w:r>
      <w:r>
        <w:fldChar w:fldCharType="begin"/>
      </w:r>
      <w:r w:rsidR="00F13F0D">
        <w:instrText xml:space="preserve"> ADDIN ZOTERO_ITEM CSL_CITATION {"citationID":"tHviQr7r","properties":{"formattedCitation":"Elisabeth Moltmann-Wendel, {\\i{}Ein Eigener Mensch Werden: Frauen Um Jesus} (G\\uc0\\u252{}tersloh: G\\uc0\\u252{}thersloher Verlagshaus, 1980), 35.","plainCitation":"Elisabeth Moltmann-Wendel, Ein Eigener Mensch Werden: Frauen Um Jesus (Gütersloh: Güthersloher Verlagshaus, 1980), 35.","noteIndex":4},"citationItems":[{"id":1017,"uris":["http://zotero.org/users/1120467/items/TT5H5JJ3"],"uri":["http://zotero.org/users/1120467/items/TT5H5JJ3"],"itemData":{"id":1017,"type":"book","event-place":"Gütersloh","publisher":"Güthersloher Verlagshaus","publisher-place":"Gütersloh","title":"Ein eigener Mensch werden: Frauen um Jesus","author":[{"family":"Moltmann-Wendel","given":"Elisabeth"}],"issued":{"date-parts":[["1980"]]}},"locator":"35"}],"schema":"https://github.com/citation-style-language/schema/raw/master/csl-citation.json"} </w:instrText>
      </w:r>
      <w:r>
        <w:fldChar w:fldCharType="separate"/>
      </w:r>
      <w:r w:rsidRPr="00881170">
        <w:rPr>
          <w:rFonts w:cs="Times New Roman"/>
          <w:lang w:val="de-AT"/>
        </w:rPr>
        <w:t xml:space="preserve">Elisabeth Moltmann-Wendel, </w:t>
      </w:r>
      <w:r w:rsidRPr="00881170">
        <w:rPr>
          <w:rFonts w:cs="Times New Roman"/>
          <w:i/>
          <w:iCs/>
          <w:lang w:val="de-AT"/>
        </w:rPr>
        <w:t>Ein Eigener Mensch Werden: Frauen Um Jesus</w:t>
      </w:r>
      <w:r w:rsidRPr="00881170">
        <w:rPr>
          <w:rFonts w:cs="Times New Roman"/>
          <w:lang w:val="de-AT"/>
        </w:rPr>
        <w:t xml:space="preserve"> (Gütersloh: Güthersloher Verlagshaus, 1980), 35.</w:t>
      </w:r>
      <w:r>
        <w:fldChar w:fldCharType="end"/>
      </w:r>
      <w:r w:rsidR="00590F81">
        <w:rPr>
          <w:lang w:val="de-AT"/>
        </w:rPr>
        <w:t xml:space="preserve"> </w:t>
      </w:r>
      <w:r w:rsidR="00590F81" w:rsidRPr="00886CB6">
        <w:rPr>
          <w:lang w:val="en-US"/>
        </w:rPr>
        <w:t>Translations from German my own.</w:t>
      </w:r>
    </w:p>
  </w:footnote>
  <w:footnote w:id="5">
    <w:p w14:paraId="4FEC9A66" w14:textId="45CE3156" w:rsidR="009A1224" w:rsidRPr="00F13F0D" w:rsidRDefault="009A1224">
      <w:pPr>
        <w:pStyle w:val="FootnoteText"/>
        <w:rPr>
          <w:lang w:val="de-AT"/>
        </w:rPr>
      </w:pPr>
      <w:r>
        <w:rPr>
          <w:rStyle w:val="FootnoteReference"/>
        </w:rPr>
        <w:footnoteRef/>
      </w:r>
      <w:r>
        <w:t xml:space="preserve"> </w:t>
      </w:r>
      <w:r>
        <w:fldChar w:fldCharType="begin"/>
      </w:r>
      <w:r w:rsidR="00F13F0D">
        <w:instrText xml:space="preserve"> ADDIN ZOTERO_ITEM CSL_CITATION {"citationID":"JMHQY5og","properties":{"formattedCitation":"Bovon, {\\i{}Das Evangelium Nach Lukas}, 2:104.","plainCitation":"Bovon, Das Evangelium Nach Lukas, 2:104.","noteIndex":5},"citationItems":[{"id":1008,"uris":["http://zotero.org/users/1120467/items/U8WTMF6J"],"uri":["http://zotero.org/users/1120467/items/U8WTMF6J"],"itemData":{"id":1008,"type":"book","collection-title":"Evangelisch-Katholischer Kommentar zum Neuen Testament","event-place":"Neukirchen-Vluyn","number-of-volumes":"4","publisher":"Neukirchener Verlag","publisher-place":"Neukirchen-Vluyn","title":"Das Evangelium nach Lukas","volume":"2","author":[{"family":"Bovon","given":"Francois"}],"issued":{"date-parts":[["1996"]]}},"locator":"104"}],"schema":"https://github.com/citation-style-language/schema/raw/master/csl-citation.json"} </w:instrText>
      </w:r>
      <w:r>
        <w:fldChar w:fldCharType="separate"/>
      </w:r>
      <w:r w:rsidRPr="00F13F0D">
        <w:rPr>
          <w:rFonts w:cs="Times New Roman"/>
          <w:lang w:val="de-AT"/>
        </w:rPr>
        <w:t xml:space="preserve">Bovon, </w:t>
      </w:r>
      <w:r w:rsidRPr="00F13F0D">
        <w:rPr>
          <w:rFonts w:cs="Times New Roman"/>
          <w:i/>
          <w:iCs/>
          <w:lang w:val="de-AT"/>
        </w:rPr>
        <w:t>Das Evangelium Nach Lukas</w:t>
      </w:r>
      <w:r w:rsidRPr="00F13F0D">
        <w:rPr>
          <w:rFonts w:cs="Times New Roman"/>
          <w:lang w:val="de-AT"/>
        </w:rPr>
        <w:t>, 2:104.</w:t>
      </w:r>
      <w:r>
        <w:fldChar w:fldCharType="end"/>
      </w:r>
    </w:p>
  </w:footnote>
  <w:footnote w:id="6">
    <w:p w14:paraId="4BAC6198" w14:textId="2DF8267D" w:rsidR="00DE75CD" w:rsidRPr="00DE75CD" w:rsidRDefault="00DE75CD">
      <w:pPr>
        <w:pStyle w:val="FootnoteText"/>
        <w:rPr>
          <w:lang w:val="en-GB"/>
        </w:rPr>
      </w:pPr>
      <w:r>
        <w:rPr>
          <w:rStyle w:val="FootnoteReference"/>
        </w:rPr>
        <w:footnoteRef/>
      </w:r>
      <w:r>
        <w:t xml:space="preserve"> </w:t>
      </w:r>
      <w:r>
        <w:rPr>
          <w:lang w:val="en-GB"/>
        </w:rPr>
        <w:t xml:space="preserve">That said, it is worth </w:t>
      </w:r>
      <w:r w:rsidR="0077460A">
        <w:rPr>
          <w:lang w:val="en-GB"/>
        </w:rPr>
        <w:t>questioning</w:t>
      </w:r>
      <w:r>
        <w:rPr>
          <w:lang w:val="en-GB"/>
        </w:rPr>
        <w:t xml:space="preserve"> how far Mary of Magdala was truly independent: the fact that she has been ‘cured of evil spirits and infirmities’ (Luke 8:2) suggests, at the very least, an unequal power </w:t>
      </w:r>
      <w:r w:rsidR="00A27FF6">
        <w:rPr>
          <w:lang w:val="en-GB"/>
        </w:rPr>
        <w:t>balance</w:t>
      </w:r>
      <w:r>
        <w:rPr>
          <w:lang w:val="en-GB"/>
        </w:rPr>
        <w:t xml:space="preserve"> between </w:t>
      </w:r>
      <w:r w:rsidR="00A27FF6">
        <w:rPr>
          <w:lang w:val="en-GB"/>
        </w:rPr>
        <w:t>her</w:t>
      </w:r>
      <w:r>
        <w:rPr>
          <w:lang w:val="en-GB"/>
        </w:rPr>
        <w:t xml:space="preserve"> and Jesus.</w:t>
      </w:r>
    </w:p>
  </w:footnote>
  <w:footnote w:id="7">
    <w:p w14:paraId="34BD4162" w14:textId="17E0C118" w:rsidR="00904ACE" w:rsidRPr="00904ACE" w:rsidRDefault="00904ACE">
      <w:pPr>
        <w:pStyle w:val="FootnoteText"/>
        <w:rPr>
          <w:lang w:val="en-US"/>
        </w:rPr>
      </w:pPr>
      <w:r>
        <w:rPr>
          <w:rStyle w:val="FootnoteReference"/>
        </w:rPr>
        <w:footnoteRef/>
      </w:r>
      <w:r>
        <w:t xml:space="preserve"> </w:t>
      </w:r>
      <w:r>
        <w:fldChar w:fldCharType="begin"/>
      </w:r>
      <w:r w:rsidR="00F13F0D">
        <w:instrText xml:space="preserve"> ADDIN ZOTERO_ITEM CSL_CITATION {"citationID":"XVjOsE3Z","properties":{"formattedCitation":"Diane Chen, {\\i{}Luke}, New Covenant Commentary (Eugene, OR: Cascade Books, 2017), 87.","plainCitation":"Diane Chen, Luke, New Covenant Commentary (Eugene, OR: Cascade Books, 2017), 87.","noteIndex":7},"citationItems":[{"id":988,"uris":["http://zotero.org/users/1120467/items/2TFMPDNL"],"uri":["http://zotero.org/users/1120467/items/2TFMPDNL"],"itemData":{"id":988,"type":"book","collection-title":"New Covenant Commentary","event-place":"Eugene, OR","publisher":"Cascade Books","publisher-place":"Eugene, OR","title":"Luke","author":[{"family":"Chen","given":"Diane"}],"accessed":{"date-parts":[["2020",6,15]]},"issued":{"date-parts":[["2017"]]}},"locator":"87"}],"schema":"https://github.com/citation-style-language/schema/raw/master/csl-citation.json"} </w:instrText>
      </w:r>
      <w:r>
        <w:fldChar w:fldCharType="separate"/>
      </w:r>
      <w:r w:rsidR="00F13F0D" w:rsidRPr="00F13F0D">
        <w:rPr>
          <w:rFonts w:cs="Times New Roman"/>
          <w:lang w:val="en-GB"/>
        </w:rPr>
        <w:t xml:space="preserve">Diane Chen, </w:t>
      </w:r>
      <w:r w:rsidR="00F13F0D" w:rsidRPr="00F13F0D">
        <w:rPr>
          <w:rFonts w:cs="Times New Roman"/>
          <w:i/>
          <w:iCs/>
          <w:lang w:val="en-GB"/>
        </w:rPr>
        <w:t>Luke</w:t>
      </w:r>
      <w:r w:rsidR="00F13F0D" w:rsidRPr="00F13F0D">
        <w:rPr>
          <w:rFonts w:cs="Times New Roman"/>
          <w:lang w:val="en-GB"/>
        </w:rPr>
        <w:t>, New Covenant Commentary (Eugene, OR: Cascade Books, 2017), 87.</w:t>
      </w:r>
      <w:r>
        <w:fldChar w:fldCharType="end"/>
      </w:r>
    </w:p>
  </w:footnote>
  <w:footnote w:id="8">
    <w:p w14:paraId="2239A0AF" w14:textId="260F460C" w:rsidR="00D24F31" w:rsidRPr="00E14C00" w:rsidRDefault="00D24F31">
      <w:pPr>
        <w:pStyle w:val="FootnoteText"/>
        <w:rPr>
          <w:lang w:val="de-AT"/>
        </w:rPr>
      </w:pPr>
      <w:r>
        <w:rPr>
          <w:rStyle w:val="FootnoteReference"/>
        </w:rPr>
        <w:footnoteRef/>
      </w:r>
      <w:r>
        <w:t xml:space="preserve"> </w:t>
      </w:r>
      <w:r>
        <w:fldChar w:fldCharType="begin"/>
      </w:r>
      <w:r w:rsidR="00F13F0D">
        <w:instrText xml:space="preserve"> ADDIN ZOTERO_ITEM CSL_CITATION {"citationID":"3pfAR9Pj","properties":{"formattedCitation":"Bovon, {\\i{}Das Evangelium Nach Lukas}, 2:104.","plainCitation":"Bovon, Das Evangelium Nach Lukas, 2:104.","noteIndex":8},"citationItems":[{"id":1008,"uris":["http://zotero.org/users/1120467/items/U8WTMF6J"],"uri":["http://zotero.org/users/1120467/items/U8WTMF6J"],"itemData":{"id":1008,"type":"book","collection-title":"Evangelisch-Katholischer Kommentar zum Neuen Testament","event-place":"Neukirchen-Vluyn","number-of-volumes":"4","publisher":"Neukirchener Verlag","publisher-place":"Neukirchen-Vluyn","title":"Das Evangelium nach Lukas","volume":"2","author":[{"family":"Bovon","given":"Francois"}],"issued":{"date-parts":[["1996"]]}},"locator":"104"}],"schema":"https://github.com/citation-style-language/schema/raw/master/csl-citation.json"} </w:instrText>
      </w:r>
      <w:r>
        <w:fldChar w:fldCharType="separate"/>
      </w:r>
      <w:r w:rsidR="00E14C00" w:rsidRPr="00E14C00">
        <w:rPr>
          <w:rFonts w:cs="Times New Roman"/>
          <w:lang w:val="de-AT"/>
        </w:rPr>
        <w:t xml:space="preserve">Bovon, </w:t>
      </w:r>
      <w:r w:rsidR="00E14C00" w:rsidRPr="00E14C00">
        <w:rPr>
          <w:rFonts w:cs="Times New Roman"/>
          <w:i/>
          <w:iCs/>
          <w:lang w:val="de-AT"/>
        </w:rPr>
        <w:t>Das Evangelium Nach Lukas</w:t>
      </w:r>
      <w:r w:rsidR="00E14C00" w:rsidRPr="00E14C00">
        <w:rPr>
          <w:rFonts w:cs="Times New Roman"/>
          <w:lang w:val="de-AT"/>
        </w:rPr>
        <w:t>, 2:104.</w:t>
      </w:r>
      <w:r>
        <w:fldChar w:fldCharType="end"/>
      </w:r>
    </w:p>
  </w:footnote>
  <w:footnote w:id="9">
    <w:p w14:paraId="1349FA53" w14:textId="06CB1842" w:rsidR="00F672EB" w:rsidRPr="00904ACE" w:rsidRDefault="00F672EB">
      <w:pPr>
        <w:pStyle w:val="FootnoteText"/>
        <w:rPr>
          <w:lang w:val="de-AT"/>
        </w:rPr>
      </w:pPr>
      <w:r>
        <w:rPr>
          <w:rStyle w:val="FootnoteReference"/>
        </w:rPr>
        <w:footnoteRef/>
      </w:r>
      <w:r>
        <w:t xml:space="preserve"> </w:t>
      </w:r>
      <w:r>
        <w:rPr>
          <w:lang w:val="en-GB"/>
        </w:rPr>
        <w:t xml:space="preserve">Bovon notes that the rare verb </w:t>
      </w:r>
      <w:r w:rsidRPr="00F672EB">
        <w:rPr>
          <w:lang w:val="en-GB"/>
        </w:rPr>
        <w:t>περιεσπᾶτο</w:t>
      </w:r>
      <w:r>
        <w:rPr>
          <w:lang w:val="en-GB"/>
        </w:rPr>
        <w:t xml:space="preserve"> points to the excess of Martha’s workload. </w:t>
      </w:r>
      <w:r>
        <w:rPr>
          <w:lang w:val="en-GB"/>
        </w:rPr>
        <w:fldChar w:fldCharType="begin"/>
      </w:r>
      <w:r w:rsidR="00F13F0D">
        <w:rPr>
          <w:lang w:val="en-GB"/>
        </w:rPr>
        <w:instrText xml:space="preserve"> ADDIN ZOTERO_ITEM CSL_CITATION {"citationID":"nkUabuxK","properties":{"formattedCitation":"Ibid., 2:106.","plainCitation":"Ibid., 2:106.","noteIndex":9},"citationItems":[{"id":1008,"uris":["http://zotero.org/users/1120467/items/U8WTMF6J"],"uri":["http://zotero.org/users/1120467/items/U8WTMF6J"],"itemData":{"id":1008,"type":"book","collection-title":"Evangelisch-Katholischer Kommentar zum Neuen Testament","event-place":"Neukirchen-Vluyn","number-of-volumes":"4","publisher":"Neukirchener Verlag","publisher-place":"Neukirchen-Vluyn","title":"Das Evangelium nach Lukas","volume":"2","author":[{"family":"Bovon","given":"Francois"}],"issued":{"date-parts":[["1996"]]}},"locator":"106"}],"schema":"https://github.com/citation-style-language/schema/raw/master/csl-citation.json"} </w:instrText>
      </w:r>
      <w:r>
        <w:rPr>
          <w:lang w:val="en-GB"/>
        </w:rPr>
        <w:fldChar w:fldCharType="separate"/>
      </w:r>
      <w:r w:rsidRPr="00904ACE">
        <w:rPr>
          <w:noProof/>
          <w:lang w:val="de-AT"/>
        </w:rPr>
        <w:t>Ibid., 2:106.</w:t>
      </w:r>
      <w:r>
        <w:rPr>
          <w:lang w:val="en-GB"/>
        </w:rPr>
        <w:fldChar w:fldCharType="end"/>
      </w:r>
      <w:r w:rsidRPr="00904ACE">
        <w:rPr>
          <w:lang w:val="de-AT"/>
        </w:rPr>
        <w:t xml:space="preserve"> </w:t>
      </w:r>
    </w:p>
  </w:footnote>
  <w:footnote w:id="10">
    <w:p w14:paraId="3EB078AE" w14:textId="4274847B" w:rsidR="00904ACE" w:rsidRPr="00F36F86" w:rsidRDefault="00904ACE">
      <w:pPr>
        <w:pStyle w:val="FootnoteText"/>
        <w:rPr>
          <w:lang w:val="de-AT"/>
        </w:rPr>
      </w:pPr>
      <w:r>
        <w:rPr>
          <w:rStyle w:val="FootnoteReference"/>
        </w:rPr>
        <w:footnoteRef/>
      </w:r>
      <w:r>
        <w:t xml:space="preserve"> </w:t>
      </w:r>
      <w:r>
        <w:fldChar w:fldCharType="begin"/>
      </w:r>
      <w:r w:rsidR="00F13F0D">
        <w:instrText xml:space="preserve"> ADDIN ZOTERO_ITEM CSL_CITATION {"citationID":"0wvCdnMI","properties":{"formattedCitation":"Chen, {\\i{}Luke}, 88.","plainCitation":"Chen, Luke, 88.","noteIndex":10},"citationItems":[{"id":988,"uris":["http://zotero.org/users/1120467/items/2TFMPDNL"],"uri":["http://zotero.org/users/1120467/items/2TFMPDNL"],"itemData":{"id":988,"type":"book","collection-title":"New Covenant Commentary","event-place":"Eugene, OR","publisher":"Cascade Books","publisher-place":"Eugene, OR","title":"Luke","author":[{"family":"Chen","given":"Diane"}],"accessed":{"date-parts":[["2020",6,15]]},"issued":{"date-parts":[["2017"]]}},"locator":"88"}],"schema":"https://github.com/citation-style-language/schema/raw/master/csl-citation.json"} </w:instrText>
      </w:r>
      <w:r>
        <w:fldChar w:fldCharType="separate"/>
      </w:r>
      <w:r w:rsidRPr="00F36F86">
        <w:rPr>
          <w:rFonts w:cs="Times New Roman"/>
          <w:lang w:val="de-AT"/>
        </w:rPr>
        <w:t xml:space="preserve">Chen, </w:t>
      </w:r>
      <w:r w:rsidRPr="00F36F86">
        <w:rPr>
          <w:rFonts w:cs="Times New Roman"/>
          <w:i/>
          <w:iCs/>
          <w:lang w:val="de-AT"/>
        </w:rPr>
        <w:t>Luke</w:t>
      </w:r>
      <w:r w:rsidRPr="00F36F86">
        <w:rPr>
          <w:rFonts w:cs="Times New Roman"/>
          <w:lang w:val="de-AT"/>
        </w:rPr>
        <w:t>, 88.</w:t>
      </w:r>
      <w:r>
        <w:fldChar w:fldCharType="end"/>
      </w:r>
    </w:p>
  </w:footnote>
  <w:footnote w:id="11">
    <w:p w14:paraId="78371AE2" w14:textId="76580DE1" w:rsidR="00552F79" w:rsidRPr="00F36F86" w:rsidRDefault="00552F79">
      <w:pPr>
        <w:pStyle w:val="FootnoteText"/>
        <w:rPr>
          <w:lang w:val="de-AT"/>
        </w:rPr>
      </w:pPr>
      <w:r>
        <w:rPr>
          <w:rStyle w:val="FootnoteReference"/>
        </w:rPr>
        <w:footnoteRef/>
      </w:r>
      <w:r>
        <w:t xml:space="preserve"> </w:t>
      </w:r>
      <w:r>
        <w:fldChar w:fldCharType="begin"/>
      </w:r>
      <w:r w:rsidR="00F13F0D">
        <w:instrText xml:space="preserve"> ADDIN ZOTERO_ITEM CSL_CITATION {"citationID":"MA0CvNVv","properties":{"formattedCitation":"Bock, {\\i{}Luke 9}, 1040.","plainCitation":"Bock, Luke 9, 1040.","noteIndex":11},"citationItems":[{"id":1007,"uris":["http://zotero.org/users/1120467/items/N4L2AKUA"],"uri":["http://zotero.org/users/1120467/items/N4L2AKUA"],"itemData":{"id":1007,"type":"book","abstract":"This clearly-organized, contemporary analysis gives scholars, ministers, and teachers valuable perspective on Luke--from Jesus' journey to Jerusalem, through the Last Supper, to the resurrection.","edition":"3rd edition","event-place":"Grand Rapids, Mich","ISBN":"978-0-8010-1052-1","language":"English","number-of-pages":"1162","publisher":"Baker Academic","publisher-place":"Grand Rapids, Mich","source":"Amazon","title":"Luke 9:51-24:53","title-short":"Luke 9","author":[{"family":"Bock","given":"Darrell L."}],"issued":{"date-parts":[["1996",5,1]]}},"locator":"1040"}],"schema":"https://github.com/citation-style-language/schema/raw/master/csl-citation.json"} </w:instrText>
      </w:r>
      <w:r>
        <w:fldChar w:fldCharType="separate"/>
      </w:r>
      <w:r w:rsidR="00CA1DCB" w:rsidRPr="00F36F86">
        <w:rPr>
          <w:rFonts w:cs="Times New Roman"/>
          <w:lang w:val="de-AT"/>
        </w:rPr>
        <w:t xml:space="preserve">Bock, </w:t>
      </w:r>
      <w:r w:rsidR="00CA1DCB" w:rsidRPr="00F36F86">
        <w:rPr>
          <w:rFonts w:cs="Times New Roman"/>
          <w:i/>
          <w:iCs/>
          <w:lang w:val="de-AT"/>
        </w:rPr>
        <w:t>Luke 9</w:t>
      </w:r>
      <w:r w:rsidR="00CA1DCB" w:rsidRPr="00F36F86">
        <w:rPr>
          <w:rFonts w:cs="Times New Roman"/>
          <w:lang w:val="de-AT"/>
        </w:rPr>
        <w:t>, 1040.</w:t>
      </w:r>
      <w:r>
        <w:fldChar w:fldCharType="end"/>
      </w:r>
    </w:p>
  </w:footnote>
  <w:footnote w:id="12">
    <w:p w14:paraId="760229DE" w14:textId="4296D2A2" w:rsidR="00271A3C" w:rsidRPr="00904ACE" w:rsidRDefault="00271A3C">
      <w:pPr>
        <w:pStyle w:val="FootnoteText"/>
        <w:rPr>
          <w:lang w:val="de-AT"/>
        </w:rPr>
      </w:pPr>
      <w:r>
        <w:rPr>
          <w:rStyle w:val="FootnoteReference"/>
        </w:rPr>
        <w:footnoteRef/>
      </w:r>
      <w:r>
        <w:t xml:space="preserve"> </w:t>
      </w:r>
      <w:r>
        <w:fldChar w:fldCharType="begin"/>
      </w:r>
      <w:r w:rsidR="00F13F0D">
        <w:instrText xml:space="preserve"> ADDIN ZOTERO_ITEM CSL_CITATION {"citationID":"lE9TtlrO","properties":{"formattedCitation":"Bovon, {\\i{}Das Evangelium Nach Lukas}, 2:108.","plainCitation":"Bovon, Das Evangelium Nach Lukas, 2:108.","noteIndex":12},"citationItems":[{"id":1008,"uris":["http://zotero.org/users/1120467/items/U8WTMF6J"],"uri":["http://zotero.org/users/1120467/items/U8WTMF6J"],"itemData":{"id":1008,"type":"book","collection-title":"Evangelisch-Katholischer Kommentar zum Neuen Testament","event-place":"Neukirchen-Vluyn","number-of-volumes":"4","publisher":"Neukirchener Verlag","publisher-place":"Neukirchen-Vluyn","title":"Das Evangelium nach Lukas","volume":"2","author":[{"family":"Bovon","given":"Francois"}],"issued":{"date-parts":[["1996"]]}},"locator":"108"}],"schema":"https://github.com/citation-style-language/schema/raw/master/csl-citation.json"} </w:instrText>
      </w:r>
      <w:r>
        <w:fldChar w:fldCharType="separate"/>
      </w:r>
      <w:r w:rsidRPr="00904ACE">
        <w:rPr>
          <w:rFonts w:cs="Times New Roman"/>
          <w:lang w:val="de-AT"/>
        </w:rPr>
        <w:t xml:space="preserve">Bovon, </w:t>
      </w:r>
      <w:r w:rsidRPr="00904ACE">
        <w:rPr>
          <w:rFonts w:cs="Times New Roman"/>
          <w:i/>
          <w:iCs/>
          <w:lang w:val="de-AT"/>
        </w:rPr>
        <w:t>Das Evangelium Nach Lukas</w:t>
      </w:r>
      <w:r w:rsidRPr="00904ACE">
        <w:rPr>
          <w:rFonts w:cs="Times New Roman"/>
          <w:lang w:val="de-AT"/>
        </w:rPr>
        <w:t>, 2:108.</w:t>
      </w:r>
      <w:r>
        <w:fldChar w:fldCharType="end"/>
      </w:r>
    </w:p>
  </w:footnote>
  <w:footnote w:id="13">
    <w:p w14:paraId="458F08E5" w14:textId="52711E15" w:rsidR="00904ACE" w:rsidRPr="00904ACE" w:rsidRDefault="00904ACE">
      <w:pPr>
        <w:pStyle w:val="FootnoteText"/>
        <w:rPr>
          <w:lang w:val="en-GB"/>
        </w:rPr>
      </w:pPr>
      <w:r>
        <w:rPr>
          <w:rStyle w:val="FootnoteReference"/>
        </w:rPr>
        <w:footnoteRef/>
      </w:r>
      <w:r>
        <w:t xml:space="preserve"> </w:t>
      </w:r>
      <w:r w:rsidR="00CD0933">
        <w:rPr>
          <w:lang w:val="en-GB"/>
        </w:rPr>
        <w:t>The</w:t>
      </w:r>
      <w:r>
        <w:rPr>
          <w:lang w:val="en-GB"/>
        </w:rPr>
        <w:t xml:space="preserve"> plot </w:t>
      </w:r>
      <w:r w:rsidR="00CD0933">
        <w:rPr>
          <w:lang w:val="en-GB"/>
        </w:rPr>
        <w:t xml:space="preserve">as I am reading it </w:t>
      </w:r>
      <w:r>
        <w:rPr>
          <w:lang w:val="en-GB"/>
        </w:rPr>
        <w:t xml:space="preserve">stands in some tension </w:t>
      </w:r>
      <w:r w:rsidR="00DA2668">
        <w:rPr>
          <w:lang w:val="en-GB"/>
        </w:rPr>
        <w:t>with</w:t>
      </w:r>
      <w:r>
        <w:rPr>
          <w:lang w:val="en-GB"/>
        </w:rPr>
        <w:t xml:space="preserve"> the form critical</w:t>
      </w:r>
      <w:r w:rsidR="00CD0933">
        <w:rPr>
          <w:lang w:val="en-GB"/>
        </w:rPr>
        <w:t xml:space="preserve"> observation that the words of Jesus stand as a normative teaching to the church, teaching readers to choose one of two possible ‘Glaubenshaltung’. (</w:t>
      </w:r>
      <w:r w:rsidR="00CD0933">
        <w:rPr>
          <w:lang w:val="en-GB"/>
        </w:rPr>
        <w:fldChar w:fldCharType="begin"/>
      </w:r>
      <w:r w:rsidR="00F13F0D">
        <w:rPr>
          <w:lang w:val="en-GB"/>
        </w:rPr>
        <w:instrText xml:space="preserve"> ADDIN ZOTERO_ITEM CSL_CITATION {"citationID":"HJRAGMX5","properties":{"formattedCitation":"Ibid., 2:103\\uc0\\u8211{}4.","plainCitation":"Ibid., 2:103–4.","noteIndex":13},"citationItems":[{"id":1008,"uris":["http://zotero.org/users/1120467/items/U8WTMF6J"],"uri":["http://zotero.org/users/1120467/items/U8WTMF6J"],"itemData":{"id":1008,"type":"book","collection-title":"Evangelisch-Katholischer Kommentar zum Neuen Testament","event-place":"Neukirchen-Vluyn","number-of-volumes":"4","publisher":"Neukirchener Verlag","publisher-place":"Neukirchen-Vluyn","title":"Das Evangelium nach Lukas","volume":"2","author":[{"family":"Bovon","given":"Francois"}],"issued":{"date-parts":[["1996"]]}},"locator":"103-4"}],"schema":"https://github.com/citation-style-language/schema/raw/master/csl-citation.json"} </w:instrText>
      </w:r>
      <w:r w:rsidR="00CD0933">
        <w:rPr>
          <w:lang w:val="en-GB"/>
        </w:rPr>
        <w:fldChar w:fldCharType="separate"/>
      </w:r>
      <w:r w:rsidR="00CD0933" w:rsidRPr="00CD0933">
        <w:rPr>
          <w:rFonts w:cs="Times New Roman"/>
          <w:lang w:val="en-GB"/>
        </w:rPr>
        <w:t>Ibid., 2:103–4.</w:t>
      </w:r>
      <w:r w:rsidR="00CD0933">
        <w:rPr>
          <w:lang w:val="en-GB"/>
        </w:rPr>
        <w:fldChar w:fldCharType="end"/>
      </w:r>
      <w:r w:rsidR="00CD0933">
        <w:rPr>
          <w:lang w:val="en-GB"/>
        </w:rPr>
        <w:t xml:space="preserve">). This highlights the way in which literary concentration on plot and character sometimes brings out tensions </w:t>
      </w:r>
      <w:r w:rsidR="00DA2668">
        <w:rPr>
          <w:lang w:val="en-GB"/>
        </w:rPr>
        <w:t>in</w:t>
      </w:r>
      <w:r w:rsidR="00CD0933">
        <w:rPr>
          <w:lang w:val="en-GB"/>
        </w:rPr>
        <w:t xml:space="preserve"> form-critical observations.   </w:t>
      </w:r>
    </w:p>
  </w:footnote>
  <w:footnote w:id="14">
    <w:p w14:paraId="1494CFE9" w14:textId="0B81BA43" w:rsidR="00015714" w:rsidRPr="00CD0933" w:rsidRDefault="00015714" w:rsidP="00015714">
      <w:pPr>
        <w:pStyle w:val="FootnoteText"/>
        <w:rPr>
          <w:lang w:val="en-GB"/>
        </w:rPr>
      </w:pPr>
      <w:r>
        <w:rPr>
          <w:rStyle w:val="FootnoteReference"/>
        </w:rPr>
        <w:footnoteRef/>
      </w:r>
      <w:r>
        <w:t xml:space="preserve"> </w:t>
      </w:r>
      <w:r>
        <w:fldChar w:fldCharType="begin"/>
      </w:r>
      <w:r w:rsidR="00F13F0D">
        <w:instrText xml:space="preserve"> ADDIN ZOTERO_ITEM CSL_CITATION {"citationID":"q37mPHwC","properties":{"formattedCitation":"Kamila Blessing, {\\i{}Families of the Bible: A New Perspective} (ABC-CLIO, 2010).","plainCitation":"Kamila Blessing, Families of the Bible: A New Perspective (ABC-CLIO, 2010).","noteIndex":14},"citationItems":[{"id":1006,"uris":["http://zotero.org/users/1120467/items/35LVQAYN"],"uri":["http://zotero.org/users/1120467/items/35LVQAYN"],"itemData":{"id":1006,"type":"book","abstract":"\"Today we recognize that families come in interesting shapes and sizesùeach with their own dynamics. This is certainly true of the many families in the Bible. With keen psychological insight and spiritual reflection Kamila Blessing offers readers new perspectives on families then and what this can mean for how families are viewed now.\"ùFrederick H. Borsch, Episcopal Bishop of Los Angeles (Ret), Chair of Anglican Studies at the Lutheran Theological Seminary at Philadelphia\"Has Kamila Blessing used familiography as a vehicle for writing theology? It's a question well worth asking of her provocative and stimulating book.ùD. Moody Smith, Jr., George Washington Ivey Professor Emeritus of New Testament, The Divinity School at Duke UniversityThe most profoundly alone being in the Bible is God. The second is Jesus. In fact, the single person turns out to be of central importance in the Bible, despite the overwhelming emphasis on extended biological families. Since the only consistent way of constituting \"family\" in the Bible is \"covenant,\" the orphan, the single person, the gay person, and others who are often ion the fringes of the Church are just as much part of the family of God as the husband-wife-child unit.Paradox: there is no one kind of \"biblical\" family that we can idealize and recreate in the modern world. Thus, we must think of the principals of faithful family life demonstrated in the Bible and express them in a new way. That is the idea underlying Families of the Bible: A New Perspective. Examining themes related to family health, connection, spirituality, and psychology, the author relates stories from the Bible to modern-day experience in an effort to help readers strengthen and heal their own families, whatever their structure.While the book addresses the family of the patriarchs and other major traditional families in the Bible, it also specifically examines JesusÆ new definition of family, showing that his psycho-spiritual family has a different, and more inclusive, shape the \"normal family.\"The author, who is an Episcopal priest, demonstrates that the God of the Bible is faithful in providing for his people. The many disadvantaged in our society, as well as those who are alone, and those who have found that wealth does not provide satisfaction, will benefit from this thoughtful reinterpretation.","ISBN":"978-0-313-36542-3","language":"en","note":"Google-Books-ID: 50TGbOFDwZMC","number-of-pages":"250","publisher":"ABC-CLIO","source":"Google Books","title":"Families of the Bible: A New Perspective","title-short":"Families of the Bible","author":[{"family":"Blessing","given":"Kamila"}],"issued":{"date-parts":[["2010"]]}}}],"schema":"https://github.com/citation-style-language/schema/raw/master/csl-citation.json"} </w:instrText>
      </w:r>
      <w:r>
        <w:fldChar w:fldCharType="separate"/>
      </w:r>
      <w:r w:rsidRPr="00015714">
        <w:rPr>
          <w:rFonts w:cs="Times New Roman"/>
          <w:lang w:val="en-GB"/>
        </w:rPr>
        <w:t xml:space="preserve">Kamila Blessing, </w:t>
      </w:r>
      <w:r w:rsidRPr="00015714">
        <w:rPr>
          <w:rFonts w:cs="Times New Roman"/>
          <w:i/>
          <w:iCs/>
          <w:lang w:val="en-GB"/>
        </w:rPr>
        <w:t>Families of the Bible: A New Perspective</w:t>
      </w:r>
      <w:r w:rsidRPr="00015714">
        <w:rPr>
          <w:rFonts w:cs="Times New Roman"/>
          <w:lang w:val="en-GB"/>
        </w:rPr>
        <w:t xml:space="preserve"> (ABC-CLIO, 2010).</w:t>
      </w:r>
      <w:r>
        <w:fldChar w:fldCharType="end"/>
      </w:r>
    </w:p>
  </w:footnote>
  <w:footnote w:id="15">
    <w:p w14:paraId="2A76B498" w14:textId="392F05C0" w:rsidR="00D836A8" w:rsidRPr="00D836A8" w:rsidRDefault="00D836A8">
      <w:pPr>
        <w:pStyle w:val="FootnoteText"/>
        <w:rPr>
          <w:lang w:val="en-GB"/>
        </w:rPr>
      </w:pPr>
      <w:r>
        <w:rPr>
          <w:rStyle w:val="FootnoteReference"/>
        </w:rPr>
        <w:footnoteRef/>
      </w:r>
      <w:r>
        <w:t xml:space="preserve"> </w:t>
      </w:r>
      <w:r>
        <w:fldChar w:fldCharType="begin"/>
      </w:r>
      <w:r w:rsidR="00F13F0D">
        <w:instrText xml:space="preserve"> ADDIN ZOTERO_ITEM CSL_CITATION {"citationID":"QXOhG9vd","properties":{"formattedCitation":"Murray Bowen and Michael E. Kerr, {\\i{}Family Evaluation} (W. W. Norton &amp; Company, 2009), 10.","plainCitation":"Murray Bowen and Michael E. Kerr, Family Evaluation (W. W. Norton &amp; Company, 2009), 10.","noteIndex":15},"citationItems":[{"id":1012,"uris":["http://zotero.org/users/1120467/items/C28U4AYH"],"uri":["http://zotero.org/users/1120467/items/C28U4AYH"],"itemData":{"id":1012,"type":"book","abstract":"The concepts of Murray Bowen, one of the founders of family therapy and the originator of family systems theory, are brought together here in an integrative fashion. Michael Kerr (who worked with Bowen for many years) and Bowen propose that the enormously complex task of evaluating a clinical family can be orderly when it is grounded in family systems theory.  Using family diagrams and case studies, the book is devoted to an elegant explication of Bowen theory, which analyzes multigenerational family relationships and conceptualizes the family as an emotional unit or as a network of interlocking relationships, not only among the family members, but also among biological, psychological, and sociological processes. Bowen’s persistent inquiry and devotion to family observation, in spite of obstacles and frustrations, have resulted in a theory that has radically changed our ways of looking at all behavior.","ISBN":"978-0-393-07555-7","language":"en","note":"Google-Books-ID: EOGQAwAAQBAJ","number-of-pages":"420","publisher":"W. W. Norton &amp; Company","source":"Google Books","title":"Family Evaluation","author":[{"family":"Bowen","given":"Murray"},{"family":"Kerr","given":"Michael E."}],"issued":{"date-parts":[["2009",8,1]]}},"locator":"10"}],"schema":"https://github.com/citation-style-language/schema/raw/master/csl-citation.json"} </w:instrText>
      </w:r>
      <w:r>
        <w:fldChar w:fldCharType="separate"/>
      </w:r>
      <w:r w:rsidRPr="00D836A8">
        <w:rPr>
          <w:rFonts w:cs="Times New Roman"/>
          <w:lang w:val="en-GB"/>
        </w:rPr>
        <w:t xml:space="preserve">Murray Bowen and Michael E. Kerr, </w:t>
      </w:r>
      <w:r w:rsidRPr="00D836A8">
        <w:rPr>
          <w:rFonts w:cs="Times New Roman"/>
          <w:i/>
          <w:iCs/>
          <w:lang w:val="en-GB"/>
        </w:rPr>
        <w:t>Family Evaluation</w:t>
      </w:r>
      <w:r w:rsidRPr="00D836A8">
        <w:rPr>
          <w:rFonts w:cs="Times New Roman"/>
          <w:lang w:val="en-GB"/>
        </w:rPr>
        <w:t xml:space="preserve"> (W. W. Norton &amp; Company, 2009), 10.</w:t>
      </w:r>
      <w:r>
        <w:fldChar w:fldCharType="end"/>
      </w:r>
    </w:p>
  </w:footnote>
  <w:footnote w:id="16">
    <w:p w14:paraId="2451AA22" w14:textId="2535E906" w:rsidR="00015714" w:rsidRPr="00015714" w:rsidRDefault="00015714">
      <w:pPr>
        <w:pStyle w:val="FootnoteText"/>
        <w:rPr>
          <w:lang w:val="en-GB"/>
        </w:rPr>
      </w:pPr>
      <w:r>
        <w:rPr>
          <w:rStyle w:val="FootnoteReference"/>
        </w:rPr>
        <w:footnoteRef/>
      </w:r>
      <w:r>
        <w:t xml:space="preserve"> </w:t>
      </w:r>
      <w:r>
        <w:fldChar w:fldCharType="begin"/>
      </w:r>
      <w:r w:rsidR="00F13F0D">
        <w:instrText xml:space="preserve"> ADDIN ZOTERO_ITEM CSL_CITATION {"citationID":"I1o8Fy2s","properties":{"formattedCitation":"Murray Bowen, \\uc0\\u8216{}An Interview with Murray Brown\\uc0\\u8217{}, in {\\i{}Family Therapy in Clinical Practice} (Jason Aronson, 1993), 399.","plainCitation":"Murray Bowen, ‘An Interview with Murray Brown’, in Family Therapy in Clinical Practice (Jason Aronson, 1993), 399.","noteIndex":16},"citationItems":[{"id":1013,"uris":["http://zotero.org/users/1120467/items/FXBNNXHU"],"uri":["http://zotero.org/users/1120467/items/FXBNNXHU"],"itemData":{"id":1013,"type":"chapter","abstract":"When Bowen was a student and practitioner of classical psychoanalysis at the Menninger Clinic, he became engrossed in understanding the process of schizophrenia and its relationship to mother-child symbiosis. Between the years 1950 and 1959, at Menninger and later at the National Institute of Mental Health (as first chief of family studies), he worked clinically with over 500 schizophrenic families. This extensive experience was a time of fruition for his thinking as he began to conceptualize human behavior as emerging from within the context of a family system. Later, at Georgetown University Medical School, Bowen worked to extend the application of his ideas to the neurotic family system. Initially he saw his work as an amplification and modification of Freudian theory, but later viewed it as an evolutionary step toward understanding human beings as functioning within their primary networkDtheir family. One of the most renowned theorist and therapist in the field of family work, this book encompasses the breadth and depth of Bowen's contributions. It presents the evolution of Bowen's Family Theory from his earliest essays on schizophrenic families and their treatment, through the development of his concepts of triangulation, intergenerational conflict and societal regression, and culminating in his brilliant exploration of the differentiation of one's self in one's family of origin.","container-title":"Family Therapy in Clinical Practice","ISBN":"978-1-4616-2849-1","language":"en","note":"Google-Books-ID: 4g7PdF6oW6EC","publisher":"Jason Aronson","source":"Google Books","title":"An Interview with Murray Brown","author":[{"family":"Bowen","given":"Murray"}],"issued":{"date-parts":[["1993",12,1]]}},"locator":"399"}],"schema":"https://github.com/citation-style-language/schema/raw/master/csl-citation.json"} </w:instrText>
      </w:r>
      <w:r>
        <w:fldChar w:fldCharType="separate"/>
      </w:r>
      <w:r w:rsidRPr="00015714">
        <w:rPr>
          <w:rFonts w:cs="Times New Roman"/>
          <w:lang w:val="en-GB"/>
        </w:rPr>
        <w:t xml:space="preserve">Murray Bowen, ‘An Interview with Murray Brown’, in </w:t>
      </w:r>
      <w:r w:rsidRPr="00015714">
        <w:rPr>
          <w:rFonts w:cs="Times New Roman"/>
          <w:i/>
          <w:iCs/>
          <w:lang w:val="en-GB"/>
        </w:rPr>
        <w:t>Family Therapy in Clinical Practice</w:t>
      </w:r>
      <w:r w:rsidRPr="00015714">
        <w:rPr>
          <w:rFonts w:cs="Times New Roman"/>
          <w:lang w:val="en-GB"/>
        </w:rPr>
        <w:t xml:space="preserve"> (Jason Aronson, 1993), 399.</w:t>
      </w:r>
      <w:r>
        <w:fldChar w:fldCharType="end"/>
      </w:r>
    </w:p>
  </w:footnote>
  <w:footnote w:id="17">
    <w:p w14:paraId="07E03355" w14:textId="7BF25986" w:rsidR="00CF36B1" w:rsidRPr="00CF36B1" w:rsidRDefault="00CF36B1">
      <w:pPr>
        <w:pStyle w:val="FootnoteText"/>
        <w:rPr>
          <w:lang w:val="en-GB"/>
        </w:rPr>
      </w:pPr>
      <w:r>
        <w:rPr>
          <w:rStyle w:val="FootnoteReference"/>
        </w:rPr>
        <w:footnoteRef/>
      </w:r>
      <w:r>
        <w:t xml:space="preserve"> </w:t>
      </w:r>
      <w:r>
        <w:fldChar w:fldCharType="begin"/>
      </w:r>
      <w:r w:rsidR="00F13F0D">
        <w:instrText xml:space="preserve"> ADDIN ZOTERO_ITEM CSL_CITATION {"citationID":"tyx90OiO","properties":{"formattedCitation":"Ibid., 400.","plainCitation":"Ibid., 400.","noteIndex":17},"citationItems":[{"id":1013,"uris":["http://zotero.org/users/1120467/items/FXBNNXHU"],"uri":["http://zotero.org/users/1120467/items/FXBNNXHU"],"itemData":{"id":1013,"type":"chapter","abstract":"When Bowen was a student and practitioner of classical psychoanalysis at the Menninger Clinic, he became engrossed in understanding the process of schizophrenia and its relationship to mother-child symbiosis. Between the years 1950 and 1959, at Menninger and later at the National Institute of Mental Health (as first chief of family studies), he worked clinically with over 500 schizophrenic families. This extensive experience was a time of fruition for his thinking as he began to conceptualize human behavior as emerging from within the context of a family system. Later, at Georgetown University Medical School, Bowen worked to extend the application of his ideas to the neurotic family system. Initially he saw his work as an amplification and modification of Freudian theory, but later viewed it as an evolutionary step toward understanding human beings as functioning within their primary networkDtheir family. One of the most renowned theorist and therapist in the field of family work, this book encompasses the breadth and depth of Bowen's contributions. It presents the evolution of Bowen's Family Theory from his earliest essays on schizophrenic families and their treatment, through the development of his concepts of triangulation, intergenerational conflict and societal regression, and culminating in his brilliant exploration of the differentiation of one's self in one's family of origin.","container-title":"Family Therapy in Clinical Practice","ISBN":"978-1-4616-2849-1","language":"en","note":"Google-Books-ID: 4g7PdF6oW6EC","publisher":"Jason Aronson","source":"Google Books","title":"An Interview with Murray Brown","author":[{"family":"Bowen","given":"Murray"}],"issued":{"date-parts":[["1993",12,1]]}},"locator":"400"}],"schema":"https://github.com/citation-style-language/schema/raw/master/csl-citation.json"} </w:instrText>
      </w:r>
      <w:r>
        <w:fldChar w:fldCharType="separate"/>
      </w:r>
      <w:r w:rsidR="00015714">
        <w:rPr>
          <w:rFonts w:cs="Times New Roman"/>
          <w:lang w:val="en-GB"/>
        </w:rPr>
        <w:t>Ibid., 400.</w:t>
      </w:r>
      <w:r>
        <w:fldChar w:fldCharType="end"/>
      </w:r>
    </w:p>
  </w:footnote>
  <w:footnote w:id="18">
    <w:p w14:paraId="5EBF778C" w14:textId="5D8C0348" w:rsidR="00CF36B1" w:rsidRPr="00CF36B1" w:rsidRDefault="00CF36B1">
      <w:pPr>
        <w:pStyle w:val="FootnoteText"/>
        <w:rPr>
          <w:lang w:val="en-GB"/>
        </w:rPr>
      </w:pPr>
      <w:r>
        <w:rPr>
          <w:rStyle w:val="FootnoteReference"/>
        </w:rPr>
        <w:footnoteRef/>
      </w:r>
      <w:r>
        <w:t xml:space="preserve"> </w:t>
      </w:r>
      <w:r>
        <w:fldChar w:fldCharType="begin"/>
      </w:r>
      <w:r w:rsidR="00F13F0D">
        <w:instrText xml:space="preserve"> ADDIN ZOTERO_ITEM CSL_CITATION {"citationID":"1uvQmahS","properties":{"formattedCitation":"Ibid.","plainCitation":"Ibid.","noteIndex":18},"citationItems":[{"id":1013,"uris":["http://zotero.org/users/1120467/items/FXBNNXHU"],"uri":["http://zotero.org/users/1120467/items/FXBNNXHU"],"itemData":{"id":1013,"type":"chapter","abstract":"When Bowen was a student and practitioner of classical psychoanalysis at the Menninger Clinic, he became engrossed in understanding the process of schizophrenia and its relationship to mother-child symbiosis. Between the years 1950 and 1959, at Menninger and later at the National Institute of Mental Health (as first chief of family studies), he worked clinically with over 500 schizophrenic families. This extensive experience was a time of fruition for his thinking as he began to conceptualize human behavior as emerging from within the context of a family system. Later, at Georgetown University Medical School, Bowen worked to extend the application of his ideas to the neurotic family system. Initially he saw his work as an amplification and modification of Freudian theory, but later viewed it as an evolutionary step toward understanding human beings as functioning within their primary networkDtheir family. One of the most renowned theorist and therapist in the field of family work, this book encompasses the breadth and depth of Bowen's contributions. It presents the evolution of Bowen's Family Theory from his earliest essays on schizophrenic families and their treatment, through the development of his concepts of triangulation, intergenerational conflict and societal regression, and culminating in his brilliant exploration of the differentiation of one's self in one's family of origin.","container-title":"Family Therapy in Clinical Practice","ISBN":"978-1-4616-2849-1","language":"en","note":"Google-Books-ID: 4g7PdF6oW6EC","publisher":"Jason Aronson","source":"Google Books","title":"An Interview with Murray Brown","author":[{"family":"Bowen","given":"Murray"}],"issued":{"date-parts":[["1993",12,1]]}},"locator":"400"}],"schema":"https://github.com/citation-style-language/schema/raw/master/csl-citation.json"} </w:instrText>
      </w:r>
      <w:r>
        <w:fldChar w:fldCharType="separate"/>
      </w:r>
      <w:r>
        <w:rPr>
          <w:noProof/>
        </w:rPr>
        <w:t>Ibid.</w:t>
      </w:r>
      <w:r>
        <w:fldChar w:fldCharType="end"/>
      </w:r>
    </w:p>
  </w:footnote>
  <w:footnote w:id="19">
    <w:p w14:paraId="30BD1117" w14:textId="71F0A7CA" w:rsidR="00D80CDB" w:rsidRPr="00D80CDB" w:rsidRDefault="00D80CDB">
      <w:pPr>
        <w:pStyle w:val="FootnoteText"/>
        <w:rPr>
          <w:lang w:val="en-GB"/>
        </w:rPr>
      </w:pPr>
      <w:r>
        <w:rPr>
          <w:rStyle w:val="FootnoteReference"/>
        </w:rPr>
        <w:footnoteRef/>
      </w:r>
      <w:r>
        <w:t xml:space="preserve"> </w:t>
      </w:r>
      <w:r>
        <w:fldChar w:fldCharType="begin"/>
      </w:r>
      <w:r w:rsidR="00F13F0D">
        <w:instrText xml:space="preserve"> ADDIN ZOTERO_ITEM CSL_CITATION {"citationID":"6nR3foq3","properties":{"formattedCitation":"Daniel V. Papero, \\uc0\\u8216{}Assisting the Two-Person System: An Approach Based on the Bowen Theory\\uc0\\u8217{}, {\\i{}Australian and New Zealand Journal of Family Therapy} 35, no. 4 (2014): 390\\uc0\\u8211{}91, https://doi.org/10.1002/anzf.1079.","plainCitation":"Daniel V. Papero, ‘Assisting the Two-Person System: An Approach Based on the Bowen Theory’, Australian and New Zealand Journal of Family Therapy 35, no. 4 (2014): 390–91, https://doi.org/10.1002/anzf.1079.","noteIndex":19},"citationItems":[{"id":1011,"uris":["http://zotero.org/users/1120467/items/BP6YE7RW"],"uri":["http://zotero.org/users/1120467/items/BP6YE7RW"],"itemData":{"id":1011,"type":"article-journal","abstract":"The Bowen theory, developed by Murray Bowen, views the family as a natural system of relationships. This paper reviews basic concepts of the Bowen theory and describes their role in guiding the clinical approach to the disturbed two-person relationship.","container-title":"Australian and New Zealand Journal of Family Therapy","DOI":"10.1002/anzf.1079","ISSN":"1467-8438","issue":"4","language":"en","note":"_eprint: https://onlinelibrary.wiley.com/doi/pdf/10.1002/anzf.1079","page":"386-397","source":"Wiley Online Library","title":"Assisting the Two-person System: An Approach Based on the Bowen Theory","title-short":"Assisting the Two-person System","volume":"35","author":[{"family":"Papero","given":"Daniel V."}],"issued":{"date-parts":[["2014"]]}},"locator":"390-391"}],"schema":"https://github.com/citation-style-language/schema/raw/master/csl-citation.json"} </w:instrText>
      </w:r>
      <w:r>
        <w:fldChar w:fldCharType="separate"/>
      </w:r>
      <w:r w:rsidRPr="00D80CDB">
        <w:rPr>
          <w:rFonts w:cs="Times New Roman"/>
          <w:lang w:val="en-GB"/>
        </w:rPr>
        <w:t xml:space="preserve">Daniel V. Papero, ‘Assisting the Two-Person System: An Approach Based on the Bowen Theory’, </w:t>
      </w:r>
      <w:r w:rsidRPr="00D80CDB">
        <w:rPr>
          <w:rFonts w:cs="Times New Roman"/>
          <w:i/>
          <w:iCs/>
          <w:lang w:val="en-GB"/>
        </w:rPr>
        <w:t>Australian and New Zealand Journal of Family Therapy</w:t>
      </w:r>
      <w:r w:rsidRPr="00D80CDB">
        <w:rPr>
          <w:rFonts w:cs="Times New Roman"/>
          <w:lang w:val="en-GB"/>
        </w:rPr>
        <w:t xml:space="preserve"> 35, no. 4 (2014): 390–91, https://doi.org/10.1002/anzf.1079.</w:t>
      </w:r>
      <w:r>
        <w:fldChar w:fldCharType="end"/>
      </w:r>
    </w:p>
  </w:footnote>
  <w:footnote w:id="20">
    <w:p w14:paraId="2EF16328" w14:textId="5005B9BE" w:rsidR="00F36F86" w:rsidRPr="00886CB6" w:rsidRDefault="00F36F86">
      <w:pPr>
        <w:pStyle w:val="FootnoteText"/>
      </w:pPr>
      <w:r>
        <w:rPr>
          <w:rStyle w:val="FootnoteReference"/>
        </w:rPr>
        <w:footnoteRef/>
      </w:r>
      <w:r>
        <w:t xml:space="preserve"> </w:t>
      </w:r>
      <w:r>
        <w:fldChar w:fldCharType="begin"/>
      </w:r>
      <w:r w:rsidR="00F13F0D">
        <w:instrText xml:space="preserve"> ADDIN ZOTERO_ITEM CSL_CITATION {"citationID":"TUSRugl8","properties":{"formattedCitation":"Mikal Nazir Rasheed, {\\i{}Family Therapy: Models and Techniques} (London: Sage, 2010), 175.","plainCitation":"Mikal Nazir Rasheed, Family Therapy: Models and Techniques (London: Sage, 2010), 175.","noteIndex":20},"citationItems":[{"id":1009,"uris":["http://zotero.org/users/1120467/items/KY2PD6KN"],"uri":["http://zotero.org/users/1120467/items/KY2PD6KN"],"itemData":{"id":1009,"type":"book","abstract":"This text will provide a comprehensive overview of traditional and evolving theoretical models of family therapy and intervention techniques. The objective of this text is to enable a student to gain beginning proficiency as a family therapist along with understanding the impact of a client's race, ethnicity, religion, sexual orientation, disability, gender issues, age, socioeconomic status, disability, and differences from the traditional family on family assessment and intervention. The book has six goals, as follows: (1) acquaint students with the theoretical underpinnings of various approaches to assessing and intervening with families (2) assist students in understanding the similarities, differences and strategies of change among the major models of family therapy (3) introduce the student to the current available research on the effectiveness of different approaches to family intervention (4) help students assess family functioning from a life cycle perspective and make a valid plan, taking into account client's race, ethnicity, religion, sexual orientation, disability, gender issues, age, socioeconomic status, disability, and differences from the traditional family (5) help students develop techniques and strategies related to stages of the intervention in family therapy (6) enable the student to critique the appropriateness of the theoretical models and its intervention techniques according to family developmental factors as well as the particular needs of the family. Features:(1) Comprehensive coverage of familty therapy theory and research2) Presentation of clinical process issues unique to family therapy(3) Inclusion of family live cycle and developement issues and the impact on family assessment and treatment planning(4) Interventions in diverse family structures(5) Interventions with special family issues such as substance abuse, domestic violence and poverty(6) An emphasis throughout on helping students to develop beginning competencies in family therapy practice(7) Numerous case examples","event-place":"London","ISBN":"978-1-4129-0574-9","language":"en","note":"Google-Books-ID: GbPJvfaaxH8C","number-of-pages":"537","publisher":"Sage","publisher-place":"London","source":"Google Books","title":"Family Therapy: Models and Techniques","title-short":"Family Therapy","author":[{"family":"Rasheed","given":"Mikal Nazir"}],"issued":{"date-parts":[["2010",7,29]]}},"locator":"175"}],"schema":"https://github.com/citation-style-language/schema/raw/master/csl-citation.json"} </w:instrText>
      </w:r>
      <w:r>
        <w:fldChar w:fldCharType="separate"/>
      </w:r>
      <w:r w:rsidR="00F13F0D" w:rsidRPr="00F13F0D">
        <w:rPr>
          <w:rFonts w:cs="Times New Roman"/>
          <w:lang w:val="en-GB"/>
        </w:rPr>
        <w:t xml:space="preserve">Mikal Nazir Rasheed, </w:t>
      </w:r>
      <w:r w:rsidR="00F13F0D" w:rsidRPr="00F13F0D">
        <w:rPr>
          <w:rFonts w:cs="Times New Roman"/>
          <w:i/>
          <w:iCs/>
          <w:lang w:val="en-GB"/>
        </w:rPr>
        <w:t>Family Therapy: Models and Techniques</w:t>
      </w:r>
      <w:r w:rsidR="00F13F0D" w:rsidRPr="00F13F0D">
        <w:rPr>
          <w:rFonts w:cs="Times New Roman"/>
          <w:lang w:val="en-GB"/>
        </w:rPr>
        <w:t xml:space="preserve"> (London: Sage, 2010), 175.</w:t>
      </w:r>
      <w:r>
        <w:fldChar w:fldCharType="end"/>
      </w:r>
    </w:p>
  </w:footnote>
  <w:footnote w:id="21">
    <w:p w14:paraId="2DDC36A4" w14:textId="69926B67" w:rsidR="009A1224" w:rsidRPr="00886CB6" w:rsidRDefault="009A1224">
      <w:pPr>
        <w:pStyle w:val="FootnoteText"/>
      </w:pPr>
      <w:r>
        <w:rPr>
          <w:rStyle w:val="FootnoteReference"/>
        </w:rPr>
        <w:footnoteRef/>
      </w:r>
      <w:r>
        <w:t xml:space="preserve"> </w:t>
      </w:r>
      <w:r>
        <w:fldChar w:fldCharType="begin"/>
      </w:r>
      <w:r w:rsidR="00F13F0D">
        <w:instrText xml:space="preserve"> ADDIN ZOTERO_ITEM CSL_CITATION {"citationID":"rxvvMvGO","properties":{"formattedCitation":"Bovon, {\\i{}Das Evangelium Nach Lukas}, 2:102.","plainCitation":"Bovon, Das Evangelium Nach Lukas, 2:102.","noteIndex":21},"citationItems":[{"id":1008,"uris":["http://zotero.org/users/1120467/items/U8WTMF6J"],"uri":["http://zotero.org/users/1120467/items/U8WTMF6J"],"itemData":{"id":1008,"type":"book","collection-title":"Evangelisch-Katholischer Kommentar zum Neuen Testament","event-place":"Neukirchen-Vluyn","number-of-volumes":"4","publisher":"Neukirchener Verlag","publisher-place":"Neukirchen-Vluyn","title":"Das Evangelium nach Lukas","volume":"2","author":[{"family":"Bovon","given":"Francois"}],"issued":{"date-parts":[["1996"]]}},"locator":"102"}],"schema":"https://github.com/citation-style-language/schema/raw/master/csl-citation.json"} </w:instrText>
      </w:r>
      <w:r>
        <w:fldChar w:fldCharType="separate"/>
      </w:r>
      <w:r w:rsidRPr="00886CB6">
        <w:rPr>
          <w:rFonts w:cs="Times New Roman"/>
        </w:rPr>
        <w:t xml:space="preserve">Bovon, </w:t>
      </w:r>
      <w:r w:rsidRPr="00886CB6">
        <w:rPr>
          <w:rFonts w:cs="Times New Roman"/>
          <w:i/>
          <w:iCs/>
        </w:rPr>
        <w:t>Das Evangelium Nach Lukas</w:t>
      </w:r>
      <w:r w:rsidRPr="00886CB6">
        <w:rPr>
          <w:rFonts w:cs="Times New Roman"/>
        </w:rPr>
        <w:t>, 2:102.</w:t>
      </w:r>
      <w:r>
        <w:fldChar w:fldCharType="end"/>
      </w:r>
    </w:p>
  </w:footnote>
  <w:footnote w:id="22">
    <w:p w14:paraId="3081062C" w14:textId="78B0A1F8" w:rsidR="00D80CDB" w:rsidRPr="00886CB6" w:rsidRDefault="00D80CDB">
      <w:pPr>
        <w:pStyle w:val="FootnoteText"/>
      </w:pPr>
      <w:r>
        <w:rPr>
          <w:rStyle w:val="FootnoteReference"/>
        </w:rPr>
        <w:footnoteRef/>
      </w:r>
      <w:r>
        <w:t xml:space="preserve"> </w:t>
      </w:r>
      <w:r>
        <w:fldChar w:fldCharType="begin"/>
      </w:r>
      <w:r w:rsidR="00F13F0D">
        <w:instrText xml:space="preserve"> ADDIN ZOTERO_ITEM CSL_CITATION {"citationID":"VBV55vUF","properties":{"formattedCitation":"Papero, \\uc0\\u8216{}Assisting the Two-Person System\\uc0\\u8217{}, 394.","plainCitation":"Papero, ‘Assisting the Two-Person System’, 394.","noteIndex":22},"citationItems":[{"id":1011,"uris":["http://zotero.org/users/1120467/items/BP6YE7RW"],"uri":["http://zotero.org/users/1120467/items/BP6YE7RW"],"itemData":{"id":1011,"type":"article-journal","abstract":"The Bowen theory, developed by Murray Bowen, views the family as a natural system of relationships. This paper reviews basic concepts of the Bowen theory and describes their role in guiding the clinical approach to the disturbed two-person relationship.","container-title":"Australian and New Zealand Journal of Family Therapy","DOI":"10.1002/anzf.1079","ISSN":"1467-8438","issue":"4","language":"en","note":"_eprint: https://onlinelibrary.wiley.com/doi/pdf/10.1002/anzf.1079","page":"386-397","source":"Wiley Online Library","title":"Assisting the Two-person System: An Approach Based on the Bowen Theory","title-short":"Assisting the Two-person System","volume":"35","author":[{"family":"Papero","given":"Daniel V."}],"issued":{"date-parts":[["2014"]]}},"locator":"394"}],"schema":"https://github.com/citation-style-language/schema/raw/master/csl-citation.json"} </w:instrText>
      </w:r>
      <w:r>
        <w:fldChar w:fldCharType="separate"/>
      </w:r>
      <w:r w:rsidR="009A1224" w:rsidRPr="00886CB6">
        <w:rPr>
          <w:rFonts w:cs="Times New Roman"/>
        </w:rPr>
        <w:t>Papero, ‘Assisting the Two-Person System’, 394.</w:t>
      </w:r>
      <w:r>
        <w:fldChar w:fldCharType="end"/>
      </w:r>
    </w:p>
  </w:footnote>
  <w:footnote w:id="23">
    <w:p w14:paraId="4613E4F4" w14:textId="7DF0B2FA" w:rsidR="00270F14" w:rsidRPr="00270F14" w:rsidRDefault="00270F14">
      <w:pPr>
        <w:pStyle w:val="FootnoteText"/>
        <w:rPr>
          <w:lang w:val="en-GB"/>
        </w:rPr>
      </w:pPr>
      <w:r>
        <w:rPr>
          <w:rStyle w:val="FootnoteReference"/>
        </w:rPr>
        <w:footnoteRef/>
      </w:r>
      <w:r>
        <w:t xml:space="preserve"> </w:t>
      </w:r>
      <w:r>
        <w:fldChar w:fldCharType="begin"/>
      </w:r>
      <w:r w:rsidR="00F13F0D">
        <w:instrText xml:space="preserve"> ADDIN ZOTERO_ITEM CSL_CITATION {"citationID":"smHlE09l","properties":{"formattedCitation":"Mary Rose D\\uc0\\u8217{}Angelo, \\uc0\\u8216{}Women in Luke-Acts: A Redactional View\\uc0\\u8217{}, {\\i{}Journal of Biblical Literature} 109, no. 3 (1990): 442.","plainCitation":"Mary Rose D’Angelo, ‘Women in Luke-Acts: A Redactional View’, Journal of Biblical Literature 109, no. 3 (1990): 442.","noteIndex":23},"citationItems":[{"id":1016,"uris":["http://zotero.org/users/1120467/items/S3FMTUVX"],"uri":["http://zotero.org/users/1120467/items/S3FMTUVX"],"itemData":{"id":1016,"type":"article-journal","archive":"JSTOR","container-title":"Journal of Biblical Literature","ISSN":"0021-9231","issue":"3","note":"publisher: Society of Biblical Literature","page":"441-461","source":"JSTOR","title":"Women in Luke-Acts: A Redactional View","title-short":"Women in Luke-Acts","volume":"109","author":[{"family":"D'Angelo","given":"Mary Rose"}],"issued":{"date-parts":[["1990"]]}},"locator":"442"}],"schema":"https://github.com/citation-style-language/schema/raw/master/csl-citation.json"} </w:instrText>
      </w:r>
      <w:r>
        <w:fldChar w:fldCharType="separate"/>
      </w:r>
      <w:r w:rsidR="00F13F0D" w:rsidRPr="00F13F0D">
        <w:rPr>
          <w:rFonts w:cs="Times New Roman"/>
          <w:lang w:val="en-GB"/>
        </w:rPr>
        <w:t xml:space="preserve">Mary Rose D’Angelo, ‘Women in Luke-Acts: A Redactional View’, </w:t>
      </w:r>
      <w:r w:rsidR="00F13F0D" w:rsidRPr="00F13F0D">
        <w:rPr>
          <w:rFonts w:cs="Times New Roman"/>
          <w:i/>
          <w:iCs/>
          <w:lang w:val="en-GB"/>
        </w:rPr>
        <w:t>Journal of Biblical Literature</w:t>
      </w:r>
      <w:r w:rsidR="00F13F0D" w:rsidRPr="00F13F0D">
        <w:rPr>
          <w:rFonts w:cs="Times New Roman"/>
          <w:lang w:val="en-GB"/>
        </w:rPr>
        <w:t xml:space="preserve"> 109, no. 3 (1990): 442.</w:t>
      </w:r>
      <w:r>
        <w:fldChar w:fldCharType="end"/>
      </w:r>
    </w:p>
  </w:footnote>
  <w:footnote w:id="24">
    <w:p w14:paraId="4443A0CB" w14:textId="51D164BF" w:rsidR="00B507E3" w:rsidRPr="00B507E3" w:rsidRDefault="00B507E3">
      <w:pPr>
        <w:pStyle w:val="FootnoteText"/>
        <w:rPr>
          <w:lang w:val="en-GB"/>
        </w:rPr>
      </w:pPr>
      <w:r>
        <w:rPr>
          <w:rStyle w:val="FootnoteReference"/>
        </w:rPr>
        <w:footnoteRef/>
      </w:r>
      <w:r>
        <w:t xml:space="preserve"> </w:t>
      </w:r>
      <w:r>
        <w:fldChar w:fldCharType="begin"/>
      </w:r>
      <w:r w:rsidR="00F13F0D">
        <w:instrText xml:space="preserve"> ADDIN ZOTERO_ITEM CSL_CITATION {"citationID":"V2mp0ZP0","properties":{"formattedCitation":"Ibid., 452.","plainCitation":"Ibid., 452.","noteIndex":24},"citationItems":[{"id":1016,"uris":["http://zotero.org/users/1120467/items/S3FMTUVX"],"uri":["http://zotero.org/users/1120467/items/S3FMTUVX"],"itemData":{"id":1016,"type":"article-journal","archive":"JSTOR","container-title":"Journal of Biblical Literature","ISSN":"0021-9231","issue":"3","note":"publisher: Society of Biblical Literature","page":"441-461","source":"JSTOR","title":"Women in Luke-Acts: A Redactional View","title-short":"Women in Luke-Acts","volume":"109","author":[{"family":"D'Angelo","given":"Mary Rose"}],"issued":{"date-parts":[["1990"]]}},"locator":"452"}],"schema":"https://github.com/citation-style-language/schema/raw/master/csl-citation.json"} </w:instrText>
      </w:r>
      <w:r>
        <w:fldChar w:fldCharType="separate"/>
      </w:r>
      <w:r>
        <w:rPr>
          <w:noProof/>
        </w:rPr>
        <w:t>Ibid., 452.</w:t>
      </w:r>
      <w:r>
        <w:fldChar w:fldCharType="end"/>
      </w:r>
    </w:p>
  </w:footnote>
  <w:footnote w:id="25">
    <w:p w14:paraId="5875D574" w14:textId="3595883F" w:rsidR="0074637A" w:rsidRPr="0074637A" w:rsidRDefault="0074637A">
      <w:pPr>
        <w:pStyle w:val="FootnoteText"/>
        <w:rPr>
          <w:lang w:val="en-GB"/>
        </w:rPr>
      </w:pPr>
      <w:r>
        <w:rPr>
          <w:rStyle w:val="FootnoteReference"/>
        </w:rPr>
        <w:footnoteRef/>
      </w:r>
      <w:r>
        <w:t xml:space="preserve"> </w:t>
      </w:r>
      <w:r>
        <w:rPr>
          <w:lang w:val="en-GB"/>
        </w:rPr>
        <w:t xml:space="preserve">E.g. </w:t>
      </w:r>
      <w:r>
        <w:fldChar w:fldCharType="begin"/>
      </w:r>
      <w:r w:rsidR="00F13F0D">
        <w:instrText xml:space="preserve"> ADDIN ZOTERO_ITEM CSL_CITATION {"citationID":"EvEwqvzo","properties":{"formattedCitation":"Barbara E Reid, \\uc0\\u8216{}The Gospel of Luke: Friend or Foe of Women Proclaimers of the Word?\\uc0\\u8217{}, {\\i{}The Catholic Biblical Quarterly} 78, no. 1 (January 2016): 1\\uc0\\u8211{}23.","plainCitation":"Barbara E Reid, ‘The Gospel of Luke: Friend or Foe of Women Proclaimers of the Word?’, The Catholic Biblical Quarterly 78, no. 1 (January 2016): 1–23.","noteIndex":25},"citationItems":[{"id":989,"uris":["http://zotero.org/users/1120467/items/3JDUL4ZE"],"uri":["http://zotero.org/users/1120467/items/3JDUL4ZE"],"itemData":{"id":989,"type":"article-journal","container-title":"The Catholic Biblical Quarterly","ISSN":"0008-7912","issue":"1","journalAbbreviation":"The Catholic Biblical Quarterly","page":"1-23","source":"EBSCOhost","title":"The Gospel of Luke: Friend or Foe of Women Proclaimers of the Word?","title-short":"The Gospel of Luke","volume":"78","author":[{"family":"Reid","given":"Barbara E"}],"issued":{"date-parts":[["2016",1]]}}}],"schema":"https://github.com/citation-style-language/schema/raw/master/csl-citation.json"} </w:instrText>
      </w:r>
      <w:r>
        <w:fldChar w:fldCharType="separate"/>
      </w:r>
      <w:r w:rsidRPr="0074637A">
        <w:rPr>
          <w:rFonts w:cs="Times New Roman"/>
          <w:lang w:val="en-GB"/>
        </w:rPr>
        <w:t xml:space="preserve">Barbara E Reid, ‘The Gospel of Luke: Friend or Foe of Women Proclaimers of the Word?’, </w:t>
      </w:r>
      <w:r w:rsidRPr="0074637A">
        <w:rPr>
          <w:rFonts w:cs="Times New Roman"/>
          <w:i/>
          <w:iCs/>
          <w:lang w:val="en-GB"/>
        </w:rPr>
        <w:t>The Catholic Biblical Quarterly</w:t>
      </w:r>
      <w:r w:rsidRPr="0074637A">
        <w:rPr>
          <w:rFonts w:cs="Times New Roman"/>
          <w:lang w:val="en-GB"/>
        </w:rPr>
        <w:t xml:space="preserve"> 78, no. 1 (January 2016): 1–23.</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1DE"/>
    <w:rsid w:val="00002016"/>
    <w:rsid w:val="00015714"/>
    <w:rsid w:val="00017298"/>
    <w:rsid w:val="000556FE"/>
    <w:rsid w:val="000576A7"/>
    <w:rsid w:val="000952CD"/>
    <w:rsid w:val="000A4B45"/>
    <w:rsid w:val="000B249B"/>
    <w:rsid w:val="000B3AC8"/>
    <w:rsid w:val="000C47DF"/>
    <w:rsid w:val="000D71E9"/>
    <w:rsid w:val="000E558F"/>
    <w:rsid w:val="000E7A95"/>
    <w:rsid w:val="000F1080"/>
    <w:rsid w:val="000F4CF9"/>
    <w:rsid w:val="001019E7"/>
    <w:rsid w:val="00101FAD"/>
    <w:rsid w:val="001664D2"/>
    <w:rsid w:val="00195EEB"/>
    <w:rsid w:val="001A2073"/>
    <w:rsid w:val="00214D2B"/>
    <w:rsid w:val="00226947"/>
    <w:rsid w:val="0024155B"/>
    <w:rsid w:val="002520D8"/>
    <w:rsid w:val="00253D92"/>
    <w:rsid w:val="00270F14"/>
    <w:rsid w:val="00271A3C"/>
    <w:rsid w:val="002B1804"/>
    <w:rsid w:val="002B5780"/>
    <w:rsid w:val="002C48CA"/>
    <w:rsid w:val="002E3CD3"/>
    <w:rsid w:val="002E418E"/>
    <w:rsid w:val="002F6CF6"/>
    <w:rsid w:val="00310155"/>
    <w:rsid w:val="00321ACB"/>
    <w:rsid w:val="003559B1"/>
    <w:rsid w:val="00356790"/>
    <w:rsid w:val="003619C6"/>
    <w:rsid w:val="003755FD"/>
    <w:rsid w:val="00383375"/>
    <w:rsid w:val="00386F87"/>
    <w:rsid w:val="00392DF1"/>
    <w:rsid w:val="003A067D"/>
    <w:rsid w:val="003A6FEF"/>
    <w:rsid w:val="003B0281"/>
    <w:rsid w:val="003C136E"/>
    <w:rsid w:val="00402B64"/>
    <w:rsid w:val="00412B0F"/>
    <w:rsid w:val="00421097"/>
    <w:rsid w:val="00444611"/>
    <w:rsid w:val="004824C5"/>
    <w:rsid w:val="004E2790"/>
    <w:rsid w:val="004F4F76"/>
    <w:rsid w:val="00502813"/>
    <w:rsid w:val="0051515B"/>
    <w:rsid w:val="00542015"/>
    <w:rsid w:val="0055238F"/>
    <w:rsid w:val="00552F79"/>
    <w:rsid w:val="0057319C"/>
    <w:rsid w:val="005871DE"/>
    <w:rsid w:val="00590F81"/>
    <w:rsid w:val="006175E6"/>
    <w:rsid w:val="00622B7A"/>
    <w:rsid w:val="00627901"/>
    <w:rsid w:val="006357D2"/>
    <w:rsid w:val="006442E5"/>
    <w:rsid w:val="00647DE4"/>
    <w:rsid w:val="006A1094"/>
    <w:rsid w:val="006A2B09"/>
    <w:rsid w:val="006C0E75"/>
    <w:rsid w:val="006F5CFD"/>
    <w:rsid w:val="00701935"/>
    <w:rsid w:val="0070480E"/>
    <w:rsid w:val="00711B12"/>
    <w:rsid w:val="007127E8"/>
    <w:rsid w:val="007131F5"/>
    <w:rsid w:val="007335A6"/>
    <w:rsid w:val="0074637A"/>
    <w:rsid w:val="0077460A"/>
    <w:rsid w:val="00787899"/>
    <w:rsid w:val="0079681C"/>
    <w:rsid w:val="007C5024"/>
    <w:rsid w:val="007F3ACC"/>
    <w:rsid w:val="00814C1A"/>
    <w:rsid w:val="00866FFA"/>
    <w:rsid w:val="00871275"/>
    <w:rsid w:val="00881170"/>
    <w:rsid w:val="00886CB6"/>
    <w:rsid w:val="008B403B"/>
    <w:rsid w:val="008C022E"/>
    <w:rsid w:val="008F2CD2"/>
    <w:rsid w:val="00904ACE"/>
    <w:rsid w:val="00924A30"/>
    <w:rsid w:val="009333A0"/>
    <w:rsid w:val="0097176D"/>
    <w:rsid w:val="00980E0D"/>
    <w:rsid w:val="009A1224"/>
    <w:rsid w:val="009B4074"/>
    <w:rsid w:val="009D6849"/>
    <w:rsid w:val="009E6215"/>
    <w:rsid w:val="009F1109"/>
    <w:rsid w:val="009F4E56"/>
    <w:rsid w:val="00A2022C"/>
    <w:rsid w:val="00A27FF6"/>
    <w:rsid w:val="00A32A7B"/>
    <w:rsid w:val="00A6020A"/>
    <w:rsid w:val="00A92C19"/>
    <w:rsid w:val="00AA6144"/>
    <w:rsid w:val="00AC090B"/>
    <w:rsid w:val="00B00F6C"/>
    <w:rsid w:val="00B44469"/>
    <w:rsid w:val="00B507E3"/>
    <w:rsid w:val="00B648E4"/>
    <w:rsid w:val="00B73708"/>
    <w:rsid w:val="00B844EC"/>
    <w:rsid w:val="00B85022"/>
    <w:rsid w:val="00B9120C"/>
    <w:rsid w:val="00BB67FE"/>
    <w:rsid w:val="00BE100C"/>
    <w:rsid w:val="00BE2419"/>
    <w:rsid w:val="00C14222"/>
    <w:rsid w:val="00C20346"/>
    <w:rsid w:val="00C358AF"/>
    <w:rsid w:val="00C55911"/>
    <w:rsid w:val="00C8410E"/>
    <w:rsid w:val="00CA1DCB"/>
    <w:rsid w:val="00CA23A9"/>
    <w:rsid w:val="00CA7D33"/>
    <w:rsid w:val="00CD0933"/>
    <w:rsid w:val="00CE3E49"/>
    <w:rsid w:val="00CE5A7D"/>
    <w:rsid w:val="00CF36B1"/>
    <w:rsid w:val="00D15923"/>
    <w:rsid w:val="00D24F31"/>
    <w:rsid w:val="00D27BA8"/>
    <w:rsid w:val="00D3692A"/>
    <w:rsid w:val="00D73539"/>
    <w:rsid w:val="00D80CDB"/>
    <w:rsid w:val="00D836A8"/>
    <w:rsid w:val="00DA2668"/>
    <w:rsid w:val="00DE75CD"/>
    <w:rsid w:val="00E107E4"/>
    <w:rsid w:val="00E14C00"/>
    <w:rsid w:val="00E16DCB"/>
    <w:rsid w:val="00E2143A"/>
    <w:rsid w:val="00E41898"/>
    <w:rsid w:val="00E826C8"/>
    <w:rsid w:val="00E927A8"/>
    <w:rsid w:val="00E97108"/>
    <w:rsid w:val="00EB3E42"/>
    <w:rsid w:val="00EE11FB"/>
    <w:rsid w:val="00EF76CD"/>
    <w:rsid w:val="00F1214A"/>
    <w:rsid w:val="00F13F0D"/>
    <w:rsid w:val="00F1582F"/>
    <w:rsid w:val="00F3397C"/>
    <w:rsid w:val="00F36F86"/>
    <w:rsid w:val="00F47998"/>
    <w:rsid w:val="00F47DAF"/>
    <w:rsid w:val="00F672EB"/>
    <w:rsid w:val="00F83543"/>
    <w:rsid w:val="00FB3B0C"/>
    <w:rsid w:val="00FD6040"/>
    <w:rsid w:val="00FF333E"/>
    <w:rsid w:val="00FF36F4"/>
    <w:rsid w:val="00FF4786"/>
    <w:rsid w:val="00FF4C61"/>
  </w:rsids>
  <m:mathPr>
    <m:mathFont m:val="Cambria Math"/>
    <m:brkBin m:val="before"/>
    <m:brkBinSub m:val="--"/>
    <m:smallFrac m:val="0"/>
    <m:dispDef/>
    <m:lMargin m:val="0"/>
    <m:rMargin m:val="0"/>
    <m:defJc m:val="centerGroup"/>
    <m:wrapIndent m:val="1440"/>
    <m:intLim m:val="subSup"/>
    <m:naryLim m:val="undOvr"/>
  </m:mathPr>
  <w:themeFontLang w:val="en-AT"/>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2F2C679"/>
  <w15:chartTrackingRefBased/>
  <w15:docId w15:val="{7954D2F0-4FD2-D74A-A5A5-292B44273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AT"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15B"/>
    <w:rPr>
      <w:rFonts w:ascii="Cambria" w:hAnsi="Cambria"/>
      <w:sz w:val="22"/>
    </w:rPr>
  </w:style>
  <w:style w:type="paragraph" w:styleId="Heading1">
    <w:name w:val="heading 1"/>
    <w:basedOn w:val="Normal"/>
    <w:next w:val="Normal"/>
    <w:link w:val="Heading1Char"/>
    <w:uiPriority w:val="9"/>
    <w:qFormat/>
    <w:rsid w:val="00A2022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0F6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357D2"/>
    <w:rPr>
      <w:sz w:val="20"/>
      <w:szCs w:val="20"/>
    </w:rPr>
  </w:style>
  <w:style w:type="character" w:customStyle="1" w:styleId="FootnoteTextChar">
    <w:name w:val="Footnote Text Char"/>
    <w:basedOn w:val="DefaultParagraphFont"/>
    <w:link w:val="FootnoteText"/>
    <w:uiPriority w:val="99"/>
    <w:semiHidden/>
    <w:rsid w:val="006357D2"/>
    <w:rPr>
      <w:rFonts w:ascii="Cambria" w:hAnsi="Cambria"/>
      <w:sz w:val="20"/>
      <w:szCs w:val="20"/>
    </w:rPr>
  </w:style>
  <w:style w:type="character" w:styleId="FootnoteReference">
    <w:name w:val="footnote reference"/>
    <w:basedOn w:val="DefaultParagraphFont"/>
    <w:uiPriority w:val="99"/>
    <w:semiHidden/>
    <w:unhideWhenUsed/>
    <w:rsid w:val="006357D2"/>
    <w:rPr>
      <w:vertAlign w:val="superscript"/>
    </w:rPr>
  </w:style>
  <w:style w:type="character" w:customStyle="1" w:styleId="Heading1Char">
    <w:name w:val="Heading 1 Char"/>
    <w:basedOn w:val="DefaultParagraphFont"/>
    <w:link w:val="Heading1"/>
    <w:uiPriority w:val="9"/>
    <w:rsid w:val="00A2022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00F6C"/>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B00F6C"/>
    <w:pPr>
      <w:ind w:left="720" w:hanging="720"/>
    </w:pPr>
  </w:style>
  <w:style w:type="paragraph" w:styleId="BalloonText">
    <w:name w:val="Balloon Text"/>
    <w:basedOn w:val="Normal"/>
    <w:link w:val="BalloonTextChar"/>
    <w:uiPriority w:val="99"/>
    <w:semiHidden/>
    <w:unhideWhenUsed/>
    <w:rsid w:val="00886CB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86CB6"/>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3553240">
      <w:bodyDiv w:val="1"/>
      <w:marLeft w:val="0"/>
      <w:marRight w:val="0"/>
      <w:marTop w:val="0"/>
      <w:marBottom w:val="0"/>
      <w:divBdr>
        <w:top w:val="none" w:sz="0" w:space="0" w:color="auto"/>
        <w:left w:val="none" w:sz="0" w:space="0" w:color="auto"/>
        <w:bottom w:val="none" w:sz="0" w:space="0" w:color="auto"/>
        <w:right w:val="none" w:sz="0" w:space="0" w:color="auto"/>
      </w:divBdr>
    </w:div>
    <w:div w:id="2027636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F7FFE8-2C8C-D844-834C-2022B12803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201</TotalTime>
  <Pages>5</Pages>
  <Words>1631</Words>
  <Characters>9303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Bunce</dc:creator>
  <cp:keywords/>
  <dc:description/>
  <cp:lastModifiedBy>David Bunce</cp:lastModifiedBy>
  <cp:revision>161</cp:revision>
  <dcterms:created xsi:type="dcterms:W3CDTF">2020-06-23T10:43:00Z</dcterms:created>
  <dcterms:modified xsi:type="dcterms:W3CDTF">2020-08-12T08:11:00Z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zotero-version="5.0.88"&gt;&lt;session id="l7v93jw7"/&gt;&lt;style id="http://www.zotero.org/styles/chicago-fullnote-bibliography-with-ibid" locale="en-GB" hasBibliography="1" bibliographyStyleHasBeenSet="1"/&gt;&lt;prefs&gt;&lt;pref name="fieldType" value</vt:lpwstr>
  </property>
  <property fmtid="{D5CDD505-2E9C-101B-9397-08002B2CF9AE}" pid="3" name="ZOTERO_PREF_2">
    <vt:lpwstr>="Field"/&gt;&lt;pref name="noteType" value="1"/&gt;&lt;/prefs&gt;&lt;/data&gt;</vt:lpwstr>
  </property>
</Properties>
</file>