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34BBD" w14:textId="77777777" w:rsidR="002229F0" w:rsidRDefault="002229F0" w:rsidP="00E611D9">
      <w:pPr>
        <w:pStyle w:val="AssignBody"/>
      </w:pPr>
    </w:p>
    <w:p w14:paraId="118CB437" w14:textId="4E8D1529" w:rsidR="006419C3" w:rsidRDefault="00C4798A" w:rsidP="00C4798A">
      <w:pPr>
        <w:pStyle w:val="AssignHeader"/>
      </w:pPr>
      <w:r w:rsidRPr="00C4798A">
        <w:t xml:space="preserve"> </w:t>
      </w:r>
      <w:r>
        <w:t>HOW DO TECHNOLOGICAL APPROACHES SUPPORT ASSESSMENT FOR LEARNING?</w:t>
      </w:r>
    </w:p>
    <w:p w14:paraId="364A6B32" w14:textId="77777777" w:rsidR="00B457F0" w:rsidRDefault="00B457F0" w:rsidP="00755E37">
      <w:pPr>
        <w:pStyle w:val="AssignBody"/>
      </w:pPr>
    </w:p>
    <w:tbl>
      <w:tblPr>
        <w:tblStyle w:val="TableGrid"/>
        <w:tblW w:w="0" w:type="auto"/>
        <w:tblLook w:val="04A0" w:firstRow="1" w:lastRow="0" w:firstColumn="1" w:lastColumn="0" w:noHBand="0" w:noVBand="1"/>
      </w:tblPr>
      <w:tblGrid>
        <w:gridCol w:w="1722"/>
        <w:gridCol w:w="3647"/>
        <w:gridCol w:w="3647"/>
      </w:tblGrid>
      <w:tr w:rsidR="00755E37" w14:paraId="337F1D26" w14:textId="77777777" w:rsidTr="00755E37">
        <w:tc>
          <w:tcPr>
            <w:tcW w:w="1722" w:type="dxa"/>
            <w:tcBorders>
              <w:top w:val="single" w:sz="4" w:space="0" w:color="auto"/>
              <w:left w:val="single" w:sz="4" w:space="0" w:color="auto"/>
              <w:bottom w:val="single" w:sz="4" w:space="0" w:color="auto"/>
              <w:right w:val="single" w:sz="4" w:space="0" w:color="auto"/>
            </w:tcBorders>
          </w:tcPr>
          <w:p w14:paraId="6536D85E" w14:textId="77777777" w:rsidR="00755E37" w:rsidRDefault="00755E37">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041783CA" w14:textId="76F173D1" w:rsidR="00755E37" w:rsidRDefault="00755E37">
            <w:pPr>
              <w:pStyle w:val="AssignBody"/>
            </w:pPr>
            <w:r>
              <w:t>Target</w:t>
            </w:r>
          </w:p>
        </w:tc>
        <w:tc>
          <w:tcPr>
            <w:tcW w:w="3647" w:type="dxa"/>
            <w:tcBorders>
              <w:top w:val="single" w:sz="4" w:space="0" w:color="auto"/>
              <w:left w:val="single" w:sz="4" w:space="0" w:color="auto"/>
              <w:bottom w:val="single" w:sz="4" w:space="0" w:color="auto"/>
              <w:right w:val="single" w:sz="4" w:space="0" w:color="auto"/>
            </w:tcBorders>
          </w:tcPr>
          <w:p w14:paraId="0CFF26C5" w14:textId="321AC52F" w:rsidR="00755E37" w:rsidRPr="00755E37" w:rsidRDefault="00755E37" w:rsidP="00755E37">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755E37" w14:paraId="5916A988"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2E8DFC85" w14:textId="7D0C042F" w:rsidR="00755E37" w:rsidRDefault="00755E37">
            <w:pPr>
              <w:pStyle w:val="AssignBody"/>
            </w:pPr>
            <w:r>
              <w:t>Target 1</w:t>
            </w:r>
          </w:p>
        </w:tc>
        <w:tc>
          <w:tcPr>
            <w:tcW w:w="3647" w:type="dxa"/>
            <w:tcBorders>
              <w:top w:val="single" w:sz="4" w:space="0" w:color="auto"/>
              <w:left w:val="single" w:sz="4" w:space="0" w:color="auto"/>
              <w:bottom w:val="single" w:sz="4" w:space="0" w:color="auto"/>
              <w:right w:val="single" w:sz="4" w:space="0" w:color="auto"/>
            </w:tcBorders>
          </w:tcPr>
          <w:p w14:paraId="181D3942" w14:textId="5B636F7C" w:rsidR="00755E37" w:rsidRDefault="00C4798A" w:rsidP="00C4798A">
            <w:pPr>
              <w:pStyle w:val="AssignBody"/>
            </w:pPr>
            <w:r w:rsidRPr="00C4798A">
              <w:rPr>
                <w:lang w:eastAsia="en-GB"/>
              </w:rPr>
              <w:t xml:space="preserve">Look for opportunities to provide more detail in your analysis of evidence from literature. </w:t>
            </w:r>
          </w:p>
        </w:tc>
        <w:tc>
          <w:tcPr>
            <w:tcW w:w="3647" w:type="dxa"/>
            <w:tcBorders>
              <w:top w:val="single" w:sz="4" w:space="0" w:color="auto"/>
              <w:left w:val="single" w:sz="4" w:space="0" w:color="auto"/>
              <w:bottom w:val="single" w:sz="4" w:space="0" w:color="auto"/>
              <w:right w:val="single" w:sz="4" w:space="0" w:color="auto"/>
            </w:tcBorders>
          </w:tcPr>
          <w:p w14:paraId="342A62A2" w14:textId="2C504E6E" w:rsidR="00755E37" w:rsidRDefault="00C4798A" w:rsidP="00C4798A">
            <w:pPr>
              <w:pStyle w:val="AssignBody"/>
            </w:pPr>
            <w:r>
              <w:t>Focus on less quantity of sources and more analysis of themes and evidence within the literature</w:t>
            </w:r>
          </w:p>
        </w:tc>
      </w:tr>
      <w:tr w:rsidR="00755E37" w14:paraId="59BF48B3"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5572A796" w14:textId="6EAA0B23" w:rsidR="00755E37" w:rsidRDefault="00C4798A">
            <w:pPr>
              <w:pStyle w:val="AssignBody"/>
            </w:pPr>
            <w:r>
              <w:t>Target</w:t>
            </w:r>
            <w:r w:rsidR="00755E37">
              <w:t xml:space="preserve"> 2</w:t>
            </w:r>
          </w:p>
        </w:tc>
        <w:tc>
          <w:tcPr>
            <w:tcW w:w="3647" w:type="dxa"/>
            <w:tcBorders>
              <w:top w:val="single" w:sz="4" w:space="0" w:color="auto"/>
              <w:left w:val="single" w:sz="4" w:space="0" w:color="auto"/>
              <w:bottom w:val="single" w:sz="4" w:space="0" w:color="auto"/>
              <w:right w:val="single" w:sz="4" w:space="0" w:color="auto"/>
            </w:tcBorders>
          </w:tcPr>
          <w:p w14:paraId="2A9415E3" w14:textId="2B86E250" w:rsidR="00755E37" w:rsidRDefault="00C4798A" w:rsidP="00C4798A">
            <w:pPr>
              <w:pStyle w:val="AssignBody"/>
            </w:pPr>
            <w:r>
              <w:t>Link different sources together for critical reflection of the literature.</w:t>
            </w:r>
          </w:p>
        </w:tc>
        <w:tc>
          <w:tcPr>
            <w:tcW w:w="3647" w:type="dxa"/>
            <w:tcBorders>
              <w:top w:val="single" w:sz="4" w:space="0" w:color="auto"/>
              <w:left w:val="single" w:sz="4" w:space="0" w:color="auto"/>
              <w:bottom w:val="single" w:sz="4" w:space="0" w:color="auto"/>
              <w:right w:val="single" w:sz="4" w:space="0" w:color="auto"/>
            </w:tcBorders>
          </w:tcPr>
          <w:p w14:paraId="0E186AA1" w14:textId="44F58323" w:rsidR="00755E37" w:rsidRDefault="00C4798A" w:rsidP="00C4798A">
            <w:pPr>
              <w:pStyle w:val="AssignBody"/>
            </w:pPr>
            <w:r>
              <w:t>Highlighting contrasting ideas or arguments and focusing on linking these in m</w:t>
            </w:r>
            <w:r w:rsidRPr="00C4798A">
              <w:t>y evaluation</w:t>
            </w:r>
            <w:r>
              <w:t>.</w:t>
            </w:r>
          </w:p>
        </w:tc>
      </w:tr>
      <w:tr w:rsidR="00755E37" w14:paraId="2E4AF60A"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1A54ED4C" w14:textId="0C7A372D" w:rsidR="00755E37" w:rsidRDefault="00755E37">
            <w:pPr>
              <w:pStyle w:val="AssignBody"/>
            </w:pPr>
            <w:r>
              <w:t>Target 3</w:t>
            </w:r>
          </w:p>
        </w:tc>
        <w:tc>
          <w:tcPr>
            <w:tcW w:w="3647" w:type="dxa"/>
            <w:tcBorders>
              <w:top w:val="single" w:sz="4" w:space="0" w:color="auto"/>
              <w:left w:val="single" w:sz="4" w:space="0" w:color="auto"/>
              <w:bottom w:val="single" w:sz="4" w:space="0" w:color="auto"/>
              <w:right w:val="single" w:sz="4" w:space="0" w:color="auto"/>
            </w:tcBorders>
          </w:tcPr>
          <w:p w14:paraId="3FA54BBA" w14:textId="77777777" w:rsidR="00C4798A" w:rsidRPr="00C4798A" w:rsidRDefault="00C4798A" w:rsidP="00C4798A">
            <w:pPr>
              <w:pStyle w:val="AssignBody"/>
              <w:rPr>
                <w:lang w:eastAsia="en-GB"/>
              </w:rPr>
            </w:pPr>
          </w:p>
          <w:p w14:paraId="47203029" w14:textId="10B8E1F5" w:rsidR="00755E37" w:rsidRDefault="00C4798A" w:rsidP="00C4798A">
            <w:pPr>
              <w:pStyle w:val="AssignBody"/>
            </w:pPr>
            <w:r w:rsidRPr="00C4798A">
              <w:rPr>
                <w:lang w:eastAsia="en-GB"/>
              </w:rPr>
              <w:t>Structure your work to bring together literature, practice and reflection</w:t>
            </w:r>
            <w:r>
              <w:rPr>
                <w:lang w:eastAsia="en-GB"/>
              </w:rPr>
              <w:t>.</w:t>
            </w:r>
          </w:p>
        </w:tc>
        <w:tc>
          <w:tcPr>
            <w:tcW w:w="3647" w:type="dxa"/>
            <w:tcBorders>
              <w:top w:val="single" w:sz="4" w:space="0" w:color="auto"/>
              <w:left w:val="single" w:sz="4" w:space="0" w:color="auto"/>
              <w:bottom w:val="single" w:sz="4" w:space="0" w:color="auto"/>
              <w:right w:val="single" w:sz="4" w:space="0" w:color="auto"/>
            </w:tcBorders>
          </w:tcPr>
          <w:p w14:paraId="38E46D89" w14:textId="7B5CA084" w:rsidR="00755E37" w:rsidRDefault="00C4798A" w:rsidP="00C4798A">
            <w:pPr>
              <w:pStyle w:val="AssignBody"/>
            </w:pPr>
            <w:r>
              <w:t>Better plan my work to link together what I want to discuss and find links between primary and secondary research.</w:t>
            </w:r>
          </w:p>
        </w:tc>
      </w:tr>
    </w:tbl>
    <w:p w14:paraId="35C23213" w14:textId="67AFAEB1" w:rsidR="00755E37" w:rsidRDefault="00755E37" w:rsidP="00755E37">
      <w:pPr>
        <w:pStyle w:val="AssignBody"/>
      </w:pPr>
    </w:p>
    <w:p w14:paraId="59CD9FF4" w14:textId="543654DD" w:rsidR="00755E37" w:rsidRDefault="00755E37" w:rsidP="00755E37">
      <w:pPr>
        <w:pStyle w:val="AssignBody"/>
      </w:pPr>
    </w:p>
    <w:p w14:paraId="437C2ACB" w14:textId="77777777" w:rsidR="00570AB9" w:rsidRDefault="00570AB9" w:rsidP="00570AB9">
      <w:pPr>
        <w:pStyle w:val="AssignSubHeader"/>
      </w:pPr>
      <w:r>
        <w:t>Introduction and Research Context</w:t>
      </w:r>
      <w:r>
        <w:tab/>
      </w:r>
    </w:p>
    <w:p w14:paraId="0D829347" w14:textId="77777777" w:rsidR="00570AB9" w:rsidRDefault="00570AB9" w:rsidP="00570AB9">
      <w:pPr>
        <w:pStyle w:val="AssignBody"/>
      </w:pPr>
      <w:r>
        <w:t>In this paper the efficiency and utility of using a Lesson Study in researching the use of digital technologies for AfL will be explored. The use of a lesson study, where “</w:t>
      </w:r>
      <w:r w:rsidRPr="00172240">
        <w:t>groups of teachers collaboratively plan, teac</w:t>
      </w:r>
      <w:r>
        <w:t>h</w:t>
      </w:r>
      <w:r w:rsidRPr="00172240">
        <w:t>, obser</w:t>
      </w:r>
      <w:r>
        <w:t>ve</w:t>
      </w:r>
      <w:r w:rsidRPr="00172240">
        <w:t xml:space="preserve"> and analys</w:t>
      </w:r>
      <w:r>
        <w:t xml:space="preserve">e </w:t>
      </w:r>
      <w:r w:rsidRPr="00172240">
        <w:t>learning and teaching</w:t>
      </w:r>
      <w:r>
        <w:t xml:space="preserve">” </w:t>
      </w:r>
      <w:r w:rsidRPr="00172240">
        <w:t>in ‘research lessons’</w:t>
      </w:r>
      <w:r>
        <w:t xml:space="preserve"> (Dudley, 2011.) Following a lesson study, a reflective cycle is completed (in this case Gibbs’ 1988 model) and 3 target pupils are interviewed to voice their opinions on the strategies used. In this case myself and another student teacher will be conducing this research in our placement school where digital software is rarely used in classrooms, especially in Humanities and Business which are our departments. </w:t>
      </w:r>
    </w:p>
    <w:p w14:paraId="4F419CAF" w14:textId="77777777" w:rsidR="00570AB9" w:rsidRDefault="00570AB9" w:rsidP="00570AB9">
      <w:pPr>
        <w:pStyle w:val="AssignBody"/>
      </w:pPr>
    </w:p>
    <w:p w14:paraId="6558C2FD" w14:textId="513CA6A9" w:rsidR="00570AB9" w:rsidRDefault="00570AB9" w:rsidP="00570AB9">
      <w:pPr>
        <w:pStyle w:val="AssignBody"/>
      </w:pPr>
      <w:r>
        <w:t xml:space="preserve">In a particularly disadvantaged area with large disparities of pupils’ backgrounds, the integration of technology in the classroom must be done tentatively, without excluding those without access outside of the classroom. The importance of digital learning in disadvantaged classrooms, particularly in secondary schools (National Literacy Trust, 2019,) is becoming more mainstream in pedagogical research. The placement school in question has a range of class backgrounds and I had to consider this context in designing my research. I also considered that my research partner taught Business at GCSE level, so I chose my lesson study to focus on a similar group of year 10 pupils, with some crossovers (pupils who will </w:t>
      </w:r>
      <w:r>
        <w:lastRenderedPageBreak/>
        <w:t>take part in both lesson studies.) The topics of the lesson studies were similar, mine focusing on changing patterns of retail market, and my partner on market research in the retail industry, meaning designing a strategy to suit us both would be easier. Our finalised research question was “HOW DO TECHNOLOGICAL APPROACHES SUPPORT ASSESSMENT FOR LEARNING?"</w:t>
      </w:r>
    </w:p>
    <w:p w14:paraId="4362936D" w14:textId="68281749" w:rsidR="00755E37" w:rsidRDefault="00755E37" w:rsidP="00755E37">
      <w:pPr>
        <w:pStyle w:val="AssignBody"/>
      </w:pPr>
    </w:p>
    <w:p w14:paraId="6DDBA8CA" w14:textId="77777777" w:rsidR="00570AB9" w:rsidRDefault="00570AB9" w:rsidP="00570AB9">
      <w:pPr>
        <w:pStyle w:val="AssignSubHeader"/>
      </w:pPr>
      <w:r>
        <w:t>Literature Review</w:t>
      </w:r>
    </w:p>
    <w:p w14:paraId="1EE750E2" w14:textId="7DD2772A" w:rsidR="00570AB9" w:rsidRDefault="00570AB9" w:rsidP="00570AB9">
      <w:pPr>
        <w:pStyle w:val="AssignBody"/>
      </w:pPr>
      <w:r>
        <w:rPr>
          <w:lang w:val="cy-GB"/>
        </w:rPr>
        <w:t>The key area of research prior to designing our lesson study was literature. The lesson study technique is best covered by Dudley (2011, 2013) who’s “handbook” provided a basis for this research. Not only is this functional, practical and instructional, it highlights the key points across lesson study research. Dudley notes that Lesson Studies have</w:t>
      </w:r>
      <w:r w:rsidRPr="00F55EC0">
        <w:rPr>
          <w:lang w:val="cy-GB"/>
        </w:rPr>
        <w:t xml:space="preserve"> been in use in Japan since the 1870s</w:t>
      </w:r>
      <w:r>
        <w:rPr>
          <w:lang w:val="cy-GB"/>
        </w:rPr>
        <w:t>, with the development of pedagogy amongst Japanese teachers leads to high standards of educational attainment</w:t>
      </w:r>
      <w:r w:rsidRPr="00F55EC0">
        <w:t xml:space="preserve"> (Stigler and Hiebert, 1999; TIMSS., 1999</w:t>
      </w:r>
      <w:r>
        <w:t>.</w:t>
      </w:r>
      <w:r w:rsidRPr="00F55EC0">
        <w:t>)</w:t>
      </w:r>
      <w:r>
        <w:t xml:space="preserve"> The Japanese application of lesson study is widely praised, and is based on long-term, continuous improvement and focuses on collaborative improvement constantly focused on the benefit to the student. Japanese lesson studies typically include multiple teachers working collaboratively to design, observe and reflect on the lesson and can include up to 30 teachers observing one lesson (</w:t>
      </w:r>
      <w:r w:rsidRPr="00122009">
        <w:t>Lewis &amp; Tsuchida, 1998</w:t>
      </w:r>
      <w:r>
        <w:t xml:space="preserve">.) </w:t>
      </w:r>
    </w:p>
    <w:p w14:paraId="128531E2" w14:textId="77777777" w:rsidR="00570AB9" w:rsidRDefault="00570AB9" w:rsidP="00570AB9">
      <w:pPr>
        <w:pStyle w:val="AssignBody"/>
        <w:rPr>
          <w:lang w:val="cy-GB"/>
        </w:rPr>
      </w:pPr>
      <w:r>
        <w:t xml:space="preserve">Interestingly Japanese Lesson Studies are totally non-funded, and as noted by </w:t>
      </w:r>
      <w:r w:rsidRPr="00122009">
        <w:rPr>
          <w:lang w:val="cy-GB"/>
        </w:rPr>
        <w:t xml:space="preserve">Lewis and </w:t>
      </w:r>
    </w:p>
    <w:p w14:paraId="527F6F02" w14:textId="77777777" w:rsidR="00570AB9" w:rsidRDefault="00570AB9" w:rsidP="00570AB9">
      <w:pPr>
        <w:pStyle w:val="AssignBody"/>
        <w:rPr>
          <w:lang w:val="cy-GB"/>
        </w:rPr>
      </w:pPr>
    </w:p>
    <w:p w14:paraId="2B16BF8D" w14:textId="2324CD0D" w:rsidR="00570AB9" w:rsidRDefault="00570AB9" w:rsidP="00570AB9">
      <w:pPr>
        <w:pStyle w:val="AssignBody"/>
      </w:pPr>
      <w:r w:rsidRPr="00122009">
        <w:rPr>
          <w:lang w:val="cy-GB"/>
        </w:rPr>
        <w:t>Tsuchida (1998</w:t>
      </w:r>
      <w:r>
        <w:rPr>
          <w:lang w:val="cy-GB"/>
        </w:rPr>
        <w:t xml:space="preserve">,) the system requires four major conditions: a </w:t>
      </w:r>
      <w:r w:rsidRPr="00122009">
        <w:rPr>
          <w:lang w:val="cy-GB"/>
        </w:rPr>
        <w:t xml:space="preserve">shared frugal curriculum; collaboration among teachers; critical self-reflection </w:t>
      </w:r>
      <w:r>
        <w:rPr>
          <w:lang w:val="cy-GB"/>
        </w:rPr>
        <w:t>called</w:t>
      </w:r>
      <w:r w:rsidRPr="00122009">
        <w:rPr>
          <w:lang w:val="cy-GB"/>
        </w:rPr>
        <w:t xml:space="preserve"> </w:t>
      </w:r>
      <w:r w:rsidRPr="008E0986">
        <w:rPr>
          <w:i/>
          <w:iCs/>
          <w:lang w:val="cy-GB"/>
        </w:rPr>
        <w:t>hansei</w:t>
      </w:r>
      <w:r w:rsidRPr="00122009">
        <w:rPr>
          <w:lang w:val="cy-GB"/>
        </w:rPr>
        <w:t xml:space="preserve"> which is highly valued within the wider Japanese culture; and stability in educational policy.</w:t>
      </w:r>
      <w:r>
        <w:rPr>
          <w:lang w:val="cy-GB"/>
        </w:rPr>
        <w:t xml:space="preserve"> The Japanese model of lesson study has been praised across literature, particularly for creating a culture for “professional development” where teachers “refine their knowledge” (</w:t>
      </w:r>
      <w:r w:rsidRPr="003673FE">
        <w:rPr>
          <w:lang w:val="cy-GB"/>
        </w:rPr>
        <w:t>Lewis, Perry, &amp; Hurd, 2009</w:t>
      </w:r>
      <w:r>
        <w:rPr>
          <w:lang w:val="cy-GB"/>
        </w:rPr>
        <w:t>) and creating “Communities of Inquiry” (Doig and Groves 2011.) This technique has been readily adapted to suit secondary Mathematics best, as these follow best the Japanese style of lesson by planning “</w:t>
      </w:r>
      <w:r w:rsidRPr="00A97469">
        <w:rPr>
          <w:lang w:val="cy-GB"/>
        </w:rPr>
        <w:t xml:space="preserve">around solving a single problem to achieve a single objective in a topic” </w:t>
      </w:r>
      <w:r>
        <w:rPr>
          <w:lang w:val="cy-GB"/>
        </w:rPr>
        <w:t>(</w:t>
      </w:r>
      <w:r w:rsidRPr="00A97469">
        <w:rPr>
          <w:lang w:val="cy-GB"/>
        </w:rPr>
        <w:t>Takahashi</w:t>
      </w:r>
      <w:r>
        <w:rPr>
          <w:lang w:val="cy-GB"/>
        </w:rPr>
        <w:t>, 2006.) This use of Lesson Study for mathematics can be seen globally in literature (Hollingsworth and Oliver 2005, Doig et al. 2009, 2011, Groves and Doig 2010</w:t>
      </w:r>
      <w:r>
        <w:t>) and is useful for considering topics that engage in numerical or problem solving, as do the lesson studies in this paper.</w:t>
      </w:r>
    </w:p>
    <w:p w14:paraId="55DB3FA4" w14:textId="77777777" w:rsidR="00570AB9" w:rsidRDefault="00570AB9" w:rsidP="00570AB9">
      <w:pPr>
        <w:pStyle w:val="AssignBody"/>
      </w:pPr>
    </w:p>
    <w:p w14:paraId="22BF48B6" w14:textId="57256133" w:rsidR="00570AB9" w:rsidRDefault="00570AB9" w:rsidP="00570AB9">
      <w:pPr>
        <w:pStyle w:val="AssignBody"/>
      </w:pPr>
      <w:r>
        <w:t>One criticism however of the implementation of Japanese Lesson Studies elsewhere, was that none of those researchers or educators had observed lesson study in Japan or had prior experience (</w:t>
      </w:r>
      <w:r w:rsidRPr="00C0113F">
        <w:t>Takahashi</w:t>
      </w:r>
      <w:r>
        <w:t xml:space="preserve"> and </w:t>
      </w:r>
      <w:r w:rsidRPr="00C0113F">
        <w:t>McDougal</w:t>
      </w:r>
      <w:r>
        <w:t xml:space="preserve"> 2015.) Many studies followed descriptions and adapted the process hoping changing to the student-centred instruction and problem solving (Hart et al. 2011,) however results are unclear, and transferability contested (see </w:t>
      </w:r>
      <w:r>
        <w:rPr>
          <w:color w:val="222222"/>
          <w:szCs w:val="20"/>
          <w:shd w:val="clear" w:color="auto" w:fill="FFFFFF"/>
        </w:rPr>
        <w:t>Chokshi and Fernandez, 2004.)</w:t>
      </w:r>
      <w:r>
        <w:t xml:space="preserve"> Some highly praised evidence from the Lesson Study Group at Mills College (</w:t>
      </w:r>
      <w:hyperlink r:id="rId9" w:history="1">
        <w:r w:rsidRPr="00A800F6">
          <w:rPr>
            <w:rStyle w:val="Hyperlink"/>
          </w:rPr>
          <w:t>https://lessonresearch.net/</w:t>
        </w:r>
      </w:hyperlink>
      <w:r>
        <w:t xml:space="preserve">, n.d.) where researchers conduct lesson studies supported by mathematical resource kits, however one may argue due the funded resource kits it is not strictly the Japanese way. </w:t>
      </w:r>
      <w:r w:rsidRPr="00C0113F">
        <w:t xml:space="preserve">Fujii (2014) examines how lesson study is practiced in African countries </w:t>
      </w:r>
      <w:r>
        <w:t xml:space="preserve">such as </w:t>
      </w:r>
      <w:r>
        <w:rPr>
          <w:rFonts w:ascii="inherit" w:hAnsi="inherit"/>
          <w:color w:val="222222"/>
          <w:shd w:val="clear" w:color="auto" w:fill="FFFFFF"/>
        </w:rPr>
        <w:t xml:space="preserve">Uganda and Malawi, </w:t>
      </w:r>
      <w:r w:rsidRPr="00C0113F">
        <w:t xml:space="preserve">supported by Japanese educators, </w:t>
      </w:r>
      <w:r>
        <w:t xml:space="preserve">however the study shows </w:t>
      </w:r>
      <w:r w:rsidRPr="00C0113F">
        <w:t xml:space="preserve">that many aspects of lesson study as practiced in Japan are </w:t>
      </w:r>
      <w:r>
        <w:t>omitted</w:t>
      </w:r>
      <w:r w:rsidRPr="00C0113F">
        <w:t xml:space="preserve">. </w:t>
      </w:r>
      <w:r>
        <w:t>Many</w:t>
      </w:r>
      <w:r w:rsidRPr="00C0113F">
        <w:t xml:space="preserve"> projects </w:t>
      </w:r>
      <w:r>
        <w:t xml:space="preserve">leave out </w:t>
      </w:r>
      <w:r w:rsidRPr="00C0113F">
        <w:t>the first crucial phase of lesson study, kyouzai kenkyuu,</w:t>
      </w:r>
      <w:r>
        <w:t xml:space="preserve"> which is to</w:t>
      </w:r>
      <w:r w:rsidRPr="00C0113F">
        <w:t xml:space="preserve"> gain insight into mathematics and student thinking</w:t>
      </w:r>
      <w:r>
        <w:t xml:space="preserve"> and approaches </w:t>
      </w:r>
      <w:r w:rsidRPr="00C0113F">
        <w:t>(Takahashi et al. 2005; Lewis et al. 2011).</w:t>
      </w:r>
    </w:p>
    <w:p w14:paraId="500ECD93" w14:textId="77777777" w:rsidR="00570AB9" w:rsidRDefault="00570AB9" w:rsidP="00570AB9">
      <w:pPr>
        <w:pStyle w:val="AssignBody"/>
      </w:pPr>
    </w:p>
    <w:p w14:paraId="1F552258" w14:textId="1F2A871C" w:rsidR="00570AB9" w:rsidRDefault="00570AB9" w:rsidP="00570AB9">
      <w:pPr>
        <w:pStyle w:val="AssignBody"/>
      </w:pPr>
      <w:r>
        <w:t xml:space="preserve">There are other variations of the lesson study that are significant within the field, including the introduction of the “more knowledgeable other” a concept first coined by Vygotsky () and has since been applied to lesson study models (see </w:t>
      </w:r>
      <w:r>
        <w:rPr>
          <w:color w:val="333333"/>
          <w:szCs w:val="20"/>
          <w:shd w:val="clear" w:color="auto" w:fill="FFFFFF"/>
        </w:rPr>
        <w:t>Stepanek et al. 2007,</w:t>
      </w:r>
      <w:r>
        <w:t xml:space="preserve"> Amador and Weiland 2015.) This technique includes another researcher, educator or senior team member into the lesson study and gives another perspective on the study. In this paper’s case a subject mentor is also in the room and their feedback will be taken on board with the lesson study results. Another variation is the use of </w:t>
      </w:r>
      <w:r w:rsidRPr="00D22671">
        <w:t xml:space="preserve">micro-teaching </w:t>
      </w:r>
      <w:r>
        <w:t xml:space="preserve">lesson studies, which we have previously tried within the university </w:t>
      </w:r>
      <w:r w:rsidRPr="00D22671">
        <w:t>where students teach their research lesson to their fellow students at the university rather than teaching in real classrooms (Fernandez, 2005, 2010; Carrier, 2011</w:t>
      </w:r>
      <w:r>
        <w:t>.</w:t>
      </w:r>
      <w:r w:rsidRPr="00D22671">
        <w:t>)</w:t>
      </w:r>
      <w:r>
        <w:t xml:space="preserve"> </w:t>
      </w:r>
    </w:p>
    <w:p w14:paraId="3D8DF54B" w14:textId="77777777" w:rsidR="00570AB9" w:rsidRDefault="00570AB9" w:rsidP="00570AB9">
      <w:pPr>
        <w:pStyle w:val="AssignBody"/>
      </w:pPr>
    </w:p>
    <w:p w14:paraId="20135499" w14:textId="0A0819F6" w:rsidR="00570AB9" w:rsidRDefault="00570AB9" w:rsidP="00570AB9">
      <w:pPr>
        <w:pStyle w:val="AssignBody"/>
      </w:pPr>
      <w:r>
        <w:t>Another literary consideration in the use of digital technology for AfL within the classroom, the method focused on for this study. The literature of education, assessment and collaboration through digital technologies has boomed in the past two decades and its versatility is ever expanding (Lacina 2009, MacFarlane 2014.) This increase can be attributed to the recent attention on the teacher workload, recent studies such as the Ofsted wellbeing report (2019,) NEU workload survey (NEU, 2018) as well as pressures of external examinations like Estyn visits (</w:t>
      </w:r>
      <w:r w:rsidRPr="00CD76CD">
        <w:t xml:space="preserve">Bernie Froese-Germain </w:t>
      </w:r>
      <w:r>
        <w:t xml:space="preserve">, 2010, Wales Online 2014, </w:t>
      </w:r>
      <w:hyperlink r:id="rId10" w:history="1">
        <w:r w:rsidRPr="00A800F6">
          <w:rPr>
            <w:rStyle w:val="Hyperlink"/>
          </w:rPr>
          <w:t>https://www.theguardian.com/education/teachersworkload</w:t>
        </w:r>
      </w:hyperlink>
      <w:r>
        <w:t>, n.d.)</w:t>
      </w:r>
    </w:p>
    <w:p w14:paraId="73D8B26E" w14:textId="77777777" w:rsidR="00570AB9" w:rsidRDefault="00570AB9" w:rsidP="00570AB9">
      <w:pPr>
        <w:pStyle w:val="AssignBody"/>
      </w:pPr>
    </w:p>
    <w:p w14:paraId="20A14820" w14:textId="77777777" w:rsidR="00570AB9" w:rsidRDefault="00570AB9" w:rsidP="00570AB9">
      <w:pPr>
        <w:pStyle w:val="AssignBody"/>
      </w:pPr>
      <w:r>
        <w:t>The benefits of “planned, purposeful” (Britten and Cassidy, 2005</w:t>
      </w:r>
      <w:r w:rsidRPr="005409D4">
        <w:t xml:space="preserve">) </w:t>
      </w:r>
      <w:r>
        <w:t xml:space="preserve">technological use in the classroom has been made clear across the years. Barrett (2006,) researcher of </w:t>
      </w:r>
      <w:r w:rsidRPr="00E0486B">
        <w:t>The REFLECT Initiative</w:t>
      </w:r>
      <w:r>
        <w:t xml:space="preserve"> (</w:t>
      </w:r>
      <w:r w:rsidRPr="00E0486B">
        <w:t>Researching Electronic portFolios: Learning, Engagement and Collaboration through Technology</w:t>
      </w:r>
      <w:r>
        <w:t xml:space="preserve">) where continuous assessment of </w:t>
      </w:r>
      <w:r w:rsidRPr="00E0486B">
        <w:t xml:space="preserve">higher </w:t>
      </w:r>
      <w:r>
        <w:t xml:space="preserve">education computing within </w:t>
      </w:r>
      <w:r w:rsidRPr="00E0486B">
        <w:t>colleges and universitie</w:t>
      </w:r>
      <w:r>
        <w:t>s is done by showing a portfolio’s progress over time and creating a grade from this. This is not dissimilar to UK coursework-based courses, with structured s</w:t>
      </w:r>
      <w:r w:rsidRPr="00E0486B">
        <w:t>ummative portfolios "scored" based on a rubric and quantitative data is collected for external audiences</w:t>
      </w:r>
      <w:r>
        <w:t xml:space="preserve"> and graded on a strict success criterion a specification. Despite the aims of this study, studies that contradict this</w:t>
      </w:r>
      <w:r w:rsidRPr="00E0486B">
        <w:t xml:space="preserve"> </w:t>
      </w:r>
      <w:r>
        <w:t xml:space="preserve">show </w:t>
      </w:r>
      <w:r w:rsidRPr="00E0486B">
        <w:t xml:space="preserve">that summative assessment </w:t>
      </w:r>
      <w:proofErr w:type="gramStart"/>
      <w:r w:rsidRPr="00E0486B">
        <w:t>actually reduces</w:t>
      </w:r>
      <w:proofErr w:type="gramEnd"/>
      <w:r w:rsidRPr="00E0486B">
        <w:t xml:space="preserve"> student motivation to learn (Assessment Reform Group, 2002</w:t>
      </w:r>
      <w:r>
        <w:t>.)</w:t>
      </w:r>
    </w:p>
    <w:p w14:paraId="0FBCB941" w14:textId="77777777" w:rsidR="00570AB9" w:rsidRDefault="00570AB9" w:rsidP="00570AB9">
      <w:pPr>
        <w:pStyle w:val="AssignBody"/>
      </w:pPr>
    </w:p>
    <w:p w14:paraId="76A14D7A" w14:textId="561B9AA0" w:rsidR="00570AB9" w:rsidRDefault="00570AB9" w:rsidP="00570AB9">
      <w:pPr>
        <w:pStyle w:val="AssignBody"/>
      </w:pPr>
      <w:r>
        <w:t xml:space="preserve">To contrast the use of “continuous portfolios” digital assessment is the use of short, fast-paced AfL within the technological classroom. Farrell and Rushby (2016) summarise well the benefits of technology for assessment and learning, and considers </w:t>
      </w:r>
      <w:r w:rsidRPr="00374A65">
        <w:t xml:space="preserve">functionality, </w:t>
      </w:r>
      <w:r>
        <w:t>formality, individual versus group learning and aims to “catalyse the redesign” of</w:t>
      </w:r>
      <w:r w:rsidRPr="00374A65">
        <w:t xml:space="preserve"> diagnostic, formative and summative assessment</w:t>
      </w:r>
      <w:r>
        <w:t xml:space="preserve">. They pay </w:t>
      </w:r>
      <w:proofErr w:type="gramStart"/>
      <w:r>
        <w:t>particular attention</w:t>
      </w:r>
      <w:proofErr w:type="gramEnd"/>
      <w:r>
        <w:t xml:space="preserve"> to multiple choice questions (or MCQ) and praises such style of questioning for its application to technological uses. Using digital MCQ tests in the classroom can allow learners to answer </w:t>
      </w:r>
      <w:proofErr w:type="gramStart"/>
      <w:r>
        <w:t>a number of</w:t>
      </w:r>
      <w:proofErr w:type="gramEnd"/>
      <w:r>
        <w:t xml:space="preserve"> questions quicker, individually or as a group, and increase the reliability and validity of assessment (no room to cheat.) There are, as always, common issues and restrictions using such methods, but for the purpose of this study using MCQ software will be best suited to in-class formative assessment. </w:t>
      </w:r>
    </w:p>
    <w:p w14:paraId="7C07C5D0" w14:textId="77777777" w:rsidR="00570AB9" w:rsidRDefault="00570AB9" w:rsidP="00570AB9">
      <w:pPr>
        <w:pStyle w:val="AssignBody"/>
      </w:pPr>
    </w:p>
    <w:p w14:paraId="25264BCA" w14:textId="77777777" w:rsidR="00570AB9" w:rsidRDefault="00570AB9" w:rsidP="00570AB9">
      <w:pPr>
        <w:pStyle w:val="AssignBody"/>
      </w:pPr>
      <w:r>
        <w:t>Both digital AfL and lesson studies have been used simultaneously in microteaching (previously mentioned, see Skultety et al. 2017, Zhou et al. 2017,) however there still remains a gap in the literature where technological methods are constructed and developed through the use of a lesson study, therefore more research is needed. This paper aims to combine the two fields and explore the progress that can be made for digital AfL through a lesson study research project.</w:t>
      </w:r>
    </w:p>
    <w:p w14:paraId="65122894" w14:textId="69FE4021" w:rsidR="00755E37" w:rsidRDefault="00755E37" w:rsidP="00755E37">
      <w:pPr>
        <w:pStyle w:val="AssignBody"/>
      </w:pPr>
    </w:p>
    <w:p w14:paraId="486DF316" w14:textId="77777777" w:rsidR="00570AB9" w:rsidRPr="00F672FA" w:rsidRDefault="00570AB9" w:rsidP="00570AB9">
      <w:pPr>
        <w:pStyle w:val="AssignSubHeader"/>
      </w:pPr>
      <w:r w:rsidRPr="00F672FA">
        <w:t>Methodology</w:t>
      </w:r>
    </w:p>
    <w:p w14:paraId="3D136005" w14:textId="7A5B1309" w:rsidR="00570AB9" w:rsidRDefault="00570AB9" w:rsidP="00570AB9">
      <w:pPr>
        <w:pStyle w:val="AssignBody"/>
      </w:pPr>
      <w:r>
        <w:t xml:space="preserve">The first part of designing our research was looking at action research in </w:t>
      </w:r>
      <w:proofErr w:type="gramStart"/>
      <w:r>
        <w:t>education as a whole</w:t>
      </w:r>
      <w:proofErr w:type="gramEnd"/>
      <w:r>
        <w:t>. Defined as "self-</w:t>
      </w:r>
      <w:r w:rsidRPr="00AC1D53">
        <w:t>reflective inquiry that can be utilized by teachers in order to improve the rationality and justice of their own practices</w:t>
      </w:r>
      <w:r>
        <w:t>” (</w:t>
      </w:r>
      <w:r w:rsidRPr="00756C1B">
        <w:t>Carr and Kemmis</w:t>
      </w:r>
      <w:r>
        <w:t xml:space="preserve">, 1983,) action research in education can vary drastically. Having undertook microteaching, a form of lesson study with fellow student teachers instead of pupils, action research argues that “in class” research gives us a unique insight which can not be fully replicated (Mills 2000, Cresswell 2002, Souto Manning 2014.) </w:t>
      </w:r>
    </w:p>
    <w:p w14:paraId="12F64C17" w14:textId="77777777" w:rsidR="00570AB9" w:rsidRDefault="00570AB9" w:rsidP="00570AB9">
      <w:pPr>
        <w:pStyle w:val="AssignBody"/>
      </w:pPr>
    </w:p>
    <w:p w14:paraId="2B576F2B" w14:textId="6C3001B8" w:rsidR="00570AB9" w:rsidRDefault="00570AB9" w:rsidP="00570AB9">
      <w:pPr>
        <w:pStyle w:val="AssignBody"/>
      </w:pPr>
      <w:r>
        <w:t>Narrowing the style of research to a lesson study, the key text followed was Dudley’s 2011 handbook to lesson studies, and from here the lesson was designed. Agreeing to observe one another’s lesson, myself and another university student teacher of the same placement school chose to focus on a lesson study which is digitally related. Our placement school did not use a lot of technology in our departments (Geography and Business) and we believed this would reveal patterns about the pupil’s response to this. Using AfL techniques previously researched, we believed trying a quiz-like software would give a valid representation of their understanding within one lesson activity. This led us to form our research question; “How do technological approaches support Assessment for Learning?” which was then the basis for our research design. We also decided to focus on Year 10, KS4 classrooms as this allowed for more complex questioning and overlapping themes (retail patterns in Geography and retail market research in Business.) When choosing a class, we considered the time of day, number of pupils in the class and recognised an overlap of certain pupils in both classes. This meant our target group, or sample, was as similar as could be without teaching the same lesson.</w:t>
      </w:r>
    </w:p>
    <w:p w14:paraId="42B55DAC" w14:textId="77777777" w:rsidR="00570AB9" w:rsidRDefault="00570AB9" w:rsidP="00570AB9">
      <w:pPr>
        <w:pStyle w:val="AssignBody"/>
      </w:pPr>
    </w:p>
    <w:p w14:paraId="545085CF" w14:textId="542BFC1E" w:rsidR="00570AB9" w:rsidRDefault="00570AB9" w:rsidP="00570AB9">
      <w:pPr>
        <w:pStyle w:val="AssignBody"/>
      </w:pPr>
      <w:r>
        <w:t xml:space="preserve">We then constructed an observation form to use for the lesson study and considered many observation models previously used. Having previously had experience in joint observation with the Senior Lead Team at the placement school and seeing the structure of their observation form, I found the example in Section E in Dudley’s lesson study handbook (2011) best match what I needed within the study. Modelling our observation </w:t>
      </w:r>
      <w:bookmarkStart w:id="0" w:name="_GoBack"/>
      <w:r>
        <w:t>sheet</w:t>
      </w:r>
      <w:bookmarkEnd w:id="0"/>
      <w:r>
        <w:t xml:space="preserve"> from this, we divided our lesson to 3 key stages of learning, starter, main task and plenary (Step 1-3, see</w:t>
      </w:r>
      <w:r w:rsidR="007B2DA1">
        <w:t xml:space="preserve"> Observation Sheets in</w:t>
      </w:r>
      <w:r>
        <w:t xml:space="preserve"> Appendix for example.) We decided here it would be best if a digital technique of AfL was used as a starter in one (in this case my Geography lesson) and a plenary in the other (my partner’s Business lesson.) This meant we could contrast our results easily and have a clear difference in structure to reflect upon following the lesson study.</w:t>
      </w:r>
    </w:p>
    <w:p w14:paraId="5CEAA715" w14:textId="77777777" w:rsidR="00570AB9" w:rsidRDefault="00570AB9" w:rsidP="00570AB9">
      <w:pPr>
        <w:pStyle w:val="AssignBody"/>
      </w:pPr>
    </w:p>
    <w:p w14:paraId="302A3117" w14:textId="1B7B81D1" w:rsidR="00570AB9" w:rsidRDefault="00570AB9" w:rsidP="00570AB9">
      <w:pPr>
        <w:pStyle w:val="AssignBody"/>
      </w:pPr>
      <w:r>
        <w:t xml:space="preserve">The third area designed was the process of interviewing the pupils, in the hope of seeing the research from the “learner’s lens” (Brookfield 2005.) In the style of Lesson Study research done previously, 3 pupils were chosen as “target pupils” and observed specifically during the lesson study and in observation notes. Following the lesson, the 3 pupils are interviewed using a set of questions which is recorded and then transcribed. This follows a semi-structured interview style with open ended questions and prompts to specific parts of the lesson, in relation to the research question (Leech 2002, Whiting 2008, Galletta 2013.) We decided to choose pupils of mixed ability, with no preference randomly from the register of pupils. There was no ALN pupils in the class and most pupils had similar marks in previous assessment, meaning that the digital assessment required no differentiation. </w:t>
      </w:r>
    </w:p>
    <w:p w14:paraId="5DA9FF7E" w14:textId="77CDA91B" w:rsidR="00570AB9" w:rsidRDefault="00570AB9" w:rsidP="00570AB9">
      <w:pPr>
        <w:pStyle w:val="AssignBody"/>
      </w:pPr>
      <w:r>
        <w:tab/>
        <w:t>The next step of research design was the reflection following the lesson study and interview. In Japanese terms “</w:t>
      </w:r>
      <w:r w:rsidRPr="00C47B29">
        <w:t>kyozaikenkyu</w:t>
      </w:r>
      <w:r>
        <w:t>” meaning to reflect and adapt instructional materials (</w:t>
      </w:r>
      <w:r w:rsidRPr="00E55D93">
        <w:t>Watanabe</w:t>
      </w:r>
      <w:r>
        <w:t xml:space="preserve"> et al.</w:t>
      </w:r>
      <w:r w:rsidRPr="00E55D93">
        <w:t xml:space="preserve"> 2008</w:t>
      </w:r>
      <w:r>
        <w:t xml:space="preserve">, Melville 2013,) it is a crucial part of lesson study research. Using Gibbs reflective cycle, which includes 6 stages of reflection as cited in Dye (2011, p. 230,) the sheet is filled in to collect thoughts and feelings in a primary, organised layout (see </w:t>
      </w:r>
      <w:r w:rsidR="007B2DA1">
        <w:t>A</w:t>
      </w:r>
      <w:r>
        <w:t xml:space="preserve">ppendix for </w:t>
      </w:r>
      <w:r w:rsidR="007B2DA1">
        <w:t>Reflection Sheet 1 and 2.)</w:t>
      </w:r>
      <w:r>
        <w:t xml:space="preserve"> The questions to use in each box (University of Edinburgh, n.d.) following Gibbs’s technique meant that reflection would be purposeful, efficient and transferable if others were to read them. Before starting the research, we both agree </w:t>
      </w:r>
      <w:proofErr w:type="gramStart"/>
      <w:r>
        <w:t>on the whole</w:t>
      </w:r>
      <w:proofErr w:type="gramEnd"/>
      <w:r>
        <w:t xml:space="preserve"> our research was unbiased, measurable, attainable and if conducted as planned, would be a reliable piece of evidence to address our research question. </w:t>
      </w:r>
    </w:p>
    <w:p w14:paraId="2D7D145F" w14:textId="77777777" w:rsidR="00570AB9" w:rsidRDefault="00570AB9" w:rsidP="00570AB9">
      <w:pPr>
        <w:pStyle w:val="AssignBody"/>
      </w:pPr>
    </w:p>
    <w:p w14:paraId="5DBB7131" w14:textId="2B9E698A" w:rsidR="00570AB9" w:rsidRDefault="00570AB9" w:rsidP="00570AB9">
      <w:pPr>
        <w:pStyle w:val="AssignBody"/>
      </w:pPr>
      <w:r>
        <w:t xml:space="preserve">The ethical considerations of the study, in accordance with BERA (2014,) considered what risks to both researchers and participants from start to finish. Firstly, when conducting action research in the classroom, safeguarding the pupils was a priority. As we were focusing on 3 individual pupils, consent forms were given to give permission to record interviews and use their answers anonymously. This included an information sheet </w:t>
      </w:r>
      <w:r w:rsidR="007B2DA1">
        <w:t xml:space="preserve">(see Appendix for Information Sheet and Consent Form) </w:t>
      </w:r>
      <w:r>
        <w:t>and ensured they understood the purpose of the research. It is our responsibility to collect consent forms, as is university protocol, the “</w:t>
      </w:r>
      <w:r w:rsidRPr="00BF3C5C">
        <w:t xml:space="preserve">principle of informed consent is respected through including this as a criterion for granting ethical </w:t>
      </w:r>
      <w:r>
        <w:t xml:space="preserve">clearance” (Shawa 2017.) For our own convenience the interviews were recorded and transcribed, however for the duration of the study pseudonyms were used to protect identities. </w:t>
      </w:r>
    </w:p>
    <w:p w14:paraId="4FD894DE" w14:textId="77777777" w:rsidR="00570AB9" w:rsidRDefault="00570AB9" w:rsidP="00570AB9">
      <w:pPr>
        <w:pStyle w:val="AssignBody"/>
      </w:pPr>
    </w:p>
    <w:p w14:paraId="7AF25EA2" w14:textId="54DE2E1A" w:rsidR="00570AB9" w:rsidRDefault="00570AB9" w:rsidP="00570AB9">
      <w:pPr>
        <w:pStyle w:val="AssignBody"/>
      </w:pPr>
      <w:r>
        <w:t>Regarding the documentation of the research notes, documents and consent forms, these will be stored securely on the university OneDrive as a closed network. This prevents breaking confidentiality and data will only be exchanged between me and my partner, on the same closed circuit within Microsoft. All data will be destroyed following the completion of this assignment and research submission.</w:t>
      </w:r>
    </w:p>
    <w:p w14:paraId="6A9B719C" w14:textId="68626987" w:rsidR="00570AB9" w:rsidRDefault="00570AB9" w:rsidP="00570AB9">
      <w:pPr>
        <w:pStyle w:val="AssignBody"/>
      </w:pPr>
    </w:p>
    <w:p w14:paraId="704104CE" w14:textId="51415E0C" w:rsidR="00570AB9" w:rsidRDefault="00570AB9" w:rsidP="00570AB9">
      <w:pPr>
        <w:pStyle w:val="AssignSubHeader"/>
      </w:pPr>
      <w:r w:rsidRPr="00F672FA">
        <w:t>Lesson Study 1 Results</w:t>
      </w:r>
    </w:p>
    <w:p w14:paraId="09623A2A" w14:textId="1ADFEFB9" w:rsidR="00570AB9" w:rsidRPr="00570AB9" w:rsidRDefault="00570AB9" w:rsidP="00570AB9">
      <w:pPr>
        <w:pStyle w:val="AssignBody"/>
      </w:pPr>
      <w:r w:rsidRPr="00570AB9">
        <w:t xml:space="preserve">The first lesson study conducted was on my Geography lesson looking at changes in retail patterns and shopping centres outside the CBD, a Year 10 GCSE class. As previously mentioned, all were of a mixed ability, with no SEN or special considerations in their records. The digital technology used for AfL in this lesson was a Plickers quiz. Plickers is a software where paper QR-style codes are assigned to each pupil prior to the lesson, and when the questions appear on the whiteboard, pupils can hold their sheet to show A, B, C or D. The simplicity of this meant the quiz was set up quickly, and scanning with my iPad on the app, names and correct/incorrect showed up immediately. The results are as followed in Figure 1. </w:t>
      </w:r>
    </w:p>
    <w:p w14:paraId="185E2352" w14:textId="3E087FA9" w:rsidR="00570AB9" w:rsidRDefault="00570AB9" w:rsidP="00570AB9">
      <w:pPr>
        <w:pStyle w:val="AssignBody"/>
      </w:pPr>
      <w:r>
        <w:rPr>
          <w:noProof/>
        </w:rPr>
        <w:drawing>
          <wp:anchor distT="0" distB="0" distL="114300" distR="114300" simplePos="0" relativeHeight="251659264" behindDoc="1" locked="0" layoutInCell="1" allowOverlap="1" wp14:anchorId="18A1ED21" wp14:editId="5E5B9C1B">
            <wp:simplePos x="0" y="0"/>
            <wp:positionH relativeFrom="column">
              <wp:posOffset>-315671</wp:posOffset>
            </wp:positionH>
            <wp:positionV relativeFrom="paragraph">
              <wp:posOffset>8208</wp:posOffset>
            </wp:positionV>
            <wp:extent cx="3858451" cy="2781300"/>
            <wp:effectExtent l="0" t="0" r="8890" b="0"/>
            <wp:wrapTight wrapText="bothSides">
              <wp:wrapPolygon edited="0">
                <wp:start x="0" y="0"/>
                <wp:lineTo x="0" y="21452"/>
                <wp:lineTo x="21543" y="21452"/>
                <wp:lineTo x="21543" y="0"/>
                <wp:lineTo x="0" y="0"/>
              </wp:wrapPolygon>
            </wp:wrapTight>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ystiolaeth Plickers.png"/>
                    <pic:cNvPicPr/>
                  </pic:nvPicPr>
                  <pic:blipFill>
                    <a:blip r:embed="rId11">
                      <a:extLst>
                        <a:ext uri="{28A0092B-C50C-407E-A947-70E740481C1C}">
                          <a14:useLocalDpi xmlns:a14="http://schemas.microsoft.com/office/drawing/2010/main" val="0"/>
                        </a:ext>
                      </a:extLst>
                    </a:blip>
                    <a:stretch>
                      <a:fillRect/>
                    </a:stretch>
                  </pic:blipFill>
                  <pic:spPr>
                    <a:xfrm>
                      <a:off x="0" y="0"/>
                      <a:ext cx="3858451" cy="2781300"/>
                    </a:xfrm>
                    <a:prstGeom prst="rect">
                      <a:avLst/>
                    </a:prstGeom>
                  </pic:spPr>
                </pic:pic>
              </a:graphicData>
            </a:graphic>
            <wp14:sizeRelH relativeFrom="page">
              <wp14:pctWidth>0</wp14:pctWidth>
            </wp14:sizeRelH>
            <wp14:sizeRelV relativeFrom="page">
              <wp14:pctHeight>0</wp14:pctHeight>
            </wp14:sizeRelV>
          </wp:anchor>
        </w:drawing>
      </w:r>
      <w:r>
        <w:tab/>
        <w:t>From Figure 1 we can see that many struggled on the first question round, however it was discussed in the class at the time that the pupils did not “get the hang” of how to use the sheets in the first round. Target Pupils A, B and C achieved results of 80%, 75% and 80% respectively.</w:t>
      </w:r>
    </w:p>
    <w:p w14:paraId="6E7DADE5" w14:textId="1BFC4920" w:rsidR="00570AB9" w:rsidRDefault="00570AB9" w:rsidP="00570AB9">
      <w:pPr>
        <w:pStyle w:val="AssignBody"/>
      </w:pPr>
      <w:r>
        <w:rPr>
          <w:noProof/>
        </w:rPr>
        <mc:AlternateContent>
          <mc:Choice Requires="wps">
            <w:drawing>
              <wp:anchor distT="0" distB="0" distL="114300" distR="114300" simplePos="0" relativeHeight="251660288" behindDoc="1" locked="0" layoutInCell="1" allowOverlap="1" wp14:anchorId="2DDABDBE" wp14:editId="747028B8">
                <wp:simplePos x="0" y="0"/>
                <wp:positionH relativeFrom="column">
                  <wp:posOffset>-329318</wp:posOffset>
                </wp:positionH>
                <wp:positionV relativeFrom="paragraph">
                  <wp:posOffset>627807</wp:posOffset>
                </wp:positionV>
                <wp:extent cx="3858260"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3858260" cy="635"/>
                        </a:xfrm>
                        <a:prstGeom prst="rect">
                          <a:avLst/>
                        </a:prstGeom>
                        <a:solidFill>
                          <a:prstClr val="white"/>
                        </a:solidFill>
                        <a:ln>
                          <a:noFill/>
                        </a:ln>
                      </wps:spPr>
                      <wps:txbx>
                        <w:txbxContent>
                          <w:p w14:paraId="16463538" w14:textId="77777777" w:rsidR="009828D8" w:rsidRPr="00445A44" w:rsidRDefault="009828D8" w:rsidP="00570AB9">
                            <w:pPr>
                              <w:pStyle w:val="Caption"/>
                              <w:rPr>
                                <w:noProof/>
                              </w:rPr>
                            </w:pPr>
                            <w:r>
                              <w:t xml:space="preserve">Figure </w:t>
                            </w:r>
                            <w:fldSimple w:instr=" SEQ Figure \* ARABIC ">
                              <w:r>
                                <w:rPr>
                                  <w:noProof/>
                                </w:rPr>
                                <w:t>1</w:t>
                              </w:r>
                            </w:fldSimple>
                            <w:r>
                              <w:t>- Plickers Starter Results Lesson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DDABDBE" id="_x0000_t202" coordsize="21600,21600" o:spt="202" path="m,l,21600r21600,l21600,xe">
                <v:stroke joinstyle="miter"/>
                <v:path gradientshapeok="t" o:connecttype="rect"/>
              </v:shapetype>
              <v:shape id="Text Box 1" o:spid="_x0000_s1026" type="#_x0000_t202" style="position:absolute;margin-left:-25.95pt;margin-top:49.45pt;width:303.8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" stroked="f">
                <v:textbox style="mso-fit-shape-to-text:t" inset="0,0,0,0">
                  <w:txbxContent>
                    <w:p w14:paraId="16463538" w14:textId="77777777" w:rsidR="009828D8" w:rsidRPr="00445A44" w:rsidRDefault="009828D8" w:rsidP="00570AB9">
                      <w:pPr>
                        <w:pStyle w:val="Caption"/>
                        <w:rPr>
                          <w:noProof/>
                        </w:rPr>
                      </w:pPr>
                      <w:r>
                        <w:t xml:space="preserve">Figure </w:t>
                      </w:r>
                      <w:fldSimple w:instr=" SEQ Figure \* ARABIC ">
                        <w:r>
                          <w:rPr>
                            <w:noProof/>
                          </w:rPr>
                          <w:t>1</w:t>
                        </w:r>
                      </w:fldSimple>
                      <w:r>
                        <w:t>- Plickers Starter Results Lesson 1</w:t>
                      </w:r>
                    </w:p>
                  </w:txbxContent>
                </v:textbox>
                <w10:wrap type="tight"/>
              </v:shape>
            </w:pict>
          </mc:Fallback>
        </mc:AlternateContent>
      </w:r>
      <w:r>
        <w:tab/>
        <w:t xml:space="preserve">Following the first “tester” round, results improve drastically, and most pupils recall over 60% of the content from the previous lesson. This visually indicated that the content was mostly remembered and the more we played, the more that was recalled. During the quiz, pupils asked for the results to be displayed on the board, a behaviour I did not expect. The classic version of the Plickers software only shows the cards have been scanned and recognised, and not the result of each player, however in every round the pupils asked to be shown the results. </w:t>
      </w:r>
    </w:p>
    <w:p w14:paraId="44A7AB91" w14:textId="77777777" w:rsidR="00570AB9" w:rsidRDefault="00570AB9" w:rsidP="00570AB9">
      <w:pPr>
        <w:pStyle w:val="AssignBody"/>
      </w:pPr>
    </w:p>
    <w:p w14:paraId="6685115E" w14:textId="3F1FDE80" w:rsidR="00570AB9" w:rsidRDefault="00570AB9" w:rsidP="00570AB9">
      <w:pPr>
        <w:pStyle w:val="AssignBody"/>
      </w:pPr>
      <w:r>
        <w:t>Engagement was high during the lesson and pupils cheered and as each answer was discussed they contributed whether they had got it right and understood or knew where they had gone wrong. To compare with this classroom typically, I expected the pupils to be shy and reluctant, especially considering the “Hawthorne effect” (Adair, 1984) of having another of their teachers in the class.</w:t>
      </w:r>
    </w:p>
    <w:p w14:paraId="795503CB" w14:textId="77777777" w:rsidR="00570AB9" w:rsidRDefault="00570AB9" w:rsidP="00570AB9">
      <w:pPr>
        <w:pStyle w:val="AssignBody"/>
      </w:pPr>
    </w:p>
    <w:p w14:paraId="19F821A3" w14:textId="5EEE5C3A" w:rsidR="00570AB9" w:rsidRDefault="00570AB9" w:rsidP="00570AB9">
      <w:pPr>
        <w:pStyle w:val="AssignBody"/>
      </w:pPr>
      <w:r>
        <w:t>Overall, I believe that the use of digital technology, in the form of a starter, to conduct on-the-spot AfL in the classroom was a success. As a first attempt of an unfamiliar software and an unfamiliar concept for the pupils, I believe the lesson study showed great potential. The convenience of visually scanning and seeing who understood and who didn’t, whilst simultaneously creating the “paperwork” behind the test (an online downloadable spreadsheet or graph,) the improvement in efficiency and workload for teachers is phenomenal. This instant result left time for me to decide whether content needed revisiting before getting into the lesson. Having previously scrapped a lesson to go over previous content, knowing early on that pupils “didn’t get it” and starting the lesson over has taught me a lot regarding intuition as a professional skill. In this case I was fortunate to not need to revisit content.</w:t>
      </w:r>
    </w:p>
    <w:p w14:paraId="3B12B8C5" w14:textId="77777777" w:rsidR="00570AB9" w:rsidRDefault="00570AB9" w:rsidP="00570AB9">
      <w:pPr>
        <w:pStyle w:val="AssignBody"/>
      </w:pPr>
    </w:p>
    <w:p w14:paraId="5F2F1F90" w14:textId="2FFA9429" w:rsidR="00570AB9" w:rsidRDefault="00570AB9" w:rsidP="00570AB9">
      <w:pPr>
        <w:pStyle w:val="AssignBody"/>
      </w:pPr>
      <w:r>
        <w:t>The three target pupils in the lesson study (Pupils A, B and C on Observation Sheet 1 in the Appendix) showed clear enthusiasm for the task. From my research partner’s observation sheet (See Observation Sheet 1 in Appendix) she saw their behaviour as “excited and engaged” however the 3 chosen pupils were not voluntarily contributing discussion when talking through an answer, perhaps shy trying an unfamiliar “game.” My research partner also recognised that incorrect answers were mainly due to excitement, and that the competition of comparing answers kept pupils focused and thinking hard before answering. She also observed Pupil C asking if Plickers could be used next time. The final thoughts noted in the observation form was that the digital AfL had a “definite impact” on the pupils and they still discussed the starter when leaving the classroom. Upon discussion following the lesson she believed the software was a viable option, with more practice in the classroom, as a form of digital AfL.</w:t>
      </w:r>
    </w:p>
    <w:p w14:paraId="2277438D" w14:textId="77777777" w:rsidR="00570AB9" w:rsidRDefault="00570AB9" w:rsidP="00570AB9">
      <w:pPr>
        <w:pStyle w:val="AssignBody"/>
      </w:pPr>
    </w:p>
    <w:p w14:paraId="383E798C" w14:textId="77777777" w:rsidR="00570AB9" w:rsidRPr="00570AB9" w:rsidRDefault="00570AB9" w:rsidP="00570AB9">
      <w:pPr>
        <w:pStyle w:val="AssignSubHeader"/>
      </w:pPr>
      <w:r w:rsidRPr="00570AB9">
        <w:t>Lesson Study 2 Results</w:t>
      </w:r>
    </w:p>
    <w:p w14:paraId="4FC9CF64" w14:textId="52E03719" w:rsidR="00570AB9" w:rsidRDefault="00570AB9" w:rsidP="00570AB9">
      <w:pPr>
        <w:pStyle w:val="AssignBody"/>
      </w:pPr>
      <w:r>
        <w:t xml:space="preserve">Having already conducted the lesson study, interview and reflection once already, the following day conducting the next piece of research was much more natural and familiar. This was to a similar group of pupils with many overlapping students, therefore there was less worry about having another teacher in the class (little to no concern for the Hawthorne effect.) At the beginning of the lesson I noted my initial thoughts as a “pleasant, productive classroom” and noted that many pupils seemed “shy or reserved,” particularly our three Target Pupils (Pupils A, B and C, see Observation Sheet 2 in Appendix.) </w:t>
      </w:r>
    </w:p>
    <w:p w14:paraId="23318D55" w14:textId="77777777" w:rsidR="00570AB9" w:rsidRDefault="00570AB9" w:rsidP="00570AB9">
      <w:pPr>
        <w:pStyle w:val="AssignBody"/>
      </w:pPr>
    </w:p>
    <w:p w14:paraId="0C261FE0" w14:textId="30698443" w:rsidR="00570AB9" w:rsidRDefault="00570AB9" w:rsidP="00570AB9">
      <w:pPr>
        <w:pStyle w:val="AssignBody"/>
      </w:pPr>
      <w:r>
        <w:t>The first task was a written task to create a mind map to collect ideas, and pupils were on task immediately. The class discussion surrounding the task, I noted</w:t>
      </w:r>
      <w:r w:rsidR="007B2DA1">
        <w:t xml:space="preserve"> (See Observation Sheet 2 in Appendix</w:t>
      </w:r>
      <w:r>
        <w:t>,</w:t>
      </w:r>
      <w:r w:rsidR="007B2DA1">
        <w:t>)</w:t>
      </w:r>
      <w:r>
        <w:t xml:space="preserve"> had the same few pupils answering whilst others (Target Pupils A and B included) did not contribute to the discussion, with Target Pupil C contributing once. To compare with a digital starter the pupils did not contribute as much, and only discussed ideas and answers in their pairs. </w:t>
      </w:r>
    </w:p>
    <w:p w14:paraId="6D2E8114" w14:textId="77777777" w:rsidR="00570AB9" w:rsidRDefault="00570AB9" w:rsidP="00570AB9">
      <w:pPr>
        <w:pStyle w:val="AssignBody"/>
      </w:pPr>
    </w:p>
    <w:p w14:paraId="2DA1811C" w14:textId="25F2C2F9" w:rsidR="00570AB9" w:rsidRDefault="00570AB9" w:rsidP="00570AB9">
      <w:pPr>
        <w:pStyle w:val="AssignBody"/>
      </w:pPr>
      <w:r>
        <w:t>The second step of the lesson was looking at case studies of primary and secondary market research by brands and working as pairs to answer a GCSE past paper question. This again was on worksheets and as Target Pupil B and C worked together, they discuss every point together before writing down their individual answers. This means that when sharing their answers with the class, both had written the same and Target Pupil C had nothing to add when asked. Target Pupil A was happy to work as a pair and in the class discussion, however a pattern of some pupils talking over their peers speaking was noted at this point.</w:t>
      </w:r>
    </w:p>
    <w:p w14:paraId="54FA91C9" w14:textId="77777777" w:rsidR="00570AB9" w:rsidRDefault="00570AB9" w:rsidP="00570AB9">
      <w:pPr>
        <w:pStyle w:val="AssignBody"/>
      </w:pPr>
    </w:p>
    <w:p w14:paraId="27E2D382" w14:textId="1A2D3FF0" w:rsidR="00570AB9" w:rsidRDefault="00570AB9" w:rsidP="00570AB9">
      <w:pPr>
        <w:pStyle w:val="AssignBody"/>
      </w:pPr>
      <w:r>
        <w:t xml:space="preserve">When it came time for the plenary, a digital AfL quiz software called “Kahoot,” pupils were asked to put their work away and laptops were handed out. This was with 20 minutes remaining of the lesson and the first 5-10 minutes were spent setting the laptops up for each pupil. I noted that this was time consuming, however having played this quiz with other computer-based lessons, they were excited to start. Each pupil put a fake pseudonym for their Kahoot identity, and everyone agreed they did not want to see who had answered correctly/incorrectly. The questions were based on the lesson’s content and evaluated whether the task was fully understood by each pupil. Overall, results from the Kahoot were all over 75% and engagement discussing answers with the teacher was good. </w:t>
      </w:r>
    </w:p>
    <w:p w14:paraId="2E420B13" w14:textId="77777777" w:rsidR="00570AB9" w:rsidRDefault="00570AB9" w:rsidP="00570AB9">
      <w:pPr>
        <w:pStyle w:val="AssignBody"/>
      </w:pPr>
    </w:p>
    <w:p w14:paraId="43D8EEE1" w14:textId="3E1B0956" w:rsidR="00570AB9" w:rsidRDefault="00570AB9" w:rsidP="00570AB9">
      <w:pPr>
        <w:pStyle w:val="AssignBody"/>
      </w:pPr>
      <w:r>
        <w:t>Although anonymous, the visual positive result and “league table” of their pseudonyms so only they would know their score rank in the classroom had a positive effect on the group. By the end of the lesson each pupil showed clear understanding of the starter mind map and the pair work, confidently discussing primary and secondary market research. The success of Kahoot as an AfL technique was evident, pupils left understanding the topic and proved so with an MCQ style quiz with positive results. This used as a plenary broke up the writing-heavy content and ended the lesson on a positive concreting of the knowledge.</w:t>
      </w:r>
    </w:p>
    <w:p w14:paraId="0ADE533F" w14:textId="77777777" w:rsidR="00570AB9" w:rsidRDefault="00570AB9" w:rsidP="00570AB9">
      <w:pPr>
        <w:pStyle w:val="AssignBody"/>
      </w:pPr>
    </w:p>
    <w:p w14:paraId="7451009B" w14:textId="70EEC729" w:rsidR="00570AB9" w:rsidRDefault="00570AB9" w:rsidP="00570AB9">
      <w:pPr>
        <w:pStyle w:val="AssignBody"/>
      </w:pPr>
      <w:r>
        <w:t xml:space="preserve">From the interview following the lesson, the Target Pupils had contrasting view to the previous Lesson Study. They did not want to know each other’s answers and preferred the use of pseudonyms so there was less pressure when answering. This contrasts with the first lesson study and was noted by my research partner and I following the interviews as a </w:t>
      </w:r>
      <w:proofErr w:type="gramStart"/>
      <w:r>
        <w:t>key note</w:t>
      </w:r>
      <w:proofErr w:type="gramEnd"/>
      <w:r>
        <w:t xml:space="preserve"> to discuss in our findings. As noted in Reflection Sheet 2</w:t>
      </w:r>
      <w:r w:rsidR="007B2DA1">
        <w:t xml:space="preserve"> (see Appendix)</w:t>
      </w:r>
      <w:r>
        <w:t xml:space="preserve"> completed by my research partner, they said the rest of the lesson “felt easier” as they knew a fun plenary was planned after the “harder” work. They also agreed in the interview that digital software is not used in the classroom enough and would like to see more of it used. </w:t>
      </w:r>
    </w:p>
    <w:p w14:paraId="59EF326A" w14:textId="0E2C4658" w:rsidR="00570AB9" w:rsidRDefault="00570AB9" w:rsidP="00570AB9">
      <w:pPr>
        <w:pStyle w:val="AssignBody"/>
      </w:pPr>
    </w:p>
    <w:p w14:paraId="1844A9FB" w14:textId="7C830ED2" w:rsidR="00570AB9" w:rsidRDefault="00570AB9" w:rsidP="00570AB9">
      <w:pPr>
        <w:pStyle w:val="AssignSubHeader"/>
      </w:pPr>
      <w:r w:rsidRPr="007017A3">
        <w:t>Discussion of research finding</w:t>
      </w:r>
      <w:r>
        <w:t>s</w:t>
      </w:r>
    </w:p>
    <w:p w14:paraId="1D39CD30" w14:textId="1CFFE163" w:rsidR="00570AB9" w:rsidRDefault="00570AB9" w:rsidP="00711114">
      <w:pPr>
        <w:pStyle w:val="AssignBody"/>
      </w:pPr>
      <w:r>
        <w:t>It is clear from the results of observations and interviews that the digital technology for AfL had an impact on class discussion, engagement and focus. Marks were high across both lessons even for lower achieving pupils in previous tests, which meant that despite the competitive nature of each quiz answers were not rushed and with practice one can expect these marks to improve. It was also evident from the pattern of answers in both, that the incorrect answers were mainly the first few questions, therefore it can likely be put down to nerves or unfamiliarity with the software.</w:t>
      </w:r>
    </w:p>
    <w:p w14:paraId="4AD8BBD8" w14:textId="77777777" w:rsidR="00711114" w:rsidRDefault="00711114" w:rsidP="00711114">
      <w:pPr>
        <w:pStyle w:val="AssignBody"/>
      </w:pPr>
    </w:p>
    <w:p w14:paraId="6793861E" w14:textId="77777777" w:rsidR="00711114" w:rsidRDefault="00570AB9" w:rsidP="00711114">
      <w:pPr>
        <w:pStyle w:val="AssignBody"/>
      </w:pPr>
      <w:r>
        <w:t>Another aspect of the results to consider is the speed and efficiency of this form of AfL, and results are instant which gives the teacher the best chance of knowing what direction the lesson or next lesson should go, to revisit content or not. This is also reducing the marking workload of the teacher, as an end of topic test or pop quiz is marked immediately, and results are stored.</w:t>
      </w:r>
    </w:p>
    <w:p w14:paraId="3D113242" w14:textId="77777777" w:rsidR="00711114" w:rsidRDefault="00711114" w:rsidP="00711114">
      <w:pPr>
        <w:pStyle w:val="AssignBody"/>
      </w:pPr>
    </w:p>
    <w:p w14:paraId="7BB6D53B" w14:textId="218D1952" w:rsidR="00570AB9" w:rsidRDefault="00570AB9" w:rsidP="00711114">
      <w:pPr>
        <w:pStyle w:val="AssignBody"/>
      </w:pPr>
      <w:r>
        <w:t>These results from the lesson study are reflected in the view of target pupils during the interviews, who were “excited,” found it interesting and wanted more of the same in future lessons. It was apparent that they had no preference whether it was used as a starter or plenary and were interested in the idea of having a whole lesson taught digitally. From a geographer’s perspective this means less paper waste through printing and single-use worksheets, and paperless classrooms are more plausible when considering digital AfL in this way.</w:t>
      </w:r>
    </w:p>
    <w:p w14:paraId="57885A12" w14:textId="77777777" w:rsidR="00711114" w:rsidRDefault="00711114" w:rsidP="00711114">
      <w:pPr>
        <w:tabs>
          <w:tab w:val="left" w:pos="4020"/>
        </w:tabs>
      </w:pPr>
    </w:p>
    <w:p w14:paraId="37EE0346" w14:textId="77777777" w:rsidR="00711114" w:rsidRDefault="00711114" w:rsidP="00711114">
      <w:pPr>
        <w:pStyle w:val="AssignSubHeader"/>
      </w:pPr>
      <w:r>
        <w:t>Conclusion</w:t>
      </w:r>
    </w:p>
    <w:p w14:paraId="7EB1B384" w14:textId="77777777" w:rsidR="00711114" w:rsidRDefault="00711114" w:rsidP="00711114">
      <w:pPr>
        <w:pStyle w:val="AssignBody"/>
      </w:pPr>
      <w:r>
        <w:t>The first conclusion from this research using lesson studies as a technique, is that it can reveal a lot that the teacher may have missed, and patterns can be checked and corroborated (Ho and Kane 2013.) With classes from 15-30 pupils it is not always evident who is listening and who is not, who is contributing and who is struggling, but from the researcher’s perspective more is revealed. Having someone focus on 3 target pupils and later interviewing, means we can correlate what they do versus what they say, e.g. “Pupil C did not contribute their answers” to later find out in the interview that they did not like publicising their answers and appreciated the anonymity in Kahoot. This shows that not every class is comfortable with sharing their right or wrong answers, and this could be discussed at the start of the lesson before trying digital AfL again.</w:t>
      </w:r>
    </w:p>
    <w:p w14:paraId="09B17638" w14:textId="77777777" w:rsidR="00711114" w:rsidRDefault="00711114" w:rsidP="00711114">
      <w:pPr>
        <w:pStyle w:val="AssignBody"/>
      </w:pPr>
    </w:p>
    <w:p w14:paraId="75C7ECEF" w14:textId="0240C425" w:rsidR="00711114" w:rsidRPr="00711114" w:rsidRDefault="00711114" w:rsidP="00711114">
      <w:pPr>
        <w:pStyle w:val="AssignBody"/>
      </w:pPr>
      <w:r>
        <w:t xml:space="preserve">The second benefit is immediate results, and therefore instant information for the teacher to dictate the course of teaching. </w:t>
      </w:r>
      <w:proofErr w:type="gramStart"/>
      <w:r>
        <w:t>Similar to</w:t>
      </w:r>
      <w:proofErr w:type="gramEnd"/>
      <w:r>
        <w:t xml:space="preserve"> the Japanese style Lesson Study, this research was not funded and did not cost anything to research (</w:t>
      </w:r>
      <w:r w:rsidRPr="00122009">
        <w:rPr>
          <w:rFonts w:cs="Arial"/>
          <w:sz w:val="20"/>
          <w:lang w:val="cy-GB"/>
        </w:rPr>
        <w:t>Lewis and Tsuchida 1998</w:t>
      </w:r>
      <w:r>
        <w:rPr>
          <w:rFonts w:cs="Arial"/>
          <w:sz w:val="20"/>
          <w:lang w:val="cy-GB"/>
        </w:rPr>
        <w:t xml:space="preserve">.) With resources such as Plickers, Kahoot and multiple similar programmes, some which require no laptops or iPads etc, there is no financial boundary to using digital AfL with technology constantly improving. The techniques tried worked well as starters and plenaries, and the potential is there to try a full digital Geography lesson in future. </w:t>
      </w:r>
    </w:p>
    <w:p w14:paraId="78ACF78B" w14:textId="77777777" w:rsidR="00711114" w:rsidRDefault="00711114" w:rsidP="00711114">
      <w:pPr>
        <w:pStyle w:val="AssignBody"/>
        <w:rPr>
          <w:rFonts w:cs="Arial"/>
          <w:sz w:val="20"/>
          <w:lang w:val="cy-GB"/>
        </w:rPr>
      </w:pPr>
    </w:p>
    <w:p w14:paraId="11D98EC1" w14:textId="3C6E9092" w:rsidR="00711114" w:rsidRDefault="00711114" w:rsidP="00711114">
      <w:pPr>
        <w:pStyle w:val="AssignBody"/>
        <w:rPr>
          <w:rFonts w:cs="Arial"/>
          <w:sz w:val="20"/>
          <w:lang w:val="cy-GB"/>
        </w:rPr>
      </w:pPr>
      <w:r>
        <w:rPr>
          <w:rFonts w:cs="Arial"/>
          <w:sz w:val="20"/>
          <w:lang w:val="cy-GB"/>
        </w:rPr>
        <w:t>A third and final conclusion that my research partner and I both agreed on, is that technology does not always go to plan in these cases. The process of designing our lesson, creating the quiz prior to the lesson and then running it in a 15 minute window of a lesson, was not as simple as one can expect. With this in consideration, the timing and complications I personally experienced using Plickers for the first time may have impacted the beginning of Lesson Study 1. This taught both of us that lessons, particlarly with tech involved, do not always go to plan especially when being observed. As both of us have recently qualified as Microsoft Innovation Expert, we can use online courses through this to professionally develop our knowledge of such lessons and improve over time.</w:t>
      </w:r>
    </w:p>
    <w:p w14:paraId="129865AF" w14:textId="77777777" w:rsidR="00711114" w:rsidRDefault="00711114" w:rsidP="00711114">
      <w:pPr>
        <w:pStyle w:val="AssignBody"/>
        <w:rPr>
          <w:rFonts w:cs="Arial"/>
          <w:sz w:val="20"/>
          <w:lang w:val="cy-GB"/>
        </w:rPr>
      </w:pPr>
    </w:p>
    <w:p w14:paraId="62463463" w14:textId="36A27CBE" w:rsidR="00711114" w:rsidRDefault="00711114" w:rsidP="00711114">
      <w:pPr>
        <w:pStyle w:val="AssignBody"/>
        <w:rPr>
          <w:rFonts w:cs="Arial"/>
          <w:sz w:val="20"/>
          <w:lang w:val="cy-GB"/>
        </w:rPr>
      </w:pPr>
      <w:r>
        <w:rPr>
          <w:rFonts w:cs="Arial"/>
          <w:sz w:val="20"/>
          <w:lang w:val="cy-GB"/>
        </w:rPr>
        <w:t>To answer our research question directly, it is undeniable that digital technologies support AfL in a range of ways, cutting marking time, instant feedback, increasing engagement and recall and simply changing up the learning environment expected, particularly in our departments in this study. This support will only increase over time as “ed-tech” technology increases, schools become more digitally equipped, and teachers are trained to utilise these to their best abilities. From a personal perspective, this study has been clear evidence that I should experiment with more technology and research new methods and literature, improving the experience for both the teacher and learner.</w:t>
      </w:r>
    </w:p>
    <w:p w14:paraId="5393691F" w14:textId="78CC4C87" w:rsidR="00570AB9" w:rsidRDefault="00570AB9" w:rsidP="00570AB9">
      <w:pPr>
        <w:pStyle w:val="AssignBody"/>
      </w:pPr>
    </w:p>
    <w:p w14:paraId="66F38CF7" w14:textId="77777777" w:rsidR="00711114" w:rsidRDefault="00711114" w:rsidP="00711114">
      <w:pPr>
        <w:pStyle w:val="AssignSubHeader"/>
        <w:rPr>
          <w:lang w:val="cy-GB"/>
        </w:rPr>
      </w:pPr>
      <w:r w:rsidRPr="005E7FE4">
        <w:rPr>
          <w:lang w:val="cy-GB"/>
        </w:rPr>
        <w:t>Recommendations</w:t>
      </w:r>
    </w:p>
    <w:p w14:paraId="2873DA9D" w14:textId="2CFE0EF6" w:rsidR="00711114" w:rsidRPr="00711114" w:rsidRDefault="00711114" w:rsidP="00711114">
      <w:pPr>
        <w:pStyle w:val="AssignBody"/>
      </w:pPr>
      <w:r w:rsidRPr="00711114">
        <w:t>To reiterate the previous point made, the main recommendation in future is to expand and learn more about digital AfL and improve my own CPD in this area. In the case of these softwares (Kahoot and Plickers) I would like to try different styles of MCQ (Farrell and Rushby 2016) as well as visual diagram questions and open-ended quizzes. The potential to collect various answers, opinions and diagram understandings and quickly flick through them as the lesson takes place offers many opportunities to the teacher, such as choosing an anonymous answer as a model answer or group-marking a common mistake as a class. The instant results of digital AfL quizzes, end of topic tests and as starters or plenaries have endless opportunities.</w:t>
      </w:r>
    </w:p>
    <w:p w14:paraId="1A1D1A35" w14:textId="77777777" w:rsidR="00711114" w:rsidRPr="00711114" w:rsidRDefault="00711114" w:rsidP="00711114">
      <w:pPr>
        <w:pStyle w:val="AssignBody"/>
      </w:pPr>
    </w:p>
    <w:p w14:paraId="7F968EAD" w14:textId="453EED29" w:rsidR="00711114" w:rsidRPr="00711114" w:rsidRDefault="00711114" w:rsidP="00711114">
      <w:pPr>
        <w:pStyle w:val="AssignBody"/>
      </w:pPr>
      <w:r w:rsidRPr="00711114">
        <w:t xml:space="preserve">As previously </w:t>
      </w:r>
      <w:proofErr w:type="gramStart"/>
      <w:r w:rsidRPr="00711114">
        <w:t>mentioned</w:t>
      </w:r>
      <w:proofErr w:type="gramEnd"/>
      <w:r w:rsidRPr="00711114">
        <w:t xml:space="preserve"> the “portfolio style” digital work by Barrett (2006,) would be a consideration to try in future. Although critiqued and with MCQ AfL preferred by researchers, in a multidisciplinary field such as Geography, the chance to collate various pieces of work into an online portfolio instead of booklets and worksheets would offer pupils a change from typical assessment. This type of digital AfL would also work for a future lesson study, however as many studies show, the use of a lesson study cycle rather than one lesson study would be more beneficial (Lewis et al. 2006, Isoda et al. 2007, Stepanek et al. 2007.) The idea in future of creating a research question to develop over multiple lesson studies would be far more reliable and generalisable.</w:t>
      </w:r>
    </w:p>
    <w:p w14:paraId="6989A1DF" w14:textId="77777777" w:rsidR="00711114" w:rsidRPr="00711114" w:rsidRDefault="00711114" w:rsidP="00711114">
      <w:pPr>
        <w:pStyle w:val="AssignBody"/>
      </w:pPr>
    </w:p>
    <w:p w14:paraId="4DEC744A" w14:textId="698334B3" w:rsidR="00711114" w:rsidRPr="00711114" w:rsidRDefault="00711114" w:rsidP="00711114">
      <w:pPr>
        <w:pStyle w:val="AssignBody"/>
      </w:pPr>
      <w:r w:rsidRPr="00711114">
        <w:t xml:space="preserve">Another recommendation for the future is to engage with a wider “Community of Inquiry” (Doig and Groves 2011.) As argued by Doig and Groves, lesson studies give you the opportunity to collaborate with fellow educators, and this can include fellow staff, senior leading teams, univeristy mentors and other “more knowledgeable others” (Stepanek et al. 2007, Amador and Weiland 2015.) From my experiences of microteaching the advice from multiple fellow student teachers was vital to my development and helped refine my lesson for the future. In this case, involving my subject mentor and senior mentor from my placement school would have expanded the observation opportunities and advice from years of experience, however within the parameters of the study specification this was not possible. The idea of bringing more than one research partner into a Lesson Study is not unfamiliar within literature, such as 30 teachers in a typical Japanese Lesson Study, therefore I would like to explore this option in future. </w:t>
      </w:r>
    </w:p>
    <w:p w14:paraId="76DD165B" w14:textId="77777777" w:rsidR="00711114" w:rsidRPr="00711114" w:rsidRDefault="00711114" w:rsidP="00711114">
      <w:pPr>
        <w:pStyle w:val="AssignBody"/>
      </w:pPr>
    </w:p>
    <w:p w14:paraId="03361507" w14:textId="6013E8F6" w:rsidR="00711114" w:rsidRPr="00711114" w:rsidRDefault="00711114" w:rsidP="00711114">
      <w:pPr>
        <w:pStyle w:val="AssignBody"/>
      </w:pPr>
      <w:r w:rsidRPr="00711114">
        <w:t>Taking the experience gathered from this research, the professional development we have gained during the study offers many future options as a student teacher. With the introduction of the new curriculum and focus on digital competency (Curriculum for Wales, 2020) there is now an importance more than ever to engage, explore and encourage technology within the classroom. In future I will aim to integrate these principles into my lessons and find new ways to make “EdTech” work in the field of Geography whenever possible.</w:t>
      </w:r>
    </w:p>
    <w:p w14:paraId="5E4BDEC7" w14:textId="77777777" w:rsidR="00711114" w:rsidRPr="00711114" w:rsidRDefault="00711114" w:rsidP="00711114">
      <w:pPr>
        <w:pStyle w:val="AssignBody"/>
      </w:pPr>
    </w:p>
    <w:p w14:paraId="4CD14E5C" w14:textId="1AAF9DF7" w:rsidR="00711114" w:rsidRPr="00711114" w:rsidRDefault="00711114" w:rsidP="00711114">
      <w:pPr>
        <w:pStyle w:val="AssignBody"/>
      </w:pPr>
      <w:r w:rsidRPr="00711114">
        <w:t>For future this lesson study research project has also given me the opportunity to work collaboratively with a fellow student teacher, which is not done often given the range of subjects taught by other student teachers at the university. In this instance however it has taught me skills regarding planning a lesson collaboratively, designing a research methodology, giving constructive and professional feedback and sharing results securely without breaching the ethical grounds of such research, and starting my career as a teacher these are excellent skills to collect early on. I look forward to trying a lesson study research project again in future and will recommend to others to involve themselves in such studies within future placement schools and employment.</w:t>
      </w:r>
    </w:p>
    <w:p w14:paraId="50A0CF01" w14:textId="77777777" w:rsidR="00711114" w:rsidRDefault="00711114" w:rsidP="00570AB9">
      <w:pPr>
        <w:pStyle w:val="AssignBody"/>
      </w:pPr>
    </w:p>
    <w:p w14:paraId="07B0FFAE" w14:textId="3D9BA742" w:rsidR="00755E37" w:rsidRDefault="00755E37" w:rsidP="00437EEB">
      <w:pPr>
        <w:pStyle w:val="AssignSubHeader"/>
      </w:pPr>
    </w:p>
    <w:p w14:paraId="176C63B9" w14:textId="343A7465" w:rsidR="00437EEB" w:rsidRDefault="00437EEB" w:rsidP="00437EEB">
      <w:pPr>
        <w:pStyle w:val="AssignBody"/>
      </w:pPr>
    </w:p>
    <w:p w14:paraId="41900568" w14:textId="4D2C41E5" w:rsidR="00437EEB" w:rsidRDefault="00437EEB" w:rsidP="00437EEB">
      <w:pPr>
        <w:pStyle w:val="AssignBody"/>
      </w:pPr>
    </w:p>
    <w:p w14:paraId="35E8C33C" w14:textId="3D96B4DB" w:rsidR="00437EEB" w:rsidRDefault="00437EEB" w:rsidP="00437EEB">
      <w:pPr>
        <w:pStyle w:val="AssignBody"/>
      </w:pPr>
    </w:p>
    <w:p w14:paraId="59A50A27" w14:textId="2B8356C8" w:rsidR="00437EEB" w:rsidRDefault="00437EEB" w:rsidP="00437EEB">
      <w:pPr>
        <w:pStyle w:val="AssignBody"/>
      </w:pPr>
    </w:p>
    <w:p w14:paraId="68A4FD9C" w14:textId="1CA24A67" w:rsidR="00437EEB" w:rsidRDefault="00437EEB" w:rsidP="00437EEB">
      <w:pPr>
        <w:pStyle w:val="AssignBody"/>
      </w:pPr>
    </w:p>
    <w:p w14:paraId="190D0725" w14:textId="23D7D2FC" w:rsidR="00437EEB" w:rsidRDefault="00437EEB" w:rsidP="00437EEB">
      <w:pPr>
        <w:pStyle w:val="AssignBody"/>
      </w:pPr>
    </w:p>
    <w:p w14:paraId="29C5DE65" w14:textId="77777777" w:rsidR="00437EEB" w:rsidRPr="00437EEB" w:rsidRDefault="00437EEB" w:rsidP="00437EEB">
      <w:pPr>
        <w:pStyle w:val="AssignBody"/>
      </w:pPr>
    </w:p>
    <w:p w14:paraId="06907C98" w14:textId="492B6A60" w:rsidR="00755E37" w:rsidRPr="00437EEB" w:rsidRDefault="00437EEB" w:rsidP="00437EEB">
      <w:pPr>
        <w:pStyle w:val="AssignHeader"/>
        <w:jc w:val="left"/>
      </w:pPr>
      <w:r w:rsidRPr="00437EEB">
        <w:t>References</w:t>
      </w:r>
    </w:p>
    <w:p w14:paraId="182D230C" w14:textId="77777777" w:rsidR="00437EEB" w:rsidRPr="00437EEB" w:rsidRDefault="00437EEB" w:rsidP="00437EEB">
      <w:pPr>
        <w:pStyle w:val="AssignBody"/>
      </w:pPr>
      <w:r w:rsidRPr="00437EEB">
        <w:t xml:space="preserve">Adair, J. G. (1984). The Hawthorne effect: A reconsideration of the methodological artifact. </w:t>
      </w:r>
      <w:r w:rsidRPr="00437EEB">
        <w:rPr>
          <w:rStyle w:val="Emphasis"/>
          <w:i w:val="0"/>
          <w:iCs w:val="0"/>
        </w:rPr>
        <w:t>Journal of Applied Psychology, 69</w:t>
      </w:r>
      <w:r w:rsidRPr="00437EEB">
        <w:t xml:space="preserve">(2), 334–345. </w:t>
      </w:r>
      <w:hyperlink r:id="rId12" w:tgtFrame="_blank" w:history="1">
        <w:r w:rsidRPr="00437EEB">
          <w:rPr>
            <w:rStyle w:val="Hyperlink"/>
            <w:color w:val="auto"/>
            <w:u w:val="none"/>
          </w:rPr>
          <w:t>https://doi.org/10.1037/0021-9010.69.2.334</w:t>
        </w:r>
      </w:hyperlink>
    </w:p>
    <w:p w14:paraId="3F36E380" w14:textId="37C28CAD" w:rsidR="00437EEB" w:rsidRPr="00437EEB" w:rsidRDefault="00437EEB" w:rsidP="00437EEB">
      <w:pPr>
        <w:pStyle w:val="AssignBody"/>
      </w:pPr>
      <w:r w:rsidRPr="00437EEB">
        <w:t xml:space="preserve">Amador, Julie &amp; Weiland, Ingrid. (2015). What Preservice Teachers and Knowledgeable Others Professionally Notice During Lesson Study. The Teacher Educator. 50. 109-126. 10.1080/08878730.2015.1009221. </w:t>
      </w:r>
    </w:p>
    <w:p w14:paraId="04612116" w14:textId="77777777" w:rsidR="00437EEB" w:rsidRPr="00437EEB" w:rsidRDefault="00437EEB" w:rsidP="00437EEB">
      <w:pPr>
        <w:pStyle w:val="AssignBody"/>
      </w:pPr>
      <w:r w:rsidRPr="00437EEB">
        <w:t xml:space="preserve">Assessment Reform Group (2002b) “Testing, Motivation and Learning” [Accessed 10/02/20 from: </w:t>
      </w:r>
      <w:hyperlink r:id="rId13" w:history="1">
        <w:r w:rsidRPr="00437EEB">
          <w:rPr>
            <w:rStyle w:val="Hyperlink"/>
            <w:color w:val="auto"/>
            <w:u w:val="none"/>
          </w:rPr>
          <w:t>http://k1.ioe.ac.uk/tlrp/arg/TML%20BOOKLET%20complete.pdf</w:t>
        </w:r>
      </w:hyperlink>
      <w:r w:rsidRPr="00437EEB">
        <w:t>]</w:t>
      </w:r>
    </w:p>
    <w:p w14:paraId="1D3F0191" w14:textId="77777777" w:rsidR="00437EEB" w:rsidRPr="00437EEB" w:rsidRDefault="00437EEB" w:rsidP="00437EEB">
      <w:pPr>
        <w:pStyle w:val="AssignBody"/>
      </w:pPr>
      <w:r w:rsidRPr="00437EEB">
        <w:t>Barrett, H.C., 2006. Using electronic portfolios for formative/classroom-based assessment. Classroom Connect Connected Newsletter, 13(2), pp.4-6.</w:t>
      </w:r>
    </w:p>
    <w:p w14:paraId="152BD079" w14:textId="77777777" w:rsidR="00437EEB" w:rsidRPr="00437EEB" w:rsidRDefault="00437EEB" w:rsidP="00437EEB">
      <w:pPr>
        <w:pStyle w:val="AssignBody"/>
      </w:pPr>
      <w:r w:rsidRPr="00437EEB">
        <w:t>Bera.ac.uk. (2014). RESEARCH AND THE TEACHING PROFESSION Building the capacity for a self-improving education system. [online] Available at: https://www.bera.ac.uk/wp-content/uploads/2013/12/BERA-RSA-Research-Teaching-Profession-FULL-REPORT-for-web.pdf?noredirect=1 [Accessed 13 Feb. 2020].</w:t>
      </w:r>
    </w:p>
    <w:p w14:paraId="4CE97FA8" w14:textId="77777777" w:rsidR="00437EEB" w:rsidRPr="00437EEB" w:rsidRDefault="00437EEB" w:rsidP="00437EEB">
      <w:pPr>
        <w:pStyle w:val="AssignBody"/>
      </w:pPr>
      <w:r w:rsidRPr="00437EEB">
        <w:t>Britten, J. S., &amp; Cassady, J. C. (2005). The Technology Integration Assessment Instrument: Understanding planned use of technology by classroom teachers. Computers in the Schools, 22(3–4), 49–61. https://doi.org/10.1300/j025v22n03_05</w:t>
      </w:r>
    </w:p>
    <w:p w14:paraId="34D337BC" w14:textId="77777777" w:rsidR="00437EEB" w:rsidRPr="00437EEB" w:rsidRDefault="00437EEB" w:rsidP="00437EEB">
      <w:pPr>
        <w:pStyle w:val="AssignBody"/>
      </w:pPr>
      <w:r w:rsidRPr="00437EEB">
        <w:t>Brookfield, S. (2005) Becoming a Critically Reflective Teacher. San Francisco. Jossey Bass.</w:t>
      </w:r>
    </w:p>
    <w:p w14:paraId="260DE9C3" w14:textId="77777777" w:rsidR="00437EEB" w:rsidRPr="00437EEB" w:rsidRDefault="00437EEB" w:rsidP="00437EEB">
      <w:pPr>
        <w:pStyle w:val="AssignBody"/>
      </w:pPr>
      <w:r w:rsidRPr="00437EEB">
        <w:t>Carrier, S.J. (2011), “Implementing and integrating effective teaching strategies including features of lesson study in an elementary science methods course”, Teacher Educator, Vol. 46 No. 2, pp. 145-160.</w:t>
      </w:r>
    </w:p>
    <w:p w14:paraId="7ECD95BC" w14:textId="77777777" w:rsidR="00437EEB" w:rsidRPr="00437EEB" w:rsidRDefault="00437EEB" w:rsidP="00437EEB">
      <w:pPr>
        <w:pStyle w:val="AssignBody"/>
      </w:pPr>
      <w:r w:rsidRPr="00437EEB">
        <w:t>Cavin, R., 2008, March. Developing technological pedagogical content knowledge in preservice teachers through microteaching lesson study. In Society for Information Technology &amp; Teacher Education International Conference (pp. 5214-5220). Association for the Advancement of Computing in Education (AACE).</w:t>
      </w:r>
    </w:p>
    <w:p w14:paraId="2FF63A78" w14:textId="77777777" w:rsidR="00437EEB" w:rsidRPr="00437EEB" w:rsidRDefault="00437EEB" w:rsidP="00437EEB">
      <w:pPr>
        <w:pStyle w:val="AssignBody"/>
      </w:pPr>
      <w:r w:rsidRPr="00437EEB">
        <w:t>Chokshi, S. and Fernandez, C., 2004. Challenges to importing Japanese lesson study: Concerns, misconceptions, and nuances. Phi Delta Kappan, 85(7), pp.520-525.</w:t>
      </w:r>
    </w:p>
    <w:p w14:paraId="142DDA19" w14:textId="77777777" w:rsidR="00437EEB" w:rsidRPr="00437EEB" w:rsidRDefault="00437EEB" w:rsidP="00437EEB">
      <w:pPr>
        <w:pStyle w:val="AssignBody"/>
      </w:pPr>
      <w:r w:rsidRPr="00437EEB">
        <w:t>Creswell, J.W., 2002. Educational research: Planning, conducting, and evaluating quantitative (pp. 146-166). Upper Saddle River, NJ: Prentice Hall.</w:t>
      </w:r>
    </w:p>
    <w:p w14:paraId="3E14B604" w14:textId="77777777" w:rsidR="00437EEB" w:rsidRPr="00437EEB" w:rsidRDefault="00437EEB" w:rsidP="00437EEB">
      <w:pPr>
        <w:pStyle w:val="AssignBody"/>
      </w:pPr>
      <w:r w:rsidRPr="00437EEB">
        <w:t>Dearnley, C., Haigh, J. and Fairhall, J., 2008. Using mobile technologies for assessment and learning in practice settings: a case study. Nurse education in practice, 8(3), pp.197-204.</w:t>
      </w:r>
    </w:p>
    <w:p w14:paraId="3B97957D" w14:textId="77777777" w:rsidR="00437EEB" w:rsidRPr="00437EEB" w:rsidRDefault="00437EEB" w:rsidP="00437EEB">
      <w:pPr>
        <w:pStyle w:val="AssignBody"/>
      </w:pPr>
      <w:r w:rsidRPr="00437EEB">
        <w:t>Doig, B., Groves, S., &amp; Fujii, T. (2011). The critical role of task development in Lesson study. In L. Hart, A. Alston &amp; A. Murata (Eds.), Lesson study research and practice in mathematics education (pp. 181–199). Dordrecht, The Netherlands: Springer.</w:t>
      </w:r>
    </w:p>
    <w:p w14:paraId="414EB4AD" w14:textId="77777777" w:rsidR="00437EEB" w:rsidRPr="00437EEB" w:rsidRDefault="00437EEB" w:rsidP="00437EEB">
      <w:pPr>
        <w:pStyle w:val="AssignBody"/>
      </w:pPr>
      <w:r w:rsidRPr="00437EEB">
        <w:t xml:space="preserve">Doig, B., Groves, S., &amp; </w:t>
      </w:r>
      <w:proofErr w:type="gramStart"/>
      <w:r w:rsidRPr="00437EEB">
        <w:t>Machá?ková</w:t>
      </w:r>
      <w:proofErr w:type="gramEnd"/>
      <w:r w:rsidRPr="00437EEB">
        <w:t xml:space="preserve">, J. (2009). Lesson Study – Could it work for you? In J. Novotna &amp; H. Moraová (Eds.), Symposium on elementary mathematics </w:t>
      </w:r>
      <w:proofErr w:type="gramStart"/>
      <w:r w:rsidRPr="00437EEB">
        <w:t>teaching(</w:t>
      </w:r>
      <w:proofErr w:type="gramEnd"/>
      <w:r w:rsidRPr="00437EEB">
        <w:t>pp. 269270). Prague: Charles University Education Faculty.</w:t>
      </w:r>
    </w:p>
    <w:p w14:paraId="037629A4" w14:textId="77777777" w:rsidR="00437EEB" w:rsidRPr="00437EEB" w:rsidRDefault="00437EEB" w:rsidP="00437EEB">
      <w:pPr>
        <w:pStyle w:val="AssignBody"/>
      </w:pPr>
      <w:r w:rsidRPr="00437EEB">
        <w:t>Dye, V. (2011) ‘Reflection, Reflection, Reflection. I’m thinking all the time, why do I need a theory or model of reflection?’, in McGregor, D. and Cartwright, L. (ed.) Developing Reflective Practice: A guide for beginning teachers. Maidenhead: McGraw-Hill Education (pp. 217-234).</w:t>
      </w:r>
    </w:p>
    <w:p w14:paraId="6728356B" w14:textId="77777777" w:rsidR="00437EEB" w:rsidRPr="00437EEB" w:rsidRDefault="00437EEB" w:rsidP="00437EEB">
      <w:pPr>
        <w:pStyle w:val="AssignBody"/>
      </w:pPr>
      <w:r w:rsidRPr="00437EEB">
        <w:t xml:space="preserve">Education Business. (2020). Lack of technology in the classroom hinders literacy and work-readiness. [online] Available at: </w:t>
      </w:r>
      <w:hyperlink r:id="rId14" w:history="1">
        <w:r w:rsidRPr="00437EEB">
          <w:rPr>
            <w:rStyle w:val="Hyperlink"/>
            <w:color w:val="auto"/>
            <w:u w:val="none"/>
          </w:rPr>
          <w:t>https://educationbusinessuk.net/news/25042019/lack-technology-classroom</w:t>
        </w:r>
      </w:hyperlink>
      <w:r w:rsidRPr="00437EEB">
        <w:t xml:space="preserve"> hinders-literacy-and-work-readiness [Accessed 31 Jan. 2020].</w:t>
      </w:r>
    </w:p>
    <w:p w14:paraId="0C963698" w14:textId="77777777" w:rsidR="00437EEB" w:rsidRPr="00437EEB" w:rsidRDefault="00437EEB" w:rsidP="00437EEB">
      <w:pPr>
        <w:pStyle w:val="AssignBody"/>
      </w:pPr>
      <w:r w:rsidRPr="00437EEB">
        <w:rPr>
          <w:rStyle w:val="authors"/>
        </w:rPr>
        <w:t>Eisuke Saito</w:t>
      </w:r>
      <w:r w:rsidRPr="00437EEB">
        <w:t xml:space="preserve"> </w:t>
      </w:r>
      <w:r w:rsidRPr="00437EEB">
        <w:rPr>
          <w:rStyle w:val="date"/>
        </w:rPr>
        <w:t>(2012)</w:t>
      </w:r>
      <w:r w:rsidRPr="00437EEB">
        <w:t xml:space="preserve"> </w:t>
      </w:r>
      <w:r w:rsidRPr="00437EEB">
        <w:rPr>
          <w:rStyle w:val="arttitle"/>
        </w:rPr>
        <w:t>Key issues of lesson study in Japan and the United States: a literature review,</w:t>
      </w:r>
      <w:r w:rsidRPr="00437EEB">
        <w:t xml:space="preserve"> </w:t>
      </w:r>
      <w:r w:rsidRPr="00437EEB">
        <w:rPr>
          <w:rStyle w:val="serialtitle"/>
        </w:rPr>
        <w:t>Professional Development in Education,</w:t>
      </w:r>
      <w:r w:rsidRPr="00437EEB">
        <w:t xml:space="preserve"> </w:t>
      </w:r>
      <w:r w:rsidRPr="00437EEB">
        <w:rPr>
          <w:rStyle w:val="volumeissue"/>
        </w:rPr>
        <w:t>38:5,</w:t>
      </w:r>
      <w:r w:rsidRPr="00437EEB">
        <w:t xml:space="preserve"> </w:t>
      </w:r>
      <w:r w:rsidRPr="00437EEB">
        <w:rPr>
          <w:rStyle w:val="pagerange"/>
        </w:rPr>
        <w:t>777-789,</w:t>
      </w:r>
      <w:r w:rsidRPr="00437EEB">
        <w:t xml:space="preserve"> </w:t>
      </w:r>
      <w:r w:rsidRPr="00437EEB">
        <w:rPr>
          <w:rStyle w:val="doilink"/>
        </w:rPr>
        <w:t xml:space="preserve">DOI: </w:t>
      </w:r>
      <w:hyperlink r:id="rId15" w:history="1">
        <w:r w:rsidRPr="00437EEB">
          <w:rPr>
            <w:rStyle w:val="Hyperlink"/>
            <w:color w:val="auto"/>
            <w:u w:val="none"/>
          </w:rPr>
          <w:t>10.1080/19415257.2012.668857</w:t>
        </w:r>
      </w:hyperlink>
      <w:r w:rsidRPr="00437EEB">
        <w:t xml:space="preserve"> </w:t>
      </w:r>
    </w:p>
    <w:p w14:paraId="79B92E32" w14:textId="77777777" w:rsidR="00437EEB" w:rsidRPr="00437EEB" w:rsidRDefault="00437EEB" w:rsidP="00437EEB">
      <w:pPr>
        <w:pStyle w:val="AssignBody"/>
      </w:pPr>
      <w:r w:rsidRPr="00437EEB">
        <w:t>Fernandez, C., &amp; Yoshida, M. (2004). Lesson study: Acase of a Japanese approach to improving instruction through school-based teacher development. Mahwah, NJ: Lawrence Erlbaum.</w:t>
      </w:r>
    </w:p>
    <w:p w14:paraId="502E3138" w14:textId="77777777" w:rsidR="00437EEB" w:rsidRPr="00437EEB" w:rsidRDefault="00437EEB" w:rsidP="00437EEB">
      <w:pPr>
        <w:pStyle w:val="AssignBody"/>
      </w:pPr>
      <w:r w:rsidRPr="00437EEB">
        <w:t xml:space="preserve">Fernandez, M.L. (2005), “Learning through microteaching lesson study in teacher preparation”, Action in Teacher Education, Vol. 26 No. 4, pp. 36-47. </w:t>
      </w:r>
    </w:p>
    <w:p w14:paraId="17231154" w14:textId="77777777" w:rsidR="00437EEB" w:rsidRPr="00437EEB" w:rsidRDefault="00437EEB" w:rsidP="00437EEB">
      <w:pPr>
        <w:pStyle w:val="AssignBody"/>
      </w:pPr>
      <w:r w:rsidRPr="00437EEB">
        <w:t>Fernandez, M.L. (2010), “Investigating how and what prospective teachers learn through microteaching lesson study”, Teaching and Teacher Education: An International Journal of Research and Studies, Vol. 26 No. 2, pp. 351-362.</w:t>
      </w:r>
    </w:p>
    <w:p w14:paraId="375C9124" w14:textId="77777777" w:rsidR="00437EEB" w:rsidRPr="00437EEB" w:rsidRDefault="00437EEB" w:rsidP="00437EEB">
      <w:pPr>
        <w:pStyle w:val="AssignBody"/>
      </w:pPr>
      <w:r w:rsidRPr="00437EEB">
        <w:t>Fernandez, M.L. and Robinson, M. (2006), “Prospective teachers’ perspectives on microteaching lesson study”, Education, Vol. 127 No. 2, pp. 203-215.</w:t>
      </w:r>
    </w:p>
    <w:p w14:paraId="7538F2CF" w14:textId="77777777" w:rsidR="00437EEB" w:rsidRPr="00437EEB" w:rsidRDefault="00437EEB" w:rsidP="00437EEB">
      <w:pPr>
        <w:pStyle w:val="AssignBody"/>
      </w:pPr>
      <w:r w:rsidRPr="00437EEB">
        <w:t>Froese-Germain, B., 2010. The OECD, PISA and the Impacts on Educational Policy. Canadian Teachers' Federation (NJ1).</w:t>
      </w:r>
    </w:p>
    <w:p w14:paraId="24C7DC26" w14:textId="77777777" w:rsidR="00437EEB" w:rsidRPr="00437EEB" w:rsidRDefault="00437EEB" w:rsidP="00437EEB">
      <w:pPr>
        <w:pStyle w:val="AssignBody"/>
      </w:pPr>
      <w:r w:rsidRPr="00437EEB">
        <w:t>Fujii, T. (2014). Implementing Japanese Lesson Study in foreign countries: misconceptions revealed. Mathematics Teacher Education and Development, 16(1), 65–83.</w:t>
      </w:r>
    </w:p>
    <w:p w14:paraId="2255557B" w14:textId="77777777" w:rsidR="00437EEB" w:rsidRPr="00437EEB" w:rsidRDefault="00437EEB" w:rsidP="00437EEB">
      <w:pPr>
        <w:pStyle w:val="AssignBody"/>
      </w:pPr>
      <w:r w:rsidRPr="00437EEB">
        <w:t>Galletta, A., 2013. Mastering the semi-structured interview and beyond: From research design to analysis and publication (Vol. 18). NYU press.</w:t>
      </w:r>
    </w:p>
    <w:p w14:paraId="3EBD0196" w14:textId="77777777" w:rsidR="00437EEB" w:rsidRPr="00437EEB" w:rsidRDefault="00437EEB" w:rsidP="00437EEB">
      <w:pPr>
        <w:pStyle w:val="AssignBody"/>
      </w:pPr>
      <w:r w:rsidRPr="00437EEB">
        <w:t>Gibbs G (1988). Learning by Doing: A guide to teaching and learning methods. Further Education Unit. Oxford Polytechnic: Oxford.</w:t>
      </w:r>
    </w:p>
    <w:p w14:paraId="73F2B048" w14:textId="77777777" w:rsidR="00437EEB" w:rsidRPr="00437EEB" w:rsidRDefault="00437EEB" w:rsidP="00437EEB">
      <w:pPr>
        <w:pStyle w:val="AssignBody"/>
      </w:pPr>
      <w:r w:rsidRPr="00437EEB">
        <w:t>Grin, J. and Van de Graaf, H., 1996. Technology assessment as learning. Science, Technology, &amp; Human Values, 21(1), pp.72-99.</w:t>
      </w:r>
    </w:p>
    <w:p w14:paraId="40619D5D" w14:textId="77777777" w:rsidR="00437EEB" w:rsidRPr="00437EEB" w:rsidRDefault="00437EEB" w:rsidP="00437EEB">
      <w:pPr>
        <w:pStyle w:val="AssignBody"/>
      </w:pPr>
      <w:r w:rsidRPr="00437EEB">
        <w:t>Groves, S., &amp; Doig, B. (2010). Adapting and implementing Japanese Lesson Study – Some affordances and constraints. In Y. Shimizu, Y. Sekiguchi &amp; K. Hino (Eds.), Proceedings of the Fifth East Asia Regional Conference on Mathematics Education: In Search of Excellence in Mathematics Education (Vol. 2, pp. 699–706). Tokyo, Japan.</w:t>
      </w:r>
    </w:p>
    <w:p w14:paraId="7BDEBF24" w14:textId="77777777" w:rsidR="00437EEB" w:rsidRPr="00437EEB" w:rsidRDefault="00437EEB" w:rsidP="00437EEB">
      <w:pPr>
        <w:pStyle w:val="AssignBody"/>
      </w:pPr>
      <w:r w:rsidRPr="00437EEB">
        <w:t>Hart, L. C., Alston, A., Murata, A. (Eds.). (2011). Lesson study research and practice in mathematics education. New York: Springer.</w:t>
      </w:r>
    </w:p>
    <w:p w14:paraId="2B57B76C" w14:textId="77777777" w:rsidR="00437EEB" w:rsidRPr="00437EEB" w:rsidRDefault="00437EEB" w:rsidP="00437EEB">
      <w:pPr>
        <w:pStyle w:val="AssignBody"/>
      </w:pPr>
      <w:r w:rsidRPr="00437EEB">
        <w:t>Ho, A.D. and Kane, T.J., 2013. The Reliability of Classroom Observations by School Personnel. Research Paper. MET Project. Bill &amp; Melinda Gates Foundation.</w:t>
      </w:r>
    </w:p>
    <w:p w14:paraId="12A38034" w14:textId="5EBA75EB" w:rsidR="00437EEB" w:rsidRPr="00437EEB" w:rsidRDefault="00437EEB" w:rsidP="00437EEB">
      <w:pPr>
        <w:pStyle w:val="AssignBody"/>
      </w:pPr>
      <w:r w:rsidRPr="00437EEB">
        <w:t xml:space="preserve">Hollingsworth, H., &amp; Oliver, D. (2005). Lesson study: Aprofessional learning model that </w:t>
      </w:r>
      <w:proofErr w:type="gramStart"/>
      <w:r w:rsidRPr="00437EEB">
        <w:t>actually makes</w:t>
      </w:r>
      <w:proofErr w:type="gramEnd"/>
      <w:r w:rsidRPr="00437EEB">
        <w:t xml:space="preserve"> a difference. In J. Mousley, L. Bragg &amp; C. Campbell (Eds.), Mathematics – Celebrating Achievement: 2005 MAV Conference (pp. 168–175). Melbourne: MAV</w:t>
      </w:r>
    </w:p>
    <w:p w14:paraId="1678A3C0" w14:textId="77777777" w:rsidR="00437EEB" w:rsidRPr="00437EEB" w:rsidRDefault="00437EEB" w:rsidP="00437EEB">
      <w:pPr>
        <w:pStyle w:val="AssignBody"/>
      </w:pPr>
      <w:r w:rsidRPr="00437EEB">
        <w:t xml:space="preserve">Isoda, M., 2007. A brief history in mathematics Lesson Study in Japan. In: M. Isoda, Y. Ohara, and T. Miyakawa, eds. Japanese Lesson Study in mathematics NJ: World Scientific. </w:t>
      </w:r>
    </w:p>
    <w:p w14:paraId="2D2EBB2B" w14:textId="77777777" w:rsidR="00437EEB" w:rsidRPr="00437EEB" w:rsidRDefault="00437EEB" w:rsidP="00437EEB">
      <w:pPr>
        <w:pStyle w:val="AssignBody"/>
      </w:pPr>
      <w:r w:rsidRPr="00437EEB">
        <w:t>Isoda, M., et al., 2007. Japanese Lesson Study in mathematics: its impact, diversity and potential for educational improvement. Singapore: World Scientific Publishing Co., Pte. Ltd.</w:t>
      </w:r>
    </w:p>
    <w:p w14:paraId="74CF1FDC" w14:textId="77777777" w:rsidR="00437EEB" w:rsidRPr="00437EEB" w:rsidRDefault="00437EEB" w:rsidP="00437EEB">
      <w:pPr>
        <w:pStyle w:val="AssignBody"/>
        <w:rPr>
          <w:rFonts w:ascii="Source Sans Pro" w:hAnsi="Source Sans Pro"/>
          <w:shd w:val="clear" w:color="auto" w:fill="F5F5F5"/>
        </w:rPr>
      </w:pPr>
      <w:r w:rsidRPr="00437EEB">
        <w:t>Keppell, M., Au, E., Ma, A. and Chan, C., 2006. Peer learning and learning</w:t>
      </w:r>
      <w:r w:rsidRPr="00437EEB">
        <w:rPr>
          <w:rFonts w:ascii="Cambria Math" w:hAnsi="Cambria Math" w:cs="Cambria Math"/>
        </w:rPr>
        <w:t>‐</w:t>
      </w:r>
      <w:r w:rsidRPr="00437EEB">
        <w:t>oriented assessment in technology</w:t>
      </w:r>
      <w:r w:rsidRPr="00437EEB">
        <w:rPr>
          <w:rFonts w:ascii="Cambria Math" w:hAnsi="Cambria Math" w:cs="Cambria Math"/>
        </w:rPr>
        <w:t>‐</w:t>
      </w:r>
      <w:r w:rsidRPr="00437EEB">
        <w:t>enhanced environments. Assessment &amp; Evaluation in Higher Education</w:t>
      </w:r>
      <w:r w:rsidRPr="00437EEB">
        <w:rPr>
          <w:shd w:val="clear" w:color="auto" w:fill="FFFFFF"/>
        </w:rPr>
        <w:t xml:space="preserve">, </w:t>
      </w:r>
      <w:r w:rsidRPr="00437EEB">
        <w:t>31</w:t>
      </w:r>
      <w:r w:rsidRPr="00437EEB">
        <w:rPr>
          <w:shd w:val="clear" w:color="auto" w:fill="FFFFFF"/>
        </w:rPr>
        <w:t>(4), pp.453-464.</w:t>
      </w:r>
    </w:p>
    <w:p w14:paraId="49062073" w14:textId="77777777" w:rsidR="00437EEB" w:rsidRPr="00437EEB" w:rsidRDefault="00437EEB" w:rsidP="00437EEB">
      <w:pPr>
        <w:pStyle w:val="AssignBody"/>
      </w:pPr>
      <w:r w:rsidRPr="00437EEB">
        <w:rPr>
          <w:shd w:val="clear" w:color="auto" w:fill="FFFFFF"/>
        </w:rPr>
        <w:t xml:space="preserve">Lacina, J., 2009. Technology in the classroom interactive whiteboards: Creating higher-level, </w:t>
      </w:r>
      <w:r w:rsidRPr="00437EEB">
        <w:t xml:space="preserve">technological </w:t>
      </w:r>
      <w:proofErr w:type="gramStart"/>
      <w:r w:rsidRPr="00437EEB">
        <w:t>thinkers?.</w:t>
      </w:r>
      <w:proofErr w:type="gramEnd"/>
      <w:r w:rsidRPr="00437EEB">
        <w:t xml:space="preserve"> Childhood Education, 85(4), pp.270-272.</w:t>
      </w:r>
    </w:p>
    <w:p w14:paraId="0B17BA6A" w14:textId="77777777" w:rsidR="00437EEB" w:rsidRPr="00437EEB" w:rsidRDefault="00437EEB" w:rsidP="00437EEB">
      <w:pPr>
        <w:pStyle w:val="AssignBody"/>
      </w:pPr>
      <w:r w:rsidRPr="00437EEB">
        <w:t>Leech, B.L., 2002. Asking questions: Techniques for semistructured interviews. PS: Political Science &amp; Politics, 35(4), pp.665-668.</w:t>
      </w:r>
    </w:p>
    <w:p w14:paraId="285737CC" w14:textId="77777777" w:rsidR="00437EEB" w:rsidRPr="00437EEB" w:rsidRDefault="00437EEB" w:rsidP="00437EEB">
      <w:pPr>
        <w:pStyle w:val="AssignBody"/>
      </w:pPr>
      <w:r w:rsidRPr="00437EEB">
        <w:t>Lewis, Catherine &amp; Perry, Rebecca &amp; Hurd, Jacqueline. (2009). Improving mathematics instruction through lesson study: A theoretical model and North American case. Journal of Mathematics Teacher Education. 12. 285-304. 10.1007/s10857-009-9102-7.</w:t>
      </w:r>
    </w:p>
    <w:p w14:paraId="350444EF" w14:textId="77777777" w:rsidR="00437EEB" w:rsidRPr="00437EEB" w:rsidRDefault="00437EEB" w:rsidP="00437EEB">
      <w:pPr>
        <w:pStyle w:val="AssignBody"/>
      </w:pPr>
      <w:r w:rsidRPr="00437EEB">
        <w:t>Lewis, Catherine &amp; Perry, Rebecca &amp; Murata, Aki. (2006). How Should Research Contribute to Instructional Improvement? The Case of Lesson Study. Educational Researcher. 35. 3-14. 10.3102/0013189X035003003.</w:t>
      </w:r>
    </w:p>
    <w:p w14:paraId="7FD544A9" w14:textId="77777777" w:rsidR="00437EEB" w:rsidRPr="00437EEB" w:rsidRDefault="00437EEB" w:rsidP="00437EEB">
      <w:pPr>
        <w:pStyle w:val="AssignBody"/>
      </w:pPr>
      <w:r w:rsidRPr="00437EEB">
        <w:t>McFarlane, A., 2014. Authentic learning for the digital generation: realising the potential of technology in the classroom. Routledge.</w:t>
      </w:r>
    </w:p>
    <w:p w14:paraId="33B7FE4F" w14:textId="77777777" w:rsidR="00437EEB" w:rsidRPr="00437EEB" w:rsidRDefault="00437EEB" w:rsidP="00437EEB">
      <w:pPr>
        <w:pStyle w:val="AssignBody"/>
      </w:pPr>
      <w:r w:rsidRPr="00437EEB">
        <w:t>Melville, M.D. (2017). Kyozaikenkyu: An In-Depth Look into Japanese Educators' Daily Planning Practices.</w:t>
      </w:r>
    </w:p>
    <w:p w14:paraId="34A3DA5E" w14:textId="77777777" w:rsidR="00437EEB" w:rsidRPr="00437EEB" w:rsidRDefault="00437EEB" w:rsidP="00437EEB">
      <w:pPr>
        <w:pStyle w:val="AssignBody"/>
      </w:pPr>
      <w:r w:rsidRPr="00437EEB">
        <w:t>Mills, G.E., 2000. Action research: A guide for the teacher researcher. Prentice-Hall, Inc., One Lake Street, Upper Saddle River, New Jersey 07458.</w:t>
      </w:r>
    </w:p>
    <w:p w14:paraId="0CFD0E6F" w14:textId="77777777" w:rsidR="00437EEB" w:rsidRPr="00437EEB" w:rsidRDefault="00437EEB" w:rsidP="00437EEB">
      <w:pPr>
        <w:pStyle w:val="AssignBody"/>
      </w:pPr>
      <w:hyperlink r:id="rId16" w:tooltip="Wai Ming Cheung" w:history="1">
        <w:r w:rsidRPr="00437EEB">
          <w:rPr>
            <w:rStyle w:val="Hyperlink"/>
            <w:color w:val="auto"/>
            <w:u w:val="none"/>
          </w:rPr>
          <w:t>Ming Cheung, W.</w:t>
        </w:r>
      </w:hyperlink>
      <w:r w:rsidRPr="00437EEB">
        <w:t xml:space="preserve"> and </w:t>
      </w:r>
      <w:hyperlink r:id="rId17" w:tooltip="Wing Yee Wong" w:history="1">
        <w:r w:rsidRPr="00437EEB">
          <w:rPr>
            <w:rStyle w:val="Hyperlink"/>
            <w:color w:val="auto"/>
            <w:u w:val="none"/>
          </w:rPr>
          <w:t>Yee Wong, W.</w:t>
        </w:r>
      </w:hyperlink>
      <w:r w:rsidRPr="00437EEB">
        <w:t xml:space="preserve"> (2014), "Does Lesson Study work? : A systematic review on the effects of Lesson Study and Learning Study on teachers and students", </w:t>
      </w:r>
      <w:hyperlink r:id="rId18" w:history="1">
        <w:r w:rsidRPr="00437EEB">
          <w:rPr>
            <w:rStyle w:val="Hyperlink"/>
            <w:color w:val="auto"/>
            <w:u w:val="none"/>
          </w:rPr>
          <w:t>International Journal for Lesson and Learning Studies</w:t>
        </w:r>
      </w:hyperlink>
      <w:r w:rsidRPr="00437EEB">
        <w:t xml:space="preserve">, Vol. 3 No. 2, pp. 137-149. </w:t>
      </w:r>
      <w:hyperlink r:id="rId19" w:tooltip="DOI: https://doi.org/10.1108/IJLLS-05-2013-0024" w:history="1">
        <w:r w:rsidRPr="00437EEB">
          <w:rPr>
            <w:rStyle w:val="Hyperlink"/>
            <w:color w:val="auto"/>
            <w:u w:val="none"/>
          </w:rPr>
          <w:t>https://doi.org/10.1108/IJLLS-05-2013-0024</w:t>
        </w:r>
      </w:hyperlink>
    </w:p>
    <w:p w14:paraId="631F7A56" w14:textId="77777777" w:rsidR="00437EEB" w:rsidRPr="00437EEB" w:rsidRDefault="00437EEB" w:rsidP="00437EEB">
      <w:pPr>
        <w:pStyle w:val="AssignBody"/>
      </w:pPr>
      <w:r w:rsidRPr="00437EEB">
        <w:t>National Literacy Trust. (2020). Lack of access to technology in schools is holding pupils back | National Literacy Trust. [online] Available at: https://literacytrust.org.uk/news/lack-access-technology-schools-holding-pupils-back/ [Accessed 11 Feb. 2020].</w:t>
      </w:r>
    </w:p>
    <w:p w14:paraId="49A5100E" w14:textId="77777777" w:rsidR="00437EEB" w:rsidRPr="00437EEB" w:rsidRDefault="00437EEB" w:rsidP="00437EEB">
      <w:pPr>
        <w:pStyle w:val="AssignBody"/>
      </w:pPr>
      <w:r w:rsidRPr="00437EEB">
        <w:t>NEU. (n.d.). Teachers’ workload. [online] Available at: https://neu.org.uk/policy/teachers-workload [Accessed 9 Feb. 2020].</w:t>
      </w:r>
    </w:p>
    <w:p w14:paraId="5C65C89E" w14:textId="77777777" w:rsidR="00437EEB" w:rsidRPr="00437EEB" w:rsidRDefault="00437EEB" w:rsidP="00437EEB">
      <w:pPr>
        <w:pStyle w:val="AssignBody"/>
      </w:pPr>
      <w:r w:rsidRPr="00437EEB">
        <w:t>Ofsted, (2019). Teacher well-being at work in schools and further education providers. [online] Available at: https://assets.publishing.service.gov.uk/government/uploads/system/uploads/attachment_data/file/819314/Teacher_well-being_report_110719F.pdfhttps://assets.publishing.service.gov.uk/government/uploads/system/uploads/attachment_data/file/819314/Teacher_well-being_report_110719F.pdf [Accessed 11 Feb. 2020].</w:t>
      </w:r>
    </w:p>
    <w:p w14:paraId="47CE45F1" w14:textId="77777777" w:rsidR="00437EEB" w:rsidRPr="00437EEB" w:rsidRDefault="00437EEB" w:rsidP="00437EEB">
      <w:pPr>
        <w:pStyle w:val="AssignBody"/>
      </w:pPr>
      <w:r w:rsidRPr="00437EEB">
        <w:t>Schipper, Tijmen. (2019). Teacher professional learning through Lesson Study. An examination of Lesson Study in relation to adaptive teaching competence, teacher self-efficacy, and the school context. 10.33612/diss.98636764.</w:t>
      </w:r>
    </w:p>
    <w:p w14:paraId="4F5E01A5" w14:textId="77777777" w:rsidR="00437EEB" w:rsidRPr="00437EEB" w:rsidRDefault="00437EEB" w:rsidP="00437EEB">
      <w:pPr>
        <w:pStyle w:val="AssignBody"/>
      </w:pPr>
      <w:r w:rsidRPr="00437EEB">
        <w:t>Shawa, Lester. (2017). Ethics in educational research.</w:t>
      </w:r>
    </w:p>
    <w:p w14:paraId="647201A3" w14:textId="77777777" w:rsidR="00437EEB" w:rsidRPr="00437EEB" w:rsidRDefault="00437EEB" w:rsidP="00437EEB">
      <w:pPr>
        <w:pStyle w:val="AssignBody"/>
      </w:pPr>
      <w:r w:rsidRPr="00437EEB">
        <w:t>Skultety, L., Gonzalez, G. and Vargas, G., 2017. Using technology to support teachers’ lesson adaptations during lesson study. Journal of Technology and Teacher Education, 25(2), pp.185-213.</w:t>
      </w:r>
    </w:p>
    <w:p w14:paraId="04B5BD3C" w14:textId="77777777" w:rsidR="00437EEB" w:rsidRPr="00437EEB" w:rsidRDefault="00437EEB" w:rsidP="00437EEB">
      <w:pPr>
        <w:pStyle w:val="AssignBody"/>
      </w:pPr>
      <w:r w:rsidRPr="00437EEB">
        <w:t>Stepanek, J., Appel, G., Leong, M. T., &amp; Mitchell, M. (2007). Leading Lesson Study: a practical guide for teachers and facilitators. Thousand Oaks, CA: Corwin Press.</w:t>
      </w:r>
    </w:p>
    <w:p w14:paraId="4B29534E" w14:textId="77777777" w:rsidR="00437EEB" w:rsidRPr="00437EEB" w:rsidRDefault="00437EEB" w:rsidP="00437EEB">
      <w:pPr>
        <w:pStyle w:val="AssignBody"/>
      </w:pPr>
      <w:r w:rsidRPr="00437EEB">
        <w:t xml:space="preserve">Stigler, James &amp; Hiebert, James. (1999). The teaching gap: Best ideas from the world’s teachers for improving education in the classroom. New York, NY: The Free Press. </w:t>
      </w:r>
      <w:hyperlink r:id="rId20" w:history="1">
        <w:r w:rsidRPr="00437EEB">
          <w:rPr>
            <w:rStyle w:val="Hyperlink"/>
            <w:color w:val="auto"/>
            <w:u w:val="none"/>
          </w:rPr>
          <w:t>http://lst-iiep.iiep-unesco.org/cgi-bin/wwwi32.exe/[in=epidoc1.in]/?t2000=011347/(100)</w:t>
        </w:r>
      </w:hyperlink>
      <w:r w:rsidRPr="00437EEB">
        <w:t>.</w:t>
      </w:r>
    </w:p>
    <w:p w14:paraId="0B6DAD22" w14:textId="77777777" w:rsidR="00437EEB" w:rsidRPr="00437EEB" w:rsidRDefault="00437EEB" w:rsidP="00437EEB">
      <w:pPr>
        <w:pStyle w:val="AssignBody"/>
      </w:pPr>
      <w:r w:rsidRPr="00437EEB">
        <w:t xml:space="preserve">Takahashi, Akihiko &amp; Watanabe, Tad &amp; Yoshida, M. &amp; Wand-Iverson, </w:t>
      </w:r>
      <w:proofErr w:type="gramStart"/>
      <w:r w:rsidRPr="00437EEB">
        <w:t>P..</w:t>
      </w:r>
      <w:proofErr w:type="gramEnd"/>
      <w:r w:rsidRPr="00437EEB">
        <w:t xml:space="preserve"> (2005). Improving Content and Pedagogical Knowledge through Kyozaikenkyu.</w:t>
      </w:r>
    </w:p>
    <w:p w14:paraId="0997A402" w14:textId="77777777" w:rsidR="00437EEB" w:rsidRPr="00437EEB" w:rsidRDefault="00437EEB" w:rsidP="00437EEB">
      <w:pPr>
        <w:pStyle w:val="AssignBody"/>
      </w:pPr>
      <w:r w:rsidRPr="00437EEB">
        <w:t>Takahashi, Akihiko. (2014). The Role of the Knowledgeable Other in Lesson Study: Examining the Final Comments of Experienced Lesson Study Practitioners. Mathematics Teacher Education and Development. 16. 4-21.</w:t>
      </w:r>
    </w:p>
    <w:p w14:paraId="197B8C1D" w14:textId="77777777" w:rsidR="00437EEB" w:rsidRPr="00437EEB" w:rsidRDefault="00437EEB" w:rsidP="00437EEB">
      <w:pPr>
        <w:pStyle w:val="AssignBody"/>
      </w:pPr>
      <w:r w:rsidRPr="00437EEB">
        <w:t>The Guardian. (n.d.). Teachers' workload | Education | The Guardian. [online] Available at: https://www.theguardian.com/education/teachersworkload [Accessed 5 Feb. 2020].</w:t>
      </w:r>
    </w:p>
    <w:p w14:paraId="33BAEE88" w14:textId="77777777" w:rsidR="00437EEB" w:rsidRPr="00437EEB" w:rsidRDefault="00437EEB" w:rsidP="00437EEB">
      <w:pPr>
        <w:pStyle w:val="AssignBody"/>
      </w:pPr>
      <w:r w:rsidRPr="00437EEB">
        <w:t>The Lesson Study Group. (2020). Home - The Lesson Study Group. [online] Available at: https://lessonresearch.net [Accessed 12 Feb. 2020].</w:t>
      </w:r>
    </w:p>
    <w:p w14:paraId="255DA183" w14:textId="77777777" w:rsidR="00437EEB" w:rsidRPr="00437EEB" w:rsidRDefault="00437EEB" w:rsidP="00437EEB">
      <w:pPr>
        <w:pStyle w:val="AssignBody"/>
      </w:pPr>
      <w:r w:rsidRPr="00437EEB">
        <w:t xml:space="preserve">Trends in International Mathematics and Science Study. (1999). TIMSS 1999 assessment results. Retrieved June 4, 2010, from </w:t>
      </w:r>
      <w:hyperlink r:id="rId21" w:history="1">
        <w:r w:rsidRPr="00437EEB">
          <w:rPr>
            <w:rStyle w:val="Hyperlink"/>
            <w:color w:val="auto"/>
            <w:u w:val="none"/>
          </w:rPr>
          <w:t>http://nces.ed.gov/timss/</w:t>
        </w:r>
      </w:hyperlink>
    </w:p>
    <w:p w14:paraId="1409EAB8" w14:textId="77777777" w:rsidR="00437EEB" w:rsidRPr="00437EEB" w:rsidRDefault="00437EEB" w:rsidP="00437EEB">
      <w:pPr>
        <w:pStyle w:val="AssignBody"/>
      </w:pPr>
      <w:r w:rsidRPr="00437EEB">
        <w:t>W. Carr, S. Kemmis, (1983) Becoming critical: knowing through action research, Deakin University Press, Victoria. 4</w:t>
      </w:r>
    </w:p>
    <w:p w14:paraId="5B7E5D4C" w14:textId="77777777" w:rsidR="00437EEB" w:rsidRPr="00437EEB" w:rsidRDefault="00437EEB" w:rsidP="00437EEB">
      <w:pPr>
        <w:pStyle w:val="AssignBody"/>
      </w:pPr>
      <w:r w:rsidRPr="00437EEB">
        <w:t xml:space="preserve">Wales Online. (2014). Estyn workload is 'destroying' teachers' morale. [online] Available at: https://www.walesonline.co.uk/news/wales-news/teachers-hit-out-estyn-workload-7922160 [Accessed 9 </w:t>
      </w:r>
      <w:r w:rsidRPr="00437EEB">
        <w:t>Feb. 2020</w:t>
      </w:r>
      <w:r w:rsidRPr="00437EEB">
        <w:t>].</w:t>
      </w:r>
    </w:p>
    <w:p w14:paraId="0D2F6EA6" w14:textId="760E075A" w:rsidR="00E611D9" w:rsidRPr="00437EEB" w:rsidRDefault="00437EEB" w:rsidP="00437EEB">
      <w:pPr>
        <w:pStyle w:val="AssignBody"/>
      </w:pPr>
      <w:r w:rsidRPr="00437EEB">
        <w:t>Watanabe, Tad &amp; Takahashi, Akihiko &amp; Yoshida, Makoto. (2008). Kyozaikenkyu: A Critical Step for Conducting Effective Lesson Study and Beyond. Inquiry into Mathematics Teacher Education, Association of Mathematics Teacher Educators (AMTE), Monograph Series. 5. 131-142.</w:t>
      </w:r>
    </w:p>
    <w:sectPr w:rsidR="00E611D9" w:rsidRPr="00437EEB">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16D385" w14:textId="77777777" w:rsidR="00081654" w:rsidRDefault="00081654" w:rsidP="00E611D9">
      <w:pPr>
        <w:spacing w:after="0" w:line="240" w:lineRule="auto"/>
      </w:pPr>
      <w:r>
        <w:separator/>
      </w:r>
    </w:p>
  </w:endnote>
  <w:endnote w:type="continuationSeparator" w:id="0">
    <w:p w14:paraId="5A0C2308" w14:textId="77777777" w:rsidR="00081654" w:rsidRDefault="00081654"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inherit">
    <w:altName w:val="Cambri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4CF3EC72" w:rsidR="009828D8" w:rsidRDefault="009828D8">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9828D8" w:rsidRDefault="009828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9E4407" w14:textId="77777777" w:rsidR="00081654" w:rsidRDefault="00081654" w:rsidP="00E611D9">
      <w:pPr>
        <w:spacing w:after="0" w:line="240" w:lineRule="auto"/>
      </w:pPr>
      <w:r>
        <w:separator/>
      </w:r>
    </w:p>
  </w:footnote>
  <w:footnote w:type="continuationSeparator" w:id="0">
    <w:p w14:paraId="0453AF57" w14:textId="77777777" w:rsidR="00081654" w:rsidRDefault="00081654"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43CF72" w14:textId="04B0F91A" w:rsidR="009828D8" w:rsidRDefault="009828D8">
    <w:pPr>
      <w:pStyle w:val="Header"/>
    </w:pPr>
    <w:r>
      <w:t>ECAD7004/C</w:t>
    </w:r>
  </w:p>
  <w:p w14:paraId="31028CA5" w14:textId="60CD5227" w:rsidR="009828D8" w:rsidRDefault="009828D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81654"/>
    <w:rsid w:val="002229F0"/>
    <w:rsid w:val="00437EEB"/>
    <w:rsid w:val="00570AB9"/>
    <w:rsid w:val="006419C3"/>
    <w:rsid w:val="006434FB"/>
    <w:rsid w:val="006B5861"/>
    <w:rsid w:val="00711114"/>
    <w:rsid w:val="00755E37"/>
    <w:rsid w:val="007B2DA1"/>
    <w:rsid w:val="00817F7A"/>
    <w:rsid w:val="00916828"/>
    <w:rsid w:val="009828D8"/>
    <w:rsid w:val="00B457F0"/>
    <w:rsid w:val="00BC651E"/>
    <w:rsid w:val="00C4798A"/>
    <w:rsid w:val="00CD1240"/>
    <w:rsid w:val="00D638DF"/>
    <w:rsid w:val="00D83A40"/>
    <w:rsid w:val="00E61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437E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5E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70AB9"/>
    <w:rPr>
      <w:color w:val="0563C1" w:themeColor="hyperlink"/>
      <w:u w:val="single"/>
    </w:rPr>
  </w:style>
  <w:style w:type="paragraph" w:styleId="Caption">
    <w:name w:val="caption"/>
    <w:basedOn w:val="Normal"/>
    <w:next w:val="Normal"/>
    <w:uiPriority w:val="35"/>
    <w:unhideWhenUsed/>
    <w:qFormat/>
    <w:rsid w:val="00570AB9"/>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437EEB"/>
    <w:rPr>
      <w:rFonts w:asciiTheme="majorHAnsi" w:eastAsiaTheme="majorEastAsia" w:hAnsiTheme="majorHAnsi" w:cstheme="majorBidi"/>
      <w:color w:val="2F5496" w:themeColor="accent1" w:themeShade="BF"/>
      <w:sz w:val="26"/>
      <w:szCs w:val="26"/>
    </w:rPr>
  </w:style>
  <w:style w:type="character" w:customStyle="1" w:styleId="authors">
    <w:name w:val="authors"/>
    <w:basedOn w:val="DefaultParagraphFont"/>
    <w:rsid w:val="00437EEB"/>
  </w:style>
  <w:style w:type="character" w:customStyle="1" w:styleId="date">
    <w:name w:val="date"/>
    <w:basedOn w:val="DefaultParagraphFont"/>
    <w:rsid w:val="00437EEB"/>
  </w:style>
  <w:style w:type="character" w:customStyle="1" w:styleId="arttitle">
    <w:name w:val="art_title"/>
    <w:basedOn w:val="DefaultParagraphFont"/>
    <w:rsid w:val="00437EEB"/>
  </w:style>
  <w:style w:type="character" w:customStyle="1" w:styleId="serialtitle">
    <w:name w:val="serial_title"/>
    <w:basedOn w:val="DefaultParagraphFont"/>
    <w:rsid w:val="00437EEB"/>
  </w:style>
  <w:style w:type="character" w:customStyle="1" w:styleId="volumeissue">
    <w:name w:val="volume_issue"/>
    <w:basedOn w:val="DefaultParagraphFont"/>
    <w:rsid w:val="00437EEB"/>
  </w:style>
  <w:style w:type="character" w:customStyle="1" w:styleId="pagerange">
    <w:name w:val="page_range"/>
    <w:basedOn w:val="DefaultParagraphFont"/>
    <w:rsid w:val="00437EEB"/>
  </w:style>
  <w:style w:type="character" w:customStyle="1" w:styleId="doilink">
    <w:name w:val="doi_link"/>
    <w:basedOn w:val="DefaultParagraphFont"/>
    <w:rsid w:val="00437EEB"/>
  </w:style>
  <w:style w:type="character" w:styleId="Emphasis">
    <w:name w:val="Emphasis"/>
    <w:basedOn w:val="DefaultParagraphFont"/>
    <w:uiPriority w:val="20"/>
    <w:qFormat/>
    <w:rsid w:val="00437EE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7650893">
      <w:bodyDiv w:val="1"/>
      <w:marLeft w:val="0"/>
      <w:marRight w:val="0"/>
      <w:marTop w:val="0"/>
      <w:marBottom w:val="0"/>
      <w:divBdr>
        <w:top w:val="none" w:sz="0" w:space="0" w:color="auto"/>
        <w:left w:val="none" w:sz="0" w:space="0" w:color="auto"/>
        <w:bottom w:val="none" w:sz="0" w:space="0" w:color="auto"/>
        <w:right w:val="none" w:sz="0" w:space="0" w:color="auto"/>
      </w:divBdr>
    </w:div>
    <w:div w:id="1992905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k1.ioe.ac.uk/tlrp/arg/TML%20BOOKLET%20complete.pdf" TargetMode="External"/><Relationship Id="rId18" Type="http://schemas.openxmlformats.org/officeDocument/2006/relationships/hyperlink" Target="https://www.emerald.com/insight/publication/issn/2046-8253" TargetMode="External"/><Relationship Id="rId3" Type="http://schemas.openxmlformats.org/officeDocument/2006/relationships/customXml" Target="../customXml/item3.xml"/><Relationship Id="rId21" Type="http://schemas.openxmlformats.org/officeDocument/2006/relationships/hyperlink" Target="http://nces.ed.gov/timss/" TargetMode="External"/><Relationship Id="rId7" Type="http://schemas.openxmlformats.org/officeDocument/2006/relationships/footnotes" Target="footnotes.xml"/><Relationship Id="rId12" Type="http://schemas.openxmlformats.org/officeDocument/2006/relationships/hyperlink" Target="https://psycnet.apa.org/doi/10.1037/0021-9010.69.2.334" TargetMode="External"/><Relationship Id="rId17" Type="http://schemas.openxmlformats.org/officeDocument/2006/relationships/hyperlink" Target="https://www.emerald.com/insight/search?q=Wing%20Yee%20Wong"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emerald.com/insight/search?q=Wai%20Ming%20Cheung" TargetMode="External"/><Relationship Id="rId20" Type="http://schemas.openxmlformats.org/officeDocument/2006/relationships/hyperlink" Target="http://lst-iiep.iiep-unesco.org/cgi-bin/wwwi32.exe/%5bin=epidoc1.in%5d/?t2000=011347/(10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oi.org/10.1080/19415257.2012.668857" TargetMode="External"/><Relationship Id="rId23" Type="http://schemas.openxmlformats.org/officeDocument/2006/relationships/footer" Target="footer1.xml"/><Relationship Id="rId10" Type="http://schemas.openxmlformats.org/officeDocument/2006/relationships/hyperlink" Target="https://www.theguardian.com/education/teachersworkload" TargetMode="External"/><Relationship Id="rId19" Type="http://schemas.openxmlformats.org/officeDocument/2006/relationships/hyperlink" Target="https://doi.org/10.1108/IJLLS-05-2013-0024" TargetMode="External"/><Relationship Id="rId4" Type="http://schemas.openxmlformats.org/officeDocument/2006/relationships/styles" Target="styles.xml"/><Relationship Id="rId9" Type="http://schemas.openxmlformats.org/officeDocument/2006/relationships/hyperlink" Target="https://lessonresearch.net/" TargetMode="External"/><Relationship Id="rId14" Type="http://schemas.openxmlformats.org/officeDocument/2006/relationships/hyperlink" Target="https://educationbusinessuk.net/news/25042019/lack-technology-classroom"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17</Pages>
  <Words>6468</Words>
  <Characters>36870</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Carys Matthews (1904367)</cp:lastModifiedBy>
  <cp:revision>9</cp:revision>
  <dcterms:created xsi:type="dcterms:W3CDTF">2020-02-22T20:54:00Z</dcterms:created>
  <dcterms:modified xsi:type="dcterms:W3CDTF">2020-02-23T20:24:00Z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