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F7A" w:rsidRDefault="00D62F7A" w:rsidP="00522ACE">
      <w:pPr>
        <w:jc w:val="center"/>
        <w:rPr>
          <w:rFonts w:cs="Arial"/>
          <w:b/>
          <w:sz w:val="28"/>
          <w:lang w:val="en-GB"/>
        </w:rPr>
      </w:pPr>
    </w:p>
    <w:p w:rsidR="00522ACE" w:rsidRDefault="00522ACE" w:rsidP="00522ACE">
      <w:pPr>
        <w:jc w:val="center"/>
        <w:rPr>
          <w:rFonts w:cs="Arial"/>
          <w:b/>
          <w:sz w:val="28"/>
          <w:lang w:val="en-GB"/>
        </w:rPr>
      </w:pPr>
      <w:r>
        <w:rPr>
          <w:noProof/>
          <w:lang w:val="en-GB"/>
        </w:rPr>
        <w:drawing>
          <wp:inline distT="0" distB="0" distL="0" distR="0" wp14:anchorId="2305622E" wp14:editId="20943E07">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rsidR="00522ACE" w:rsidRDefault="00522ACE" w:rsidP="00522ACE">
      <w:pPr>
        <w:jc w:val="center"/>
        <w:rPr>
          <w:rFonts w:cs="Arial"/>
          <w:b/>
          <w:sz w:val="28"/>
          <w:lang w:val="en-GB"/>
        </w:rPr>
      </w:pPr>
    </w:p>
    <w:p w:rsidR="00D62F7A" w:rsidRDefault="00D62F7A" w:rsidP="00522ACE">
      <w:pPr>
        <w:jc w:val="center"/>
        <w:rPr>
          <w:rFonts w:cs="Arial"/>
          <w:b/>
          <w:sz w:val="28"/>
          <w:lang w:val="en-GB"/>
        </w:rPr>
      </w:pPr>
    </w:p>
    <w:p w:rsidR="00D62F7A" w:rsidRPr="00D62F7A" w:rsidRDefault="00D62F7A" w:rsidP="00522ACE">
      <w:pPr>
        <w:jc w:val="center"/>
        <w:rPr>
          <w:rFonts w:cs="Arial"/>
          <w:b/>
          <w:sz w:val="36"/>
          <w:lang w:val="en-GB"/>
        </w:rPr>
      </w:pPr>
      <w:r w:rsidRPr="00D62F7A">
        <w:rPr>
          <w:rFonts w:cs="Arial"/>
          <w:b/>
          <w:sz w:val="36"/>
          <w:lang w:val="en-GB"/>
        </w:rPr>
        <w:t>Marks &amp; Spencer (M&amp;S)</w:t>
      </w:r>
    </w:p>
    <w:p w:rsidR="00D62F7A" w:rsidRPr="00D62F7A" w:rsidRDefault="00D62F7A" w:rsidP="00522ACE">
      <w:pPr>
        <w:jc w:val="center"/>
        <w:rPr>
          <w:rFonts w:cs="Arial"/>
          <w:b/>
          <w:sz w:val="28"/>
          <w:szCs w:val="28"/>
          <w:lang w:val="en-GB"/>
        </w:rPr>
      </w:pPr>
    </w:p>
    <w:p w:rsidR="00522ACE" w:rsidRPr="00D62F7A" w:rsidRDefault="00522ACE" w:rsidP="00522ACE">
      <w:pPr>
        <w:jc w:val="center"/>
        <w:rPr>
          <w:rFonts w:cs="Arial"/>
          <w:b/>
          <w:sz w:val="28"/>
          <w:szCs w:val="28"/>
          <w:lang w:val="en-GB"/>
        </w:rPr>
      </w:pPr>
      <w:r w:rsidRPr="00D62F7A">
        <w:rPr>
          <w:rFonts w:cs="Arial"/>
          <w:b/>
          <w:sz w:val="28"/>
          <w:szCs w:val="28"/>
          <w:lang w:val="en-GB"/>
        </w:rPr>
        <w:t>BA (Hons) Business Management</w:t>
      </w:r>
    </w:p>
    <w:p w:rsidR="00785C37" w:rsidRPr="00D62F7A" w:rsidRDefault="00522ACE" w:rsidP="00785C37">
      <w:pPr>
        <w:jc w:val="center"/>
        <w:rPr>
          <w:rFonts w:cs="Arial"/>
          <w:b/>
          <w:sz w:val="28"/>
          <w:szCs w:val="28"/>
          <w:lang w:val="en-GB"/>
        </w:rPr>
      </w:pPr>
      <w:r w:rsidRPr="00D62F7A">
        <w:rPr>
          <w:rFonts w:cs="Arial"/>
          <w:b/>
          <w:sz w:val="28"/>
          <w:szCs w:val="28"/>
          <w:lang w:val="en-GB"/>
        </w:rPr>
        <w:t xml:space="preserve">Student Name: </w:t>
      </w:r>
      <w:r w:rsidR="00785C37" w:rsidRPr="00D62F7A">
        <w:rPr>
          <w:rFonts w:cs="Arial"/>
          <w:b/>
          <w:sz w:val="28"/>
          <w:szCs w:val="28"/>
          <w:lang w:val="en-GB"/>
        </w:rPr>
        <w:t>Stoican Elena Georgiana</w:t>
      </w:r>
    </w:p>
    <w:p w:rsidR="00522ACE" w:rsidRPr="00D62F7A" w:rsidRDefault="00522ACE" w:rsidP="00522ACE">
      <w:pPr>
        <w:jc w:val="center"/>
        <w:rPr>
          <w:rFonts w:cs="Arial"/>
          <w:b/>
          <w:sz w:val="28"/>
          <w:szCs w:val="28"/>
        </w:rPr>
      </w:pPr>
      <w:r w:rsidRPr="00D62F7A">
        <w:rPr>
          <w:rFonts w:cs="Arial"/>
          <w:b/>
          <w:sz w:val="28"/>
          <w:szCs w:val="28"/>
          <w:lang w:val="en-GB"/>
        </w:rPr>
        <w:t xml:space="preserve">Student Number: </w:t>
      </w:r>
      <w:r w:rsidR="00785C37" w:rsidRPr="00D62F7A">
        <w:rPr>
          <w:rFonts w:cs="Arial"/>
          <w:b/>
          <w:sz w:val="28"/>
          <w:szCs w:val="28"/>
          <w:lang w:val="en-GB"/>
        </w:rPr>
        <w:t>2235647</w:t>
      </w:r>
    </w:p>
    <w:p w:rsidR="00D62F7A" w:rsidRPr="00D62F7A" w:rsidRDefault="00D62F7A" w:rsidP="00522ACE">
      <w:pPr>
        <w:jc w:val="center"/>
        <w:rPr>
          <w:rFonts w:cs="Arial"/>
          <w:b/>
          <w:sz w:val="28"/>
          <w:szCs w:val="28"/>
          <w:lang w:val="en-GB"/>
        </w:rPr>
      </w:pPr>
      <w:r w:rsidRPr="00D62F7A">
        <w:rPr>
          <w:rFonts w:cs="Arial"/>
          <w:b/>
          <w:sz w:val="28"/>
          <w:szCs w:val="28"/>
          <w:lang w:val="en-GB"/>
        </w:rPr>
        <w:t>Module Name and Code: Principles of Marketing LCBB5015</w:t>
      </w:r>
    </w:p>
    <w:p w:rsidR="00522ACE" w:rsidRPr="00D62F7A" w:rsidRDefault="00522ACE" w:rsidP="00522ACE">
      <w:pPr>
        <w:jc w:val="center"/>
        <w:rPr>
          <w:rFonts w:cs="Arial"/>
          <w:b/>
          <w:sz w:val="28"/>
          <w:szCs w:val="28"/>
          <w:lang w:val="en-GB"/>
        </w:rPr>
      </w:pPr>
      <w:r w:rsidRPr="00D62F7A">
        <w:rPr>
          <w:rFonts w:cs="Arial"/>
          <w:b/>
          <w:sz w:val="28"/>
          <w:szCs w:val="28"/>
          <w:lang w:val="en-GB"/>
        </w:rPr>
        <w:t>Lecturer Name:</w:t>
      </w:r>
      <w:r w:rsidR="00630C03">
        <w:rPr>
          <w:rFonts w:cs="Arial"/>
          <w:b/>
          <w:sz w:val="28"/>
          <w:szCs w:val="28"/>
          <w:lang w:val="en-GB"/>
        </w:rPr>
        <w:t xml:space="preserve"> Piyumika K. Gamage</w:t>
      </w:r>
    </w:p>
    <w:p w:rsidR="00522ACE" w:rsidRPr="00D62F7A" w:rsidRDefault="00522ACE" w:rsidP="00522ACE">
      <w:pPr>
        <w:jc w:val="center"/>
        <w:rPr>
          <w:rFonts w:cs="Arial"/>
          <w:b/>
          <w:sz w:val="28"/>
          <w:szCs w:val="28"/>
          <w:lang w:val="en-GB"/>
        </w:rPr>
      </w:pPr>
      <w:r w:rsidRPr="00D62F7A">
        <w:rPr>
          <w:rFonts w:cs="Arial"/>
          <w:b/>
          <w:sz w:val="28"/>
          <w:szCs w:val="28"/>
          <w:lang w:val="en-GB"/>
        </w:rPr>
        <w:t xml:space="preserve">Session: </w:t>
      </w:r>
      <w:r w:rsidR="00630C03">
        <w:rPr>
          <w:rFonts w:cs="Arial"/>
          <w:b/>
          <w:sz w:val="28"/>
          <w:szCs w:val="28"/>
          <w:lang w:val="en-GB"/>
        </w:rPr>
        <w:t>October 2025 Term</w:t>
      </w: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sdt>
      <w:sdtPr>
        <w:rPr>
          <w:rFonts w:eastAsiaTheme="minorEastAsia" w:cstheme="minorBidi"/>
          <w:b w:val="0"/>
          <w:color w:val="auto"/>
          <w:sz w:val="24"/>
          <w:szCs w:val="22"/>
          <w:lang w:val="ro-RO" w:eastAsia="zh-CN"/>
        </w:rPr>
        <w:id w:val="1555505643"/>
        <w:docPartObj>
          <w:docPartGallery w:val="Table of Contents"/>
          <w:docPartUnique/>
        </w:docPartObj>
      </w:sdtPr>
      <w:sdtEndPr>
        <w:rPr>
          <w:bCs/>
          <w:noProof/>
        </w:rPr>
      </w:sdtEndPr>
      <w:sdtContent>
        <w:p w:rsidR="001C24A7" w:rsidRDefault="001C24A7">
          <w:pPr>
            <w:pStyle w:val="TOCHeading"/>
          </w:pPr>
          <w:r>
            <w:t>Contents</w:t>
          </w:r>
          <w:bookmarkStart w:id="0" w:name="_GoBack"/>
          <w:bookmarkEnd w:id="0"/>
        </w:p>
        <w:p w:rsidR="00BA3523" w:rsidRDefault="001C24A7">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13935261" w:history="1">
            <w:r w:rsidR="00BA3523" w:rsidRPr="00BB5565">
              <w:rPr>
                <w:rStyle w:val="Hyperlink"/>
                <w:noProof/>
              </w:rPr>
              <w:t>Introduction</w:t>
            </w:r>
            <w:r w:rsidR="00BA3523">
              <w:rPr>
                <w:noProof/>
                <w:webHidden/>
              </w:rPr>
              <w:tab/>
            </w:r>
            <w:r w:rsidR="00BA3523">
              <w:rPr>
                <w:noProof/>
                <w:webHidden/>
              </w:rPr>
              <w:fldChar w:fldCharType="begin"/>
            </w:r>
            <w:r w:rsidR="00BA3523">
              <w:rPr>
                <w:noProof/>
                <w:webHidden/>
              </w:rPr>
              <w:instrText xml:space="preserve"> PAGEREF _Toc213935261 \h </w:instrText>
            </w:r>
            <w:r w:rsidR="00BA3523">
              <w:rPr>
                <w:noProof/>
                <w:webHidden/>
              </w:rPr>
            </w:r>
            <w:r w:rsidR="00BA3523">
              <w:rPr>
                <w:noProof/>
                <w:webHidden/>
              </w:rPr>
              <w:fldChar w:fldCharType="separate"/>
            </w:r>
            <w:r w:rsidR="00A051FC">
              <w:rPr>
                <w:noProof/>
                <w:webHidden/>
              </w:rPr>
              <w:t>3</w:t>
            </w:r>
            <w:r w:rsidR="00BA3523">
              <w:rPr>
                <w:noProof/>
                <w:webHidden/>
              </w:rPr>
              <w:fldChar w:fldCharType="end"/>
            </w:r>
          </w:hyperlink>
        </w:p>
        <w:p w:rsidR="00BA3523" w:rsidRDefault="00487887">
          <w:pPr>
            <w:pStyle w:val="TOC1"/>
            <w:tabs>
              <w:tab w:val="right" w:leader="dot" w:pos="9016"/>
            </w:tabs>
            <w:rPr>
              <w:rFonts w:asciiTheme="minorHAnsi" w:hAnsiTheme="minorHAnsi"/>
              <w:noProof/>
              <w:sz w:val="22"/>
              <w:lang w:val="en-GB"/>
            </w:rPr>
          </w:pPr>
          <w:hyperlink w:anchor="_Toc213935262" w:history="1">
            <w:r w:rsidR="00BA3523" w:rsidRPr="00BB5565">
              <w:rPr>
                <w:rStyle w:val="Hyperlink"/>
                <w:noProof/>
              </w:rPr>
              <w:t>Main Body</w:t>
            </w:r>
            <w:r w:rsidR="00BA3523">
              <w:rPr>
                <w:noProof/>
                <w:webHidden/>
              </w:rPr>
              <w:tab/>
            </w:r>
            <w:r w:rsidR="00BA3523">
              <w:rPr>
                <w:noProof/>
                <w:webHidden/>
              </w:rPr>
              <w:fldChar w:fldCharType="begin"/>
            </w:r>
            <w:r w:rsidR="00BA3523">
              <w:rPr>
                <w:noProof/>
                <w:webHidden/>
              </w:rPr>
              <w:instrText xml:space="preserve"> PAGEREF _Toc213935262 \h </w:instrText>
            </w:r>
            <w:r w:rsidR="00BA3523">
              <w:rPr>
                <w:noProof/>
                <w:webHidden/>
              </w:rPr>
            </w:r>
            <w:r w:rsidR="00BA3523">
              <w:rPr>
                <w:noProof/>
                <w:webHidden/>
              </w:rPr>
              <w:fldChar w:fldCharType="separate"/>
            </w:r>
            <w:r w:rsidR="00A051FC">
              <w:rPr>
                <w:noProof/>
                <w:webHidden/>
              </w:rPr>
              <w:t>3</w:t>
            </w:r>
            <w:r w:rsidR="00BA3523">
              <w:rPr>
                <w:noProof/>
                <w:webHidden/>
              </w:rPr>
              <w:fldChar w:fldCharType="end"/>
            </w:r>
          </w:hyperlink>
        </w:p>
        <w:p w:rsidR="00BA3523" w:rsidRDefault="00487887">
          <w:pPr>
            <w:pStyle w:val="TOC2"/>
            <w:tabs>
              <w:tab w:val="right" w:leader="dot" w:pos="9016"/>
            </w:tabs>
            <w:rPr>
              <w:rFonts w:asciiTheme="minorHAnsi" w:hAnsiTheme="minorHAnsi"/>
              <w:noProof/>
              <w:sz w:val="22"/>
              <w:lang w:val="en-GB"/>
            </w:rPr>
          </w:pPr>
          <w:hyperlink w:anchor="_Toc213935263" w:history="1">
            <w:r w:rsidR="00BA3523" w:rsidRPr="00BB5565">
              <w:rPr>
                <w:rStyle w:val="Hyperlink"/>
                <w:noProof/>
              </w:rPr>
              <w:t>Porter’s Five Forces Analysis</w:t>
            </w:r>
            <w:r w:rsidR="00BA3523">
              <w:rPr>
                <w:noProof/>
                <w:webHidden/>
              </w:rPr>
              <w:tab/>
            </w:r>
            <w:r w:rsidR="00BA3523">
              <w:rPr>
                <w:noProof/>
                <w:webHidden/>
              </w:rPr>
              <w:fldChar w:fldCharType="begin"/>
            </w:r>
            <w:r w:rsidR="00BA3523">
              <w:rPr>
                <w:noProof/>
                <w:webHidden/>
              </w:rPr>
              <w:instrText xml:space="preserve"> PAGEREF _Toc213935263 \h </w:instrText>
            </w:r>
            <w:r w:rsidR="00BA3523">
              <w:rPr>
                <w:noProof/>
                <w:webHidden/>
              </w:rPr>
            </w:r>
            <w:r w:rsidR="00BA3523">
              <w:rPr>
                <w:noProof/>
                <w:webHidden/>
              </w:rPr>
              <w:fldChar w:fldCharType="separate"/>
            </w:r>
            <w:r w:rsidR="00A051FC">
              <w:rPr>
                <w:noProof/>
                <w:webHidden/>
              </w:rPr>
              <w:t>3</w:t>
            </w:r>
            <w:r w:rsidR="00BA3523">
              <w:rPr>
                <w:noProof/>
                <w:webHidden/>
              </w:rPr>
              <w:fldChar w:fldCharType="end"/>
            </w:r>
          </w:hyperlink>
        </w:p>
        <w:p w:rsidR="00BA3523" w:rsidRDefault="00487887">
          <w:pPr>
            <w:pStyle w:val="TOC2"/>
            <w:tabs>
              <w:tab w:val="right" w:leader="dot" w:pos="9016"/>
            </w:tabs>
            <w:rPr>
              <w:rFonts w:asciiTheme="minorHAnsi" w:hAnsiTheme="minorHAnsi"/>
              <w:noProof/>
              <w:sz w:val="22"/>
              <w:lang w:val="en-GB"/>
            </w:rPr>
          </w:pPr>
          <w:hyperlink w:anchor="_Toc213935264" w:history="1">
            <w:r w:rsidR="00BA3523" w:rsidRPr="00BB5565">
              <w:rPr>
                <w:rStyle w:val="Hyperlink"/>
                <w:noProof/>
              </w:rPr>
              <w:t>Critical Analysis and Evaluation</w:t>
            </w:r>
            <w:r w:rsidR="00BA3523">
              <w:rPr>
                <w:noProof/>
                <w:webHidden/>
              </w:rPr>
              <w:tab/>
            </w:r>
            <w:r w:rsidR="00BA3523">
              <w:rPr>
                <w:noProof/>
                <w:webHidden/>
              </w:rPr>
              <w:fldChar w:fldCharType="begin"/>
            </w:r>
            <w:r w:rsidR="00BA3523">
              <w:rPr>
                <w:noProof/>
                <w:webHidden/>
              </w:rPr>
              <w:instrText xml:space="preserve"> PAGEREF _Toc213935264 \h </w:instrText>
            </w:r>
            <w:r w:rsidR="00BA3523">
              <w:rPr>
                <w:noProof/>
                <w:webHidden/>
              </w:rPr>
            </w:r>
            <w:r w:rsidR="00BA3523">
              <w:rPr>
                <w:noProof/>
                <w:webHidden/>
              </w:rPr>
              <w:fldChar w:fldCharType="separate"/>
            </w:r>
            <w:r w:rsidR="00A051FC">
              <w:rPr>
                <w:noProof/>
                <w:webHidden/>
              </w:rPr>
              <w:t>6</w:t>
            </w:r>
            <w:r w:rsidR="00BA3523">
              <w:rPr>
                <w:noProof/>
                <w:webHidden/>
              </w:rPr>
              <w:fldChar w:fldCharType="end"/>
            </w:r>
          </w:hyperlink>
        </w:p>
        <w:p w:rsidR="00BA3523" w:rsidRDefault="00487887">
          <w:pPr>
            <w:pStyle w:val="TOC1"/>
            <w:tabs>
              <w:tab w:val="right" w:leader="dot" w:pos="9016"/>
            </w:tabs>
            <w:rPr>
              <w:rFonts w:asciiTheme="minorHAnsi" w:hAnsiTheme="minorHAnsi"/>
              <w:noProof/>
              <w:sz w:val="22"/>
              <w:lang w:val="en-GB"/>
            </w:rPr>
          </w:pPr>
          <w:hyperlink w:anchor="_Toc213935265" w:history="1">
            <w:r w:rsidR="00BA3523" w:rsidRPr="00BB5565">
              <w:rPr>
                <w:rStyle w:val="Hyperlink"/>
                <w:noProof/>
              </w:rPr>
              <w:t>Conclusion</w:t>
            </w:r>
            <w:r w:rsidR="00BA3523">
              <w:rPr>
                <w:noProof/>
                <w:webHidden/>
              </w:rPr>
              <w:tab/>
            </w:r>
            <w:r w:rsidR="00BA3523">
              <w:rPr>
                <w:noProof/>
                <w:webHidden/>
              </w:rPr>
              <w:fldChar w:fldCharType="begin"/>
            </w:r>
            <w:r w:rsidR="00BA3523">
              <w:rPr>
                <w:noProof/>
                <w:webHidden/>
              </w:rPr>
              <w:instrText xml:space="preserve"> PAGEREF _Toc213935265 \h </w:instrText>
            </w:r>
            <w:r w:rsidR="00BA3523">
              <w:rPr>
                <w:noProof/>
                <w:webHidden/>
              </w:rPr>
            </w:r>
            <w:r w:rsidR="00BA3523">
              <w:rPr>
                <w:noProof/>
                <w:webHidden/>
              </w:rPr>
              <w:fldChar w:fldCharType="separate"/>
            </w:r>
            <w:r w:rsidR="00A051FC">
              <w:rPr>
                <w:noProof/>
                <w:webHidden/>
              </w:rPr>
              <w:t>6</w:t>
            </w:r>
            <w:r w:rsidR="00BA3523">
              <w:rPr>
                <w:noProof/>
                <w:webHidden/>
              </w:rPr>
              <w:fldChar w:fldCharType="end"/>
            </w:r>
          </w:hyperlink>
        </w:p>
        <w:p w:rsidR="00BA3523" w:rsidRDefault="00487887">
          <w:pPr>
            <w:pStyle w:val="TOC1"/>
            <w:tabs>
              <w:tab w:val="right" w:leader="dot" w:pos="9016"/>
            </w:tabs>
            <w:rPr>
              <w:rFonts w:asciiTheme="minorHAnsi" w:hAnsiTheme="minorHAnsi"/>
              <w:noProof/>
              <w:sz w:val="22"/>
              <w:lang w:val="en-GB"/>
            </w:rPr>
          </w:pPr>
          <w:hyperlink w:anchor="_Toc213935266" w:history="1">
            <w:r w:rsidR="00BA3523" w:rsidRPr="00BB5565">
              <w:rPr>
                <w:rStyle w:val="Hyperlink"/>
                <w:noProof/>
              </w:rPr>
              <w:t>References</w:t>
            </w:r>
            <w:r w:rsidR="00BA3523">
              <w:rPr>
                <w:noProof/>
                <w:webHidden/>
              </w:rPr>
              <w:tab/>
            </w:r>
            <w:r w:rsidR="00BA3523">
              <w:rPr>
                <w:noProof/>
                <w:webHidden/>
              </w:rPr>
              <w:fldChar w:fldCharType="begin"/>
            </w:r>
            <w:r w:rsidR="00BA3523">
              <w:rPr>
                <w:noProof/>
                <w:webHidden/>
              </w:rPr>
              <w:instrText xml:space="preserve"> PAGEREF _Toc213935266 \h </w:instrText>
            </w:r>
            <w:r w:rsidR="00BA3523">
              <w:rPr>
                <w:noProof/>
                <w:webHidden/>
              </w:rPr>
            </w:r>
            <w:r w:rsidR="00BA3523">
              <w:rPr>
                <w:noProof/>
                <w:webHidden/>
              </w:rPr>
              <w:fldChar w:fldCharType="separate"/>
            </w:r>
            <w:r w:rsidR="00A051FC">
              <w:rPr>
                <w:noProof/>
                <w:webHidden/>
              </w:rPr>
              <w:t>8</w:t>
            </w:r>
            <w:r w:rsidR="00BA3523">
              <w:rPr>
                <w:noProof/>
                <w:webHidden/>
              </w:rPr>
              <w:fldChar w:fldCharType="end"/>
            </w:r>
          </w:hyperlink>
        </w:p>
        <w:p w:rsidR="001C24A7" w:rsidRDefault="001C24A7">
          <w:r>
            <w:rPr>
              <w:b/>
              <w:bCs/>
              <w:noProof/>
            </w:rPr>
            <w:fldChar w:fldCharType="end"/>
          </w:r>
        </w:p>
      </w:sdtContent>
    </w:sdt>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160DDA" w:rsidRDefault="00160DDA" w:rsidP="00951221">
      <w:pPr>
        <w:rPr>
          <w:rFonts w:cs="Arial"/>
        </w:rPr>
      </w:pPr>
    </w:p>
    <w:p w:rsidR="00160DDA" w:rsidRDefault="00160DDA" w:rsidP="00951221">
      <w:pPr>
        <w:rPr>
          <w:rFonts w:cs="Arial"/>
        </w:rPr>
      </w:pPr>
    </w:p>
    <w:p w:rsidR="00160DDA" w:rsidRDefault="00160DDA" w:rsidP="00951221">
      <w:pPr>
        <w:rPr>
          <w:rFonts w:cs="Arial"/>
        </w:rPr>
      </w:pPr>
    </w:p>
    <w:p w:rsidR="00160DDA" w:rsidRDefault="00160DDA" w:rsidP="00951221">
      <w:pPr>
        <w:rPr>
          <w:rFonts w:cs="Arial"/>
        </w:rPr>
      </w:pPr>
    </w:p>
    <w:p w:rsidR="00C04E83" w:rsidRDefault="00C04E83" w:rsidP="00951221">
      <w:pPr>
        <w:rPr>
          <w:rFonts w:cs="Arial"/>
        </w:rPr>
      </w:pPr>
    </w:p>
    <w:p w:rsidR="00160DDA" w:rsidRDefault="00160DDA" w:rsidP="00951221">
      <w:pPr>
        <w:rPr>
          <w:rFonts w:cs="Arial"/>
        </w:rPr>
      </w:pPr>
    </w:p>
    <w:p w:rsidR="00951221" w:rsidRDefault="00951221" w:rsidP="00951221">
      <w:pPr>
        <w:rPr>
          <w:rFonts w:cs="Arial"/>
        </w:rPr>
      </w:pPr>
    </w:p>
    <w:p w:rsidR="00951221" w:rsidRDefault="00B03F1D" w:rsidP="00FE28C2">
      <w:pPr>
        <w:pStyle w:val="Heading1"/>
      </w:pPr>
      <w:bookmarkStart w:id="1" w:name="_Toc213935261"/>
      <w:r>
        <w:lastRenderedPageBreak/>
        <w:t>Introduction</w:t>
      </w:r>
      <w:bookmarkEnd w:id="1"/>
    </w:p>
    <w:p w:rsidR="00D62F7A" w:rsidRPr="00D62F7A" w:rsidRDefault="002F0C44" w:rsidP="00D62F7A">
      <w:r w:rsidRPr="002F0C44">
        <w:t>Marks &amp; Spencer, a household name in the UK, spans a wide range of offerings, from clothing and home essentials to high-quality food.   Despite its strong history, the company operates in a market that is becoming more unstable, a situation driven by digital transformation, changing consumer preferences, and increased price competition (Wood, 2020).   This analysis uses Porter's Five Forces model to examine the competitive factors that affect M&amp;S's strategic decisions.   The framework evaluates industry competition, the influence of buyers, the power of suppliers, the threat of substitute products, and the risk of new competitors entering the market (Porter, 2008).   This analysis aims to critically analyse how these factors impact Marks &amp; Spencer's marketing strategy and its long-term competitive position.</w:t>
      </w:r>
    </w:p>
    <w:p w:rsidR="00C04E83" w:rsidRDefault="00C04E83" w:rsidP="00C04E83">
      <w:pPr>
        <w:pStyle w:val="Heading1"/>
      </w:pPr>
      <w:bookmarkStart w:id="2" w:name="_Toc213935262"/>
      <w:r>
        <w:t>Main Body</w:t>
      </w:r>
      <w:bookmarkEnd w:id="2"/>
    </w:p>
    <w:p w:rsidR="00D62F7A" w:rsidRDefault="00D62F7A" w:rsidP="00D62F7A">
      <w:pPr>
        <w:pStyle w:val="Heading2"/>
      </w:pPr>
      <w:bookmarkStart w:id="3" w:name="_Toc213935263"/>
      <w:r>
        <w:t>Porter’s Five Forces Analysis</w:t>
      </w:r>
      <w:bookmarkEnd w:id="3"/>
    </w:p>
    <w:p w:rsidR="002F0C44" w:rsidRPr="002F0C44" w:rsidRDefault="002F0C44" w:rsidP="002F0C44">
      <w:pPr>
        <w:rPr>
          <w:b/>
          <w:lang w:val="en-GB"/>
        </w:rPr>
      </w:pPr>
      <w:r w:rsidRPr="002F0C44">
        <w:rPr>
          <w:b/>
          <w:lang w:val="en-GB"/>
        </w:rPr>
        <w:t xml:space="preserve">Industry Rivalry </w:t>
      </w:r>
    </w:p>
    <w:p w:rsidR="002F0C44" w:rsidRPr="002F0C44" w:rsidRDefault="002F0C44" w:rsidP="002F0C44">
      <w:pPr>
        <w:rPr>
          <w:lang w:val="en-GB"/>
        </w:rPr>
      </w:pPr>
      <w:r w:rsidRPr="002F0C44">
        <w:rPr>
          <w:lang w:val="en-GB"/>
        </w:rPr>
        <w:t xml:space="preserve">The UK retail sector is marked by a very high level of competition.  M&amp;S operates in two primary arenas: fashion and groceries.  The fashion landscape is fiercely competitive, with major players like Next, Zara, H&amp;M, and Primark vying for market share. Online-only businesses, such ASOS and Boohoo, also pose significant competition.  The current state of the UK apparel market, as shown by the 2022 </w:t>
      </w:r>
      <w:r w:rsidR="002A4F1F">
        <w:rPr>
          <w:lang w:val="en-GB"/>
        </w:rPr>
        <w:t>Global Data</w:t>
      </w:r>
      <w:r w:rsidRPr="002F0C44">
        <w:rPr>
          <w:lang w:val="en-GB"/>
        </w:rPr>
        <w:t xml:space="preserve"> report, is marked by saturation and a strong focus on price. This makes it difficult for companies to stand out from their competitors.  M&amp;S has long leaned on its established brand and reputation for quality. However, competitors are now consistently beating it on how quickly they bring products to market, how well they adapt to current trends, and how they price their goods. </w:t>
      </w:r>
    </w:p>
    <w:p w:rsidR="002F0C44" w:rsidRPr="002F0C44" w:rsidRDefault="002F0C44" w:rsidP="002F0C44">
      <w:pPr>
        <w:rPr>
          <w:lang w:val="en-GB"/>
        </w:rPr>
      </w:pPr>
      <w:r w:rsidRPr="002F0C44">
        <w:rPr>
          <w:lang w:val="en-GB"/>
        </w:rPr>
        <w:t xml:space="preserve">M&amp;S is feeling the heat in the food retail sector, with Waitrose, Tesco, and Sainsbury’s all vying for market share. The competition is further intensified by the swift growth of bargain chains Aldi and Lidl.  Discounters are still grabbing a bigger slice of the market, as IGD Retail Analysis (2023) points out, mostly because of the squeeze on household budgets.  M&amp;S is countering by bolstering its luxury image and broadening its discount offerings, including "Remarkable Value." </w:t>
      </w:r>
    </w:p>
    <w:p w:rsidR="002F0C44" w:rsidRDefault="002F0C44" w:rsidP="002F0C44">
      <w:pPr>
        <w:rPr>
          <w:lang w:val="en-GB"/>
        </w:rPr>
      </w:pPr>
      <w:r w:rsidRPr="002F0C44">
        <w:rPr>
          <w:lang w:val="en-GB"/>
        </w:rPr>
        <w:lastRenderedPageBreak/>
        <w:t>The competitive landscape is intensified by the growing demands for omnichannel experiences.  Studies reveal that the ease of digital services and quick delivery considerably influence how loyal consumers are (Wang et al., 2021).  The collaboration between M&amp;S and Ocado is a key strategic move, however it doesn't lessen the fierce competition in the market.  In general, competition within an industry is a significant factor.</w:t>
      </w:r>
    </w:p>
    <w:p w:rsidR="002F0C44" w:rsidRPr="002F0C44" w:rsidRDefault="002F0C44" w:rsidP="002F0C44">
      <w:pPr>
        <w:rPr>
          <w:b/>
          <w:lang w:val="en-GB"/>
        </w:rPr>
      </w:pPr>
      <w:r w:rsidRPr="002F0C44">
        <w:rPr>
          <w:b/>
          <w:lang w:val="en-GB"/>
        </w:rPr>
        <w:t>Bargaining Power of Buyers</w:t>
      </w:r>
    </w:p>
    <w:p w:rsidR="002F0C44" w:rsidRPr="002F0C44" w:rsidRDefault="002F0C44" w:rsidP="002F0C44">
      <w:pPr>
        <w:rPr>
          <w:lang w:val="en-GB"/>
        </w:rPr>
      </w:pPr>
      <w:r w:rsidRPr="002F0C44">
        <w:rPr>
          <w:lang w:val="en-GB"/>
        </w:rPr>
        <w:t xml:space="preserve">Consumer influence is significant in the UK clothes and food sectors.  Shoppers today are spoilt for choice, with a wealth of options at their fingertips, and price comparisons are just a few clicks away.  Studies reveal that today's retail consumers are likely to switch brands easily and are quite sensitive to prices, especially when buying non-essential items like clothing (Nijs et al., 2020).  M&amp;S is thus compelled to consistently validate its higher prices by emphasising quality, customer service, and the trustworthiness of its brand. </w:t>
      </w:r>
    </w:p>
    <w:p w:rsidR="002F0C44" w:rsidRPr="002F0C44" w:rsidRDefault="002F0C44" w:rsidP="002F0C44">
      <w:pPr>
        <w:rPr>
          <w:lang w:val="en-GB"/>
        </w:rPr>
      </w:pPr>
      <w:r w:rsidRPr="002F0C44">
        <w:rPr>
          <w:lang w:val="en-GB"/>
        </w:rPr>
        <w:t xml:space="preserve">In food retailing, changing consumer habits also strengthen the power of buyers.  As a result, the surge in health-conscious consumers, the growing focus on sustainability, and the need for ethical sourcing are pushing M&amp;S to innovate and diversify its business model (Brunner et al., 2021).  Marks &amp; Spencer has responded by using clear nutritional labelling and its "Plan A" sustainability approach. </w:t>
      </w:r>
    </w:p>
    <w:p w:rsidR="002F0C44" w:rsidRDefault="002F0C44" w:rsidP="002F0C44">
      <w:pPr>
        <w:rPr>
          <w:lang w:val="en-GB"/>
        </w:rPr>
      </w:pPr>
      <w:r w:rsidRPr="002F0C44">
        <w:rPr>
          <w:lang w:val="en-GB"/>
        </w:rPr>
        <w:t>The increasing demand for digital convenience, encompassing options like click-and-collect, same-day delivery, and adaptable return policies, amplifies the leverage buyers hold.  Therefore, M&amp;S must consistently improve customer experience, digital capabilities, and loyalty programs.  Therefore, buyer power is a strong and developing force.</w:t>
      </w:r>
    </w:p>
    <w:p w:rsidR="002F0C44" w:rsidRPr="002F0C44" w:rsidRDefault="002F0C44" w:rsidP="002F0C44">
      <w:pPr>
        <w:rPr>
          <w:b/>
          <w:lang w:val="en-GB"/>
        </w:rPr>
      </w:pPr>
      <w:r w:rsidRPr="002F0C44">
        <w:rPr>
          <w:b/>
          <w:lang w:val="en-GB"/>
        </w:rPr>
        <w:t>Bargaining Power of Suppliers</w:t>
      </w:r>
    </w:p>
    <w:p w:rsidR="002F0C44" w:rsidRPr="002F0C44" w:rsidRDefault="002F0C44" w:rsidP="002F0C44">
      <w:pPr>
        <w:rPr>
          <w:lang w:val="en-GB"/>
        </w:rPr>
      </w:pPr>
      <w:r w:rsidRPr="002F0C44">
        <w:rPr>
          <w:lang w:val="en-GB"/>
        </w:rPr>
        <w:t xml:space="preserve">The influence of suppliers on M&amp;S fluctuates depending on the sector, albeit it tends to be of moderate strength overall. </w:t>
      </w:r>
    </w:p>
    <w:p w:rsidR="002F0C44" w:rsidRPr="002F0C44" w:rsidRDefault="002F0C44" w:rsidP="002F0C44">
      <w:pPr>
        <w:rPr>
          <w:lang w:val="en-GB"/>
        </w:rPr>
      </w:pPr>
      <w:r w:rsidRPr="002F0C44">
        <w:rPr>
          <w:lang w:val="en-GB"/>
        </w:rPr>
        <w:t xml:space="preserve">M&amp;S's clothing is produced by global manufacturing partners.  Suppliers in nations like Bangladesh, Turkey, and China have considerable bargaining power, which comes from their size and specialization.  In contrast, M&amp;S reduces this risk by building long-term partnerships with suppliers and focussing on ethical sourcing practices. Gereffi </w:t>
      </w:r>
      <w:r w:rsidRPr="002F0C44">
        <w:rPr>
          <w:lang w:val="en-GB"/>
        </w:rPr>
        <w:lastRenderedPageBreak/>
        <w:t xml:space="preserve">(2018) suggests that merchants with good governance systems can lessen their reliance on suppliers. They do this by maintaining a wide network of suppliers and closely monitoring the criteria they set. </w:t>
      </w:r>
    </w:p>
    <w:p w:rsidR="002F0C44" w:rsidRPr="002F0C44" w:rsidRDefault="002F0C44" w:rsidP="002F0C44">
      <w:pPr>
        <w:rPr>
          <w:lang w:val="en-GB"/>
        </w:rPr>
      </w:pPr>
      <w:r w:rsidRPr="002F0C44">
        <w:rPr>
          <w:lang w:val="en-GB"/>
        </w:rPr>
        <w:t xml:space="preserve">In the food industry, the power of suppliers is more balanced.  UK farmers and food producers have a significant impact on price, which is influenced by rising costs for inputs, climate-related disruptions, and stricter regulations (Bunn et al., 2019).  M&amp;S's focus on quality and sourcing from Britain also limits its flexibility. </w:t>
      </w:r>
    </w:p>
    <w:p w:rsidR="002F0C44" w:rsidRDefault="002F0C44" w:rsidP="002F0C44">
      <w:pPr>
        <w:rPr>
          <w:lang w:val="en-GB"/>
        </w:rPr>
      </w:pPr>
      <w:r w:rsidRPr="002F0C44">
        <w:rPr>
          <w:lang w:val="en-GB"/>
        </w:rPr>
        <w:t>As sustainability becomes more important, suppliers gain leverage. M&amp;S, for instance, needs to collaborate with partners who adhere to stringent environmental and ethical guidelines.  Despite this, M&amp;S's size and brand recognition give it a strong position in negotiations.  Therefore, the power of suppliers is moderate.</w:t>
      </w:r>
    </w:p>
    <w:p w:rsidR="002F0C44" w:rsidRPr="002F0C44" w:rsidRDefault="002F0C44" w:rsidP="002F0C44">
      <w:pPr>
        <w:rPr>
          <w:b/>
          <w:lang w:val="en-GB"/>
        </w:rPr>
      </w:pPr>
      <w:r w:rsidRPr="002F0C44">
        <w:rPr>
          <w:b/>
          <w:lang w:val="en-GB"/>
        </w:rPr>
        <w:t xml:space="preserve">Threat of New Entrants </w:t>
      </w:r>
    </w:p>
    <w:p w:rsidR="002F0C44" w:rsidRPr="002F0C44" w:rsidRDefault="002F0C44" w:rsidP="002F0C44">
      <w:pPr>
        <w:rPr>
          <w:lang w:val="en-GB"/>
        </w:rPr>
      </w:pPr>
      <w:r w:rsidRPr="002F0C44">
        <w:rPr>
          <w:lang w:val="en-GB"/>
        </w:rPr>
        <w:t>The threat of new entrants is minimal to moder</w:t>
      </w:r>
      <w:r>
        <w:rPr>
          <w:lang w:val="en-GB"/>
        </w:rPr>
        <w:t xml:space="preserve">ate, depending on the segment.  </w:t>
      </w:r>
      <w:r w:rsidRPr="002F0C44">
        <w:rPr>
          <w:lang w:val="en-GB"/>
        </w:rPr>
        <w:t xml:space="preserve">Entering the grocery sector needs large capital expenditure in logistics, supply chains, regulatory compliance, and distribution—all significant impediments (Grant, 2021).  In addition, brand loyalty in food retail restricts new entrant success. </w:t>
      </w:r>
    </w:p>
    <w:p w:rsidR="002F0C44" w:rsidRPr="002F0C44" w:rsidRDefault="002F0C44" w:rsidP="002F0C44">
      <w:pPr>
        <w:rPr>
          <w:lang w:val="en-GB"/>
        </w:rPr>
      </w:pPr>
      <w:r w:rsidRPr="002F0C44">
        <w:rPr>
          <w:lang w:val="en-GB"/>
        </w:rPr>
        <w:t xml:space="preserve">In clothes, obstacles are lower: Internet shops, Instagram brands, and small design companies can enter the market with minimal upfront expenditure.  Fast-fashion e-commerce enterprises such as Shein have effectively penetrated the UK market due to low prices and short production cycles.  This intensifies competitive pressure on M&amp;S’s clothes division, especially in younger consumer categories. </w:t>
      </w:r>
    </w:p>
    <w:p w:rsidR="002F0C44" w:rsidRDefault="002F0C44" w:rsidP="002F0C44">
      <w:pPr>
        <w:rPr>
          <w:lang w:val="en-GB"/>
        </w:rPr>
      </w:pPr>
      <w:r w:rsidRPr="002F0C44">
        <w:rPr>
          <w:lang w:val="en-GB"/>
        </w:rPr>
        <w:t>However, reproducing M&amp;S’s reputation for quality, trust, and physical presence remains tough for new entrants.  Thus, the hazard is mild, but higher in fashion than food.</w:t>
      </w:r>
    </w:p>
    <w:p w:rsidR="002F0C44" w:rsidRPr="002F0C44" w:rsidRDefault="002F0C44" w:rsidP="002F0C44">
      <w:pPr>
        <w:rPr>
          <w:b/>
          <w:lang w:val="en-GB"/>
        </w:rPr>
      </w:pPr>
      <w:r w:rsidRPr="002F0C44">
        <w:rPr>
          <w:b/>
          <w:lang w:val="en-GB"/>
        </w:rPr>
        <w:t>Threat of Substitutes </w:t>
      </w:r>
    </w:p>
    <w:p w:rsidR="002F0C44" w:rsidRPr="002F0C44" w:rsidRDefault="002F0C44" w:rsidP="002F0C44">
      <w:pPr>
        <w:rPr>
          <w:lang w:val="en-GB"/>
        </w:rPr>
      </w:pPr>
      <w:r w:rsidRPr="002F0C44">
        <w:rPr>
          <w:lang w:val="en-GB"/>
        </w:rPr>
        <w:t>The potential for alternatives loom</w:t>
      </w:r>
      <w:r>
        <w:rPr>
          <w:lang w:val="en-GB"/>
        </w:rPr>
        <w:t xml:space="preserve">s large in M&amp;S's many markets. </w:t>
      </w:r>
      <w:r w:rsidRPr="002F0C44">
        <w:rPr>
          <w:lang w:val="en-GB"/>
        </w:rPr>
        <w:t xml:space="preserve">When it comes to clothing, shoppers have options beyond M&amp;S. They may easily turn to quick fashion, explore second-hand finds, consider rental services, or even browse supermarket clothing selections.  Research shows that growing concerns about sustainability have </w:t>
      </w:r>
      <w:r w:rsidRPr="002F0C44">
        <w:rPr>
          <w:lang w:val="en-GB"/>
        </w:rPr>
        <w:lastRenderedPageBreak/>
        <w:t xml:space="preserve">propelled the appeal of second-hand and rental fashion, leading to new ways of replacing traditional consumption (Becker-Leifhold, 2018). </w:t>
      </w:r>
    </w:p>
    <w:p w:rsidR="002F0C44" w:rsidRPr="002F0C44" w:rsidRDefault="002F0C44" w:rsidP="002F0C44">
      <w:pPr>
        <w:rPr>
          <w:lang w:val="en-GB"/>
        </w:rPr>
      </w:pPr>
      <w:r w:rsidRPr="002F0C44">
        <w:rPr>
          <w:lang w:val="en-GB"/>
        </w:rPr>
        <w:t xml:space="preserve">Food alternatives include meal kit services, takeaway from restaurants, less expensive supermarket brands and private labels from discount stores. A recent study by IGD (2023) indicated that customers are increasingly likely to choose less expensive options when faced with economic difficulties. </w:t>
      </w:r>
    </w:p>
    <w:p w:rsidR="002F0C44" w:rsidRPr="002F0C44" w:rsidRDefault="002F0C44" w:rsidP="002F0C44">
      <w:pPr>
        <w:rPr>
          <w:lang w:val="en-GB"/>
        </w:rPr>
      </w:pPr>
      <w:r w:rsidRPr="002F0C44">
        <w:rPr>
          <w:lang w:val="en-GB"/>
        </w:rPr>
        <w:t>Digital ease has expanded the options available to customers. They may now effortlessly order substitutes online or via delivery services.  Substitution is a significant challenge, compelling M&amp;S to stand apart by emphasising quality, brand identity, sustainability, and strategic collaborations like the one with Ocado, which prioritises convenience.</w:t>
      </w:r>
    </w:p>
    <w:p w:rsidR="00D62F7A" w:rsidRDefault="00D62F7A" w:rsidP="00D62F7A">
      <w:pPr>
        <w:pStyle w:val="Heading2"/>
      </w:pPr>
      <w:bookmarkStart w:id="4" w:name="_Toc213935264"/>
      <w:r>
        <w:t>Critical Analysis and Evaluation</w:t>
      </w:r>
      <w:bookmarkEnd w:id="4"/>
    </w:p>
    <w:p w:rsidR="002F0C44" w:rsidRPr="002F0C44" w:rsidRDefault="002F0C44" w:rsidP="002F0C44">
      <w:r w:rsidRPr="002F0C44">
        <w:t>Porter's Five Forces study shows that Marks &amp; Spencer operates in a highly competitive market, characterised by strong competition, significant buyer power, and considerable risks from substitute products.   The competitive landscape, shaped by cheap shops, internet giants, and the fast-fashion model, compels M&amp;S to constantly evolve. They're pushed to innovate across the board, from product quality and pricing strategies to their digital offerings.   Price transparency, along with changing values that emphasise sustainability and convenience, strengthens buyer power. This aligns with research showing that modern customers are increasingly influencing retail strategy (Nijs et al., 2020).   The influence of suppliers is currently moderate, but it's growing because of global supply chain problems and the increasing focus on sustainability.   In both the fashion and food industries, the pressure to substitute is substantial, especially as technological progress makes it easier to find alternatives.   To stay ahead, M&amp;S needs to double down on what sets it apart: sustainability, a seamless shopping experience across all channels, and a focus on delivering value.</w:t>
      </w:r>
    </w:p>
    <w:p w:rsidR="00B03F1D" w:rsidRDefault="00B03F1D" w:rsidP="00FE28C2">
      <w:pPr>
        <w:pStyle w:val="Heading1"/>
      </w:pPr>
      <w:bookmarkStart w:id="5" w:name="_Toc213935265"/>
      <w:r>
        <w:t>Conclusion</w:t>
      </w:r>
      <w:bookmarkEnd w:id="5"/>
      <w:r w:rsidR="00E67CF3">
        <w:t xml:space="preserve"> </w:t>
      </w:r>
    </w:p>
    <w:p w:rsidR="008830D2" w:rsidRDefault="002F0C44" w:rsidP="008830D2">
      <w:r w:rsidRPr="002F0C44">
        <w:t xml:space="preserve">The analysis shows that Marks &amp; Spencer suffers strong competitive pressures from industry competition, the influence of buyers, and the availability of substitute products.   Supplier power and the potential for new competitors pose a moderate challenge, necessitating continuous strategic oversight.   To solidify its standing in the market, M&amp;S needs to boost its digital prowess, keep pushing the envelope with new products, </w:t>
      </w:r>
      <w:r w:rsidRPr="002F0C44">
        <w:lastRenderedPageBreak/>
        <w:t>and use sustainability to set itself apart.   Porter's Five Forces framework is a crucial tool for guiding strategic decisions based on facts and increasing long-term competitive advantages.</w:t>
      </w:r>
    </w:p>
    <w:p w:rsidR="008830D2" w:rsidRDefault="008830D2" w:rsidP="008830D2"/>
    <w:p w:rsidR="008830D2" w:rsidRDefault="008830D2" w:rsidP="008830D2"/>
    <w:p w:rsidR="008830D2" w:rsidRDefault="008830D2" w:rsidP="008830D2"/>
    <w:p w:rsidR="008830D2" w:rsidRDefault="008830D2" w:rsidP="008830D2"/>
    <w:p w:rsidR="008830D2" w:rsidRDefault="008830D2" w:rsidP="008830D2"/>
    <w:p w:rsidR="008830D2" w:rsidRDefault="008830D2" w:rsidP="008830D2"/>
    <w:p w:rsidR="008830D2" w:rsidRDefault="008830D2" w:rsidP="008830D2"/>
    <w:p w:rsidR="008830D2" w:rsidRDefault="008830D2" w:rsidP="008830D2"/>
    <w:p w:rsidR="008830D2" w:rsidRDefault="008830D2" w:rsidP="008830D2"/>
    <w:p w:rsidR="008830D2" w:rsidRDefault="008830D2" w:rsidP="008830D2"/>
    <w:p w:rsidR="008830D2" w:rsidRPr="008830D2" w:rsidRDefault="008830D2" w:rsidP="008830D2"/>
    <w:p w:rsidR="008830D2" w:rsidRDefault="008830D2" w:rsidP="008830D2"/>
    <w:p w:rsidR="002F0C44" w:rsidRDefault="002F0C44" w:rsidP="008830D2"/>
    <w:p w:rsidR="002F0C44" w:rsidRDefault="002F0C44" w:rsidP="008830D2"/>
    <w:p w:rsidR="002F0C44" w:rsidRDefault="002F0C44" w:rsidP="008830D2"/>
    <w:p w:rsidR="002F0C44" w:rsidRDefault="002F0C44" w:rsidP="008830D2"/>
    <w:p w:rsidR="002F0C44" w:rsidRDefault="002F0C44" w:rsidP="008830D2"/>
    <w:p w:rsidR="002F0C44" w:rsidRDefault="002F0C44" w:rsidP="008830D2"/>
    <w:p w:rsidR="002F0C44" w:rsidRPr="008830D2" w:rsidRDefault="002F0C44" w:rsidP="008830D2"/>
    <w:p w:rsidR="00565D25" w:rsidRDefault="00565D25" w:rsidP="00565D25"/>
    <w:p w:rsidR="00565D25" w:rsidRPr="00565D25" w:rsidRDefault="00565D25" w:rsidP="00565D25"/>
    <w:p w:rsidR="002F0C44" w:rsidRDefault="00B03F1D" w:rsidP="002A4F1F">
      <w:pPr>
        <w:pStyle w:val="Heading1"/>
      </w:pPr>
      <w:bookmarkStart w:id="6" w:name="_Toc213935266"/>
      <w:r>
        <w:lastRenderedPageBreak/>
        <w:t>References</w:t>
      </w:r>
      <w:bookmarkEnd w:id="6"/>
    </w:p>
    <w:p w:rsidR="002A4F1F" w:rsidRDefault="002A4F1F" w:rsidP="002F0C44">
      <w:r w:rsidRPr="002A4F1F">
        <w:rPr>
          <w:noProof/>
          <w:lang w:val="en-GB"/>
        </w:rPr>
        <w:drawing>
          <wp:inline distT="0" distB="0" distL="0" distR="0" wp14:anchorId="37AF8E4F" wp14:editId="29FFAF86">
            <wp:extent cx="5731510" cy="55702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570220"/>
                    </a:xfrm>
                    <a:prstGeom prst="rect">
                      <a:avLst/>
                    </a:prstGeom>
                  </pic:spPr>
                </pic:pic>
              </a:graphicData>
            </a:graphic>
          </wp:inline>
        </w:drawing>
      </w:r>
    </w:p>
    <w:p w:rsidR="002A4F1F" w:rsidRDefault="002A4F1F" w:rsidP="002A4F1F">
      <w:r w:rsidRPr="002A4F1F">
        <w:rPr>
          <w:noProof/>
          <w:lang w:val="en-GB"/>
        </w:rPr>
        <w:drawing>
          <wp:inline distT="0" distB="0" distL="0" distR="0" wp14:anchorId="1ACDFE93" wp14:editId="1DE7C02E">
            <wp:extent cx="5731510" cy="17335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733550"/>
                    </a:xfrm>
                    <a:prstGeom prst="rect">
                      <a:avLst/>
                    </a:prstGeom>
                  </pic:spPr>
                </pic:pic>
              </a:graphicData>
            </a:graphic>
          </wp:inline>
        </w:drawing>
      </w:r>
    </w:p>
    <w:p w:rsidR="002A4F1F" w:rsidRDefault="002A4F1F" w:rsidP="002A4F1F"/>
    <w:p w:rsidR="002A4F1F" w:rsidRPr="002A4F1F" w:rsidRDefault="002A4F1F" w:rsidP="002A4F1F"/>
    <w:sectPr w:rsidR="002A4F1F" w:rsidRPr="002A4F1F" w:rsidSect="00D62F7A">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887" w:rsidRDefault="00487887" w:rsidP="00951221">
      <w:pPr>
        <w:spacing w:after="0" w:line="240" w:lineRule="auto"/>
      </w:pPr>
      <w:r>
        <w:separator/>
      </w:r>
    </w:p>
  </w:endnote>
  <w:endnote w:type="continuationSeparator" w:id="0">
    <w:p w:rsidR="00487887" w:rsidRDefault="00487887"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368462"/>
      <w:docPartObj>
        <w:docPartGallery w:val="Page Numbers (Bottom of Page)"/>
        <w:docPartUnique/>
      </w:docPartObj>
    </w:sdtPr>
    <w:sdtEndPr>
      <w:rPr>
        <w:noProof/>
      </w:rPr>
    </w:sdtEndPr>
    <w:sdtContent>
      <w:p w:rsidR="00421660" w:rsidRDefault="00421660">
        <w:pPr>
          <w:pStyle w:val="Footer"/>
          <w:jc w:val="center"/>
        </w:pPr>
        <w:r>
          <w:fldChar w:fldCharType="begin"/>
        </w:r>
        <w:r>
          <w:instrText xml:space="preserve"> PAGE   \* MERGEFORMAT </w:instrText>
        </w:r>
        <w:r>
          <w:fldChar w:fldCharType="separate"/>
        </w:r>
        <w:r w:rsidR="00A051FC">
          <w:rPr>
            <w:noProof/>
          </w:rPr>
          <w:t>8</w:t>
        </w:r>
        <w:r>
          <w:rPr>
            <w:noProof/>
          </w:rPr>
          <w:fldChar w:fldCharType="end"/>
        </w:r>
      </w:p>
    </w:sdtContent>
  </w:sdt>
  <w:p w:rsidR="00951221" w:rsidRDefault="00421660" w:rsidP="00421660">
    <w:pPr>
      <w:pStyle w:val="Footer"/>
      <w:tabs>
        <w:tab w:val="clear" w:pos="4513"/>
        <w:tab w:val="clear" w:pos="9026"/>
        <w:tab w:val="left" w:pos="5004"/>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1340660"/>
      <w:docPartObj>
        <w:docPartGallery w:val="Page Numbers (Bottom of Page)"/>
        <w:docPartUnique/>
      </w:docPartObj>
    </w:sdtPr>
    <w:sdtEndPr>
      <w:rPr>
        <w:noProof/>
      </w:rPr>
    </w:sdtEndPr>
    <w:sdtContent>
      <w:p w:rsidR="00D62F7A" w:rsidRDefault="00D62F7A">
        <w:pPr>
          <w:pStyle w:val="Footer"/>
          <w:jc w:val="center"/>
        </w:pPr>
        <w:r>
          <w:fldChar w:fldCharType="begin"/>
        </w:r>
        <w:r>
          <w:instrText xml:space="preserve"> PAGE   \* MERGEFORMAT </w:instrText>
        </w:r>
        <w:r>
          <w:fldChar w:fldCharType="separate"/>
        </w:r>
        <w:r w:rsidR="00A051FC">
          <w:rPr>
            <w:noProof/>
          </w:rPr>
          <w:t>1</w:t>
        </w:r>
        <w:r>
          <w:rPr>
            <w:noProof/>
          </w:rPr>
          <w:fldChar w:fldCharType="end"/>
        </w:r>
      </w:p>
    </w:sdtContent>
  </w:sdt>
  <w:p w:rsidR="00522ACE" w:rsidRDefault="00522A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887" w:rsidRDefault="00487887" w:rsidP="00951221">
      <w:pPr>
        <w:spacing w:after="0" w:line="240" w:lineRule="auto"/>
      </w:pPr>
      <w:r>
        <w:separator/>
      </w:r>
    </w:p>
  </w:footnote>
  <w:footnote w:type="continuationSeparator" w:id="0">
    <w:p w:rsidR="00487887" w:rsidRDefault="00487887" w:rsidP="009512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660" w:rsidRDefault="00421660">
    <w:pPr>
      <w:pStyle w:val="Header"/>
      <w:jc w:val="center"/>
    </w:pPr>
  </w:p>
  <w:p w:rsidR="00421660" w:rsidRDefault="004216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D0"/>
    <w:rsid w:val="0002240A"/>
    <w:rsid w:val="000477CB"/>
    <w:rsid w:val="00062CD0"/>
    <w:rsid w:val="000E7C13"/>
    <w:rsid w:val="00145270"/>
    <w:rsid w:val="00160DDA"/>
    <w:rsid w:val="001B2CD5"/>
    <w:rsid w:val="001C24A7"/>
    <w:rsid w:val="001C4EFC"/>
    <w:rsid w:val="00244F5A"/>
    <w:rsid w:val="002464E5"/>
    <w:rsid w:val="002A4F1F"/>
    <w:rsid w:val="002A67BE"/>
    <w:rsid w:val="002D60C8"/>
    <w:rsid w:val="002F0C44"/>
    <w:rsid w:val="003145E4"/>
    <w:rsid w:val="00326B1C"/>
    <w:rsid w:val="003430C1"/>
    <w:rsid w:val="00381BE6"/>
    <w:rsid w:val="00404E8D"/>
    <w:rsid w:val="00421660"/>
    <w:rsid w:val="00423FE7"/>
    <w:rsid w:val="004636C3"/>
    <w:rsid w:val="004700BA"/>
    <w:rsid w:val="00487460"/>
    <w:rsid w:val="00487887"/>
    <w:rsid w:val="0049466D"/>
    <w:rsid w:val="004C2CA6"/>
    <w:rsid w:val="004C42A2"/>
    <w:rsid w:val="00522ACE"/>
    <w:rsid w:val="00550DB0"/>
    <w:rsid w:val="005639AE"/>
    <w:rsid w:val="00565D25"/>
    <w:rsid w:val="00574016"/>
    <w:rsid w:val="0063027B"/>
    <w:rsid w:val="00630C03"/>
    <w:rsid w:val="00650862"/>
    <w:rsid w:val="00705EA9"/>
    <w:rsid w:val="00717C4C"/>
    <w:rsid w:val="0076028A"/>
    <w:rsid w:val="00760641"/>
    <w:rsid w:val="00785647"/>
    <w:rsid w:val="00785C37"/>
    <w:rsid w:val="007B2711"/>
    <w:rsid w:val="007C20B9"/>
    <w:rsid w:val="007E14E7"/>
    <w:rsid w:val="007F0A12"/>
    <w:rsid w:val="008306E5"/>
    <w:rsid w:val="00840196"/>
    <w:rsid w:val="008830D2"/>
    <w:rsid w:val="008F6D95"/>
    <w:rsid w:val="00934E4A"/>
    <w:rsid w:val="009360D1"/>
    <w:rsid w:val="00951221"/>
    <w:rsid w:val="00964AD2"/>
    <w:rsid w:val="00970547"/>
    <w:rsid w:val="00975775"/>
    <w:rsid w:val="00981D21"/>
    <w:rsid w:val="00987119"/>
    <w:rsid w:val="009960BE"/>
    <w:rsid w:val="009A33CF"/>
    <w:rsid w:val="009C122D"/>
    <w:rsid w:val="009C7602"/>
    <w:rsid w:val="00A030CE"/>
    <w:rsid w:val="00A051FC"/>
    <w:rsid w:val="00A90454"/>
    <w:rsid w:val="00AD77F6"/>
    <w:rsid w:val="00B03F1D"/>
    <w:rsid w:val="00B10B87"/>
    <w:rsid w:val="00B76E01"/>
    <w:rsid w:val="00B80913"/>
    <w:rsid w:val="00BA3523"/>
    <w:rsid w:val="00BB368E"/>
    <w:rsid w:val="00BE00C3"/>
    <w:rsid w:val="00BE0821"/>
    <w:rsid w:val="00C04E83"/>
    <w:rsid w:val="00C17A50"/>
    <w:rsid w:val="00C62F9F"/>
    <w:rsid w:val="00C73249"/>
    <w:rsid w:val="00CB7299"/>
    <w:rsid w:val="00CC7DAB"/>
    <w:rsid w:val="00CD3945"/>
    <w:rsid w:val="00CE1888"/>
    <w:rsid w:val="00CF2F99"/>
    <w:rsid w:val="00D40831"/>
    <w:rsid w:val="00D434A8"/>
    <w:rsid w:val="00D605FA"/>
    <w:rsid w:val="00D62F7A"/>
    <w:rsid w:val="00D70DCD"/>
    <w:rsid w:val="00DD26F6"/>
    <w:rsid w:val="00DF7C02"/>
    <w:rsid w:val="00E4000B"/>
    <w:rsid w:val="00E432A7"/>
    <w:rsid w:val="00E67CF3"/>
    <w:rsid w:val="00E9238B"/>
    <w:rsid w:val="00E951C7"/>
    <w:rsid w:val="00EF63C8"/>
    <w:rsid w:val="00F010AB"/>
    <w:rsid w:val="00F13B5A"/>
    <w:rsid w:val="00F1622D"/>
    <w:rsid w:val="00F33870"/>
    <w:rsid w:val="00F33CBF"/>
    <w:rsid w:val="00F549A3"/>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A7"/>
    <w:pPr>
      <w:spacing w:line="360" w:lineRule="auto"/>
      <w:jc w:val="both"/>
    </w:pPr>
    <w:rPr>
      <w:rFonts w:ascii="Arial" w:hAnsi="Arial"/>
      <w:sz w:val="24"/>
    </w:rPr>
  </w:style>
  <w:style w:type="paragraph" w:styleId="Heading1">
    <w:name w:val="heading 1"/>
    <w:basedOn w:val="Normal"/>
    <w:next w:val="Normal"/>
    <w:link w:val="Heading1Char"/>
    <w:uiPriority w:val="9"/>
    <w:qFormat/>
    <w:rsid w:val="00C04E83"/>
    <w:pPr>
      <w:keepNext/>
      <w:keepLines/>
      <w:spacing w:before="240" w:after="0"/>
      <w:outlineLvl w:val="0"/>
    </w:pPr>
    <w:rPr>
      <w:rFonts w:eastAsiaTheme="majorEastAsia" w:cstheme="majorBidi"/>
      <w:b/>
      <w:color w:val="1F4E79" w:themeColor="accent1" w:themeShade="80"/>
      <w:sz w:val="28"/>
      <w:szCs w:val="32"/>
    </w:rPr>
  </w:style>
  <w:style w:type="paragraph" w:styleId="Heading2">
    <w:name w:val="heading 2"/>
    <w:basedOn w:val="Normal"/>
    <w:next w:val="Normal"/>
    <w:link w:val="Heading2Char"/>
    <w:uiPriority w:val="9"/>
    <w:unhideWhenUsed/>
    <w:qFormat/>
    <w:rsid w:val="00C04E83"/>
    <w:pPr>
      <w:keepNext/>
      <w:keepLines/>
      <w:spacing w:before="40" w:after="0"/>
      <w:outlineLvl w:val="1"/>
    </w:pPr>
    <w:rPr>
      <w:rFonts w:eastAsiaTheme="majorEastAsia" w:cstheme="majorBidi"/>
      <w:b/>
      <w:color w:val="1F4E79" w:themeColor="accent1"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E83"/>
    <w:rPr>
      <w:rFonts w:ascii="Arial" w:eastAsiaTheme="majorEastAsia" w:hAnsi="Arial" w:cstheme="majorBidi"/>
      <w:b/>
      <w:color w:val="1F4E79" w:themeColor="accent1" w:themeShade="80"/>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C04E83"/>
    <w:rPr>
      <w:rFonts w:ascii="Arial" w:eastAsiaTheme="majorEastAsia" w:hAnsi="Arial" w:cstheme="majorBidi"/>
      <w:b/>
      <w:color w:val="1F4E79" w:themeColor="accent1" w:themeShade="80"/>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character" w:styleId="FollowedHyperlink">
    <w:name w:val="FollowedHyperlink"/>
    <w:basedOn w:val="DefaultParagraphFont"/>
    <w:uiPriority w:val="99"/>
    <w:semiHidden/>
    <w:unhideWhenUsed/>
    <w:rsid w:val="002A4F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7915171">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222495357">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690184025">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89868363">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83F69-D322-434D-A028-22EE3CB26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8</Pages>
  <Words>1494</Words>
  <Characters>8517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93</cp:revision>
  <dcterms:created xsi:type="dcterms:W3CDTF">2024-04-27T08:57:00Z</dcterms:created>
  <dcterms:modified xsi:type="dcterms:W3CDTF">2025-11-13T15:16:00Z</dcterms:modified>
</cp:coreProperties>
</file>