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B76F8" w14:textId="77777777" w:rsidR="00AD367D" w:rsidRDefault="00B86D3C" w:rsidP="00DF7AA2">
      <w:pPr>
        <w:pStyle w:val="Heading1"/>
        <w:spacing w:line="480" w:lineRule="auto"/>
        <w:jc w:val="both"/>
      </w:pPr>
      <w:r w:rsidRPr="00AD367D">
        <w:t xml:space="preserve">Introduction </w:t>
      </w:r>
    </w:p>
    <w:p w14:paraId="278300A4" w14:textId="67BC59EF" w:rsidR="002A38E6" w:rsidRDefault="00B86D3C" w:rsidP="002A38E6">
      <w:pPr>
        <w:pStyle w:val="NoSpacing"/>
        <w:spacing w:line="480" w:lineRule="auto"/>
        <w:jc w:val="both"/>
      </w:pPr>
      <w:r w:rsidRPr="00D905A8">
        <w:t>Change within the health and care management industry is a necessary process that does not cease because its nature requires to adjust in response to technological, patient demands, and regulatory changes</w:t>
      </w:r>
      <w:r w:rsidR="00033492" w:rsidRPr="00B92F1F">
        <w:t>(Tortorella et al., 2020)</w:t>
      </w:r>
      <w:r w:rsidRPr="00D905A8">
        <w:t>. The need for accepting change within the context of health management must be emphasised because it directly influences patient care quality, efficiency in service delivery, and sustainability of healthcare systems. In a time of new medical tech advancements and changing demographics, healthcare organisations must quickly stay relevant and practical. This essay establishes that organisational change significantly influences an organisation's behaviour in nursing and healthcare management, affecting other aspects such as morale, staff communication patterns, and operational efficiency. By critically examining modern themes, theories, and cases, this essay will address the nature of organisational change and its implications for organisational behaviour. In exploring the challenges and opportunities that arise with organisational change, this essay hopes to contribute to answering how best we can manage changes in healthcare institutions</w:t>
      </w:r>
      <w:r w:rsidR="00033492" w:rsidRPr="00B92F1F">
        <w:t>(Saint-Lary et al., 2020</w:t>
      </w:r>
      <w:r w:rsidR="00033492">
        <w:t>)</w:t>
      </w:r>
      <w:r w:rsidRPr="00D905A8">
        <w:t>.</w:t>
      </w:r>
    </w:p>
    <w:p w14:paraId="1FDFE951" w14:textId="77777777" w:rsidR="002A38E6" w:rsidRDefault="002A38E6" w:rsidP="002A38E6">
      <w:pPr>
        <w:pStyle w:val="NoSpacing"/>
        <w:spacing w:line="480" w:lineRule="auto"/>
        <w:jc w:val="both"/>
      </w:pPr>
    </w:p>
    <w:p w14:paraId="60AF4411" w14:textId="65C3B306" w:rsidR="00AD367D" w:rsidRDefault="00B86D3C" w:rsidP="002A38E6">
      <w:pPr>
        <w:pStyle w:val="NoSpacing"/>
        <w:spacing w:line="480" w:lineRule="auto"/>
        <w:jc w:val="both"/>
        <w:rPr>
          <w:rStyle w:val="text-with-replacments"/>
        </w:rPr>
      </w:pPr>
      <w:r w:rsidRPr="00801624">
        <w:t>The organisational change in health and care management means the process that transformed his policy, technology implementation, dynamic workforce issues, and patient needs. It involves a diverse set of services, including restructuring to new systems and health information, which helps improve patient care and operational efficiency. Healthcare organisations face financial limits and pressures of budgetary constraints, requiring cost-reducing measures, resource optimisation strategies, and management financial planning for sustainability in the quality provision. These constraints play a significant role in decision-making, prioritisation of services, and all-round organisational strategy</w:t>
      </w:r>
      <w:r w:rsidR="00033492" w:rsidRPr="00801624">
        <w:t>(Kotcher et al., 2021)</w:t>
      </w:r>
      <w:r w:rsidRPr="00801624">
        <w:t xml:space="preserve">. These two themes significantly reshape organisational behaviour within this sector, as it studies the behavioural patterns of individuals and groups working in healthcare settings – such </w:t>
      </w:r>
      <w:r w:rsidRPr="00801624">
        <w:lastRenderedPageBreak/>
        <w:t xml:space="preserve">changes include restructuring the organisations or financial issues. </w:t>
      </w:r>
      <w:r w:rsidR="00801624" w:rsidRPr="00801624">
        <w:t xml:space="preserve"> </w:t>
      </w:r>
      <w:r w:rsidR="00801624" w:rsidRPr="00801624">
        <w:rPr>
          <w:rStyle w:val="text-with-replacments"/>
        </w:rPr>
        <w:t xml:space="preserve">The awareness of organisational behaviour that is relevant to the health care management is crucial for solving challenges that come with the provision of the healthcare services and establishing an environment where increases adaptability, resilience, and perpetual learning occur because of the changes that occur in the structure and </w:t>
      </w:r>
      <w:r w:rsidR="00801624" w:rsidRPr="002A38E6">
        <w:rPr>
          <w:rStyle w:val="text-with-replacments"/>
        </w:rPr>
        <w:t>distribution of financial resources.</w:t>
      </w:r>
    </w:p>
    <w:p w14:paraId="6DB8DEAB" w14:textId="77777777" w:rsidR="002A38E6" w:rsidRDefault="002A38E6" w:rsidP="002A38E6">
      <w:pPr>
        <w:pStyle w:val="NoSpacing"/>
        <w:spacing w:line="480" w:lineRule="auto"/>
        <w:jc w:val="both"/>
      </w:pPr>
    </w:p>
    <w:p w14:paraId="3ED3379D" w14:textId="77777777" w:rsidR="00801624" w:rsidRDefault="00801624" w:rsidP="00801624">
      <w:pPr>
        <w:pStyle w:val="NoSpacing"/>
        <w:spacing w:line="480" w:lineRule="auto"/>
        <w:jc w:val="both"/>
      </w:pPr>
      <w:r w:rsidRPr="00801624">
        <w:rPr>
          <w:rStyle w:val="text-with-replacments"/>
        </w:rPr>
        <w:t>The range in influence runs from the extremely beneficial to the problematic ones in term of change that affects behaviour within the healthcare setting. However, even though organizational change might not always be fully perceived by all employees as something positive, it is, nonetheless, often seen as the means to achieve higher agility and flexibility—which are undoubtedly the key factors for a smooth operation of the dynamic industry of health care. Such adjustments enhance a working atmosphere in which staff are more willing to adopt newer ways, technologies, and ideas that can aid them to be more flexible and together handle changing health conditions, policy, or patient matters. Adaptation process will put organisation in such a state to deal with dynamic conditions and that is how it will be able to learn and improve effectiveness (McKimm et al., 2020).</w:t>
      </w:r>
    </w:p>
    <w:p w14:paraId="48094A0B" w14:textId="77777777" w:rsidR="00D905A8" w:rsidRDefault="00801624" w:rsidP="00801624">
      <w:pPr>
        <w:pStyle w:val="NoSpacing"/>
        <w:spacing w:line="480" w:lineRule="auto"/>
        <w:jc w:val="both"/>
      </w:pPr>
      <w:r w:rsidRPr="00801624">
        <w:rPr>
          <w:rStyle w:val="text-with-replacments"/>
        </w:rPr>
        <w:t>The immediate effects of organizational changes may involve an increased effectiveness of personnel alongside better processes and procedures. Healthcare setup can advance itself by doing process simplification, technology adaptation and employee role realignment on instincts.</w:t>
      </w:r>
      <w:r w:rsidR="00B86D3C" w:rsidRPr="00D905A8">
        <w:t>For instance, the introduction of EMRs has changed a lot and better patient data storage, eliminating errors and making it easy for anyone to access detailed information, thus enabling more intelligent decision-making. Such changes are often associated with improved patient outcomes, increased employee satisfaction resulting from fewer administrative responsibilities, and increased quality of care.</w:t>
      </w:r>
      <w:r w:rsidR="00B86D3C">
        <w:rPr>
          <w:lang w:val="en-US"/>
        </w:rPr>
        <w:t xml:space="preserve"> </w:t>
      </w:r>
      <w:r w:rsidR="00B86D3C" w:rsidRPr="00D905A8">
        <w:t xml:space="preserve">But organisational change also has its difficulties. Change resistance is a normal reaction, which different reasons, as paranoia of such unknown, </w:t>
      </w:r>
      <w:r w:rsidR="00B86D3C" w:rsidRPr="00D905A8">
        <w:lastRenderedPageBreak/>
        <w:t>perceived risks to job security and discomfort with new procedures can cause. Passive resistance would be one form of this opposition, and active sabotage measures would be taken against change initiatives. Such behaviour can significantly retard the introduction of new processes or technologies and hence result in a delay, higher cost implications all as well as deprecating morale among even those members who may otherwise support change</w:t>
      </w:r>
      <w:r w:rsidR="00B92F1F" w:rsidRPr="00B92F1F">
        <w:t>(Demou, Hale, &amp; Hunt, 2020)</w:t>
      </w:r>
      <w:r w:rsidR="00B86D3C" w:rsidRPr="00D905A8">
        <w:t>.</w:t>
      </w:r>
    </w:p>
    <w:p w14:paraId="7FB028C3" w14:textId="77777777" w:rsidR="002A38E6" w:rsidRDefault="00B86D3C" w:rsidP="002A38E6">
      <w:pPr>
        <w:pStyle w:val="NoSpacing"/>
        <w:spacing w:line="480" w:lineRule="auto"/>
        <w:jc w:val="both"/>
        <w:rPr>
          <w:rStyle w:val="text-with-replacments"/>
        </w:rPr>
      </w:pPr>
      <w:r w:rsidRPr="00801624">
        <w:t xml:space="preserve">Even the implementation of innovation may cause stress and anxiety in staff. The uncertainties and interruptions brought by change processes can be chaotic regarding how the staff respond or behave, hence lower morale. This is especially true for the healthcare industry, where high stakes and stressful work make burnout inevitable. </w:t>
      </w:r>
      <w:r w:rsidR="00801624" w:rsidRPr="00801624">
        <w:rPr>
          <w:rStyle w:val="text-with-replacments"/>
        </w:rPr>
        <w:t xml:space="preserve">Where one is supposed to know new systems or different procedures; the staff might feel inadequate, which all the same could negatively affect the service provision and workplace morale. A prosecution in reality is a clear example of change within the organization which effect the behavior is both positive and negative. One of the examples is the implementation of the once only projects at the Mayo Clinic. This change is an initiative to ensure a smooth flow of the services and better care for the patients. It became common for them to be amongst the major causes of stress for some staff and long training programs added to the problem. Report by some staff about the stress levels increased and resistance was also noted. Lean management approach in Virginia Mason Medical Center reduced some of the waste and improved efficiency, the ideal organization asset. In addition to improving the way patient care is performed, this change drastically implied a new culture where every staff member is always aiming for excellence and resilience in the face of environmental changes. Examining the process demonstrates the healthcare system's complexity in dealing with organizational change. They underline that it is imperative to have a strategic planning, interior communication and a supportive leadership in place even during times of change when only the positive ones are focused on. Understanding the Janus </w:t>
      </w:r>
      <w:r w:rsidR="00801624" w:rsidRPr="00801624">
        <w:rPr>
          <w:rStyle w:val="text-with-replacments"/>
        </w:rPr>
        <w:lastRenderedPageBreak/>
        <w:t>face of change in human behaviour as a two-way blade for the healthcare leaders, who want innovation and consolidation to coexist in search of the better patient outcome (Ricci-Cabello et al., 2020).</w:t>
      </w:r>
    </w:p>
    <w:p w14:paraId="34AB9DC6" w14:textId="3BC13F8F" w:rsidR="008B6A6A" w:rsidRDefault="00B86D3C" w:rsidP="002A38E6">
      <w:pPr>
        <w:pStyle w:val="NoSpacing"/>
        <w:spacing w:line="480" w:lineRule="auto"/>
        <w:jc w:val="both"/>
      </w:pPr>
      <w:r w:rsidRPr="008B6A6A">
        <w:t xml:space="preserve"> </w:t>
      </w:r>
    </w:p>
    <w:p w14:paraId="36D076B8" w14:textId="77777777" w:rsidR="00801624" w:rsidRDefault="00801624" w:rsidP="00801624">
      <w:pPr>
        <w:pStyle w:val="NoSpacing"/>
        <w:spacing w:line="480" w:lineRule="auto"/>
        <w:jc w:val="both"/>
      </w:pPr>
      <w:r w:rsidRPr="00801624">
        <w:rPr>
          <w:rStyle w:val="text-with-replacments"/>
        </w:rPr>
        <w:t>Theorical frameworks are in a leading role in health management analysis of organizational change and budgetary constraints, and the impact on behavioural norms. Lewin's Change Management Model, a framework consisting of three stages: since individuals can change their attitude through the feelings of being in a state of unfreezing, feeling of being frozen and refreezing, can be good for creating and stabilising an organization setting (Lewin 1947). This Model raiments the typical organization change cycle comprising readying the organization for change, the change itself and maintaining the ‘new normal in the organization as a default procedure, open to healthcare settings undergoing technological upgrades or policy changes. Furthermore, the Contingency Theory perceives no universal perfect way for running and managing an organisation; leadership styles can be affected by situational factors such as leader-member relationship, task structure or power distribution/authority differences. This theory can be effectively applied to budgetary constraints and organisational change since it has to be amended in accordance with the problems and their respective solutions for the issues that are specific to those unique situations (Haque, 2021).</w:t>
      </w:r>
    </w:p>
    <w:p w14:paraId="70AC4FA5" w14:textId="496E32EE" w:rsidR="00AD367D" w:rsidRDefault="00801624" w:rsidP="002A38E6">
      <w:pPr>
        <w:pStyle w:val="NoSpacing"/>
        <w:spacing w:line="480" w:lineRule="auto"/>
        <w:jc w:val="both"/>
        <w:rPr>
          <w:rStyle w:val="text-with-replacments"/>
        </w:rPr>
      </w:pPr>
      <w:r w:rsidRPr="00801624">
        <w:rPr>
          <w:rStyle w:val="text-with-replacments"/>
        </w:rPr>
        <w:t xml:space="preserve">The health and care management area suggests leveraging various model theories to tackle the challenges in this industry like Lewin's Change Management Model and Kotter's 8-Step Change Model of Resource Dependence Theory and creating a strategy to achieve the venture's vision. Lewin's change model has always been a starting block point in e-health organisations going digital or policy modifications which reminds us to do a lot of planning and includes not only various practices but also employee motivation through assigning them a new role into the organisational culture and making their position a crucial part of the change. This model is </w:t>
      </w:r>
      <w:r w:rsidRPr="00801624">
        <w:rPr>
          <w:rStyle w:val="text-with-replacments"/>
        </w:rPr>
        <w:lastRenderedPageBreak/>
        <w:t>instrumental in aligning the staff knowledge and eliminating their indifference to novel management practices and technologies which are paramount in enhancement of the patient care. But again his 8-Step Change Model with more concrete activities is best suited to the cases of a considerable reformation of the system in the health sector, which is based on creating an energy to change and, in effect, delivering a stable change-oriented orientation. Vision and communication change, which are the key send of this model, may assist in bringing different stakeholders to a unison as different stakeholders have a chance to be a part of a shared goal in the area of patient care improvement. The Resource Dependence Theory, particularly in contexts with available budget controls, recognises and promulgates the strategic management of resources in the delivery of health care services. It is the basis of decision making on the discreet of resources allocations that ensures that limited resources are properly used for improving quality of patient's care without disturbing their service delivery. This hypothesis is of great assistance for managers from healthcare industry when they need to arrange financial resources, showcase how spending should be planned of strategic programs that aimed to improve patient outcomes (Fox et al., 2022).</w:t>
      </w:r>
    </w:p>
    <w:p w14:paraId="00AE26EA" w14:textId="77777777" w:rsidR="002A38E6" w:rsidRDefault="002A38E6" w:rsidP="002A38E6">
      <w:pPr>
        <w:pStyle w:val="NoSpacing"/>
        <w:spacing w:line="480" w:lineRule="auto"/>
        <w:jc w:val="both"/>
      </w:pPr>
    </w:p>
    <w:p w14:paraId="1D785C5D" w14:textId="77777777" w:rsidR="00D905A8" w:rsidRDefault="00B86D3C" w:rsidP="00DF7AA2">
      <w:pPr>
        <w:pStyle w:val="NoSpacing"/>
        <w:spacing w:line="480" w:lineRule="auto"/>
        <w:jc w:val="both"/>
      </w:pPr>
      <w:r w:rsidRPr="00D905A8">
        <w:t>The consequences of organisational changes on the behavioural responses in healthcare can also be characterised as a broad continuum from highly positive to very harsh. More positively, organisational change seeks to improve adaptability and flexibility – which are highly valued in such a dynamic healthcare industry. This form of change creates an environment that welcomes innovation in practices, technologies and ways of thinking, leading to a workforce that can effectively deal with new health demands emanating from emergent policy changes and patient need shifts. This is because such adaptability develops the organisation's capacity to navigate the rough uncertainty of the healthcare environment and teaches a culture characterised by constant learning and development.</w:t>
      </w:r>
    </w:p>
    <w:p w14:paraId="2D7C1329" w14:textId="77777777" w:rsidR="00D905A8" w:rsidRDefault="00B86D3C" w:rsidP="00DF7AA2">
      <w:pPr>
        <w:pStyle w:val="NoSpacing"/>
        <w:spacing w:line="480" w:lineRule="auto"/>
        <w:jc w:val="both"/>
      </w:pPr>
      <w:r w:rsidRPr="00D905A8">
        <w:lastRenderedPageBreak/>
        <w:t xml:space="preserve">Increased efficiency and productivity are some of the most apparent advantages of organisational change. The efficiency of healthcare organisations can be improved by simplifying and revising particular procedures, implementing new techniques, and redefining duties by the skills and ambitions of employees. </w:t>
      </w:r>
    </w:p>
    <w:p w14:paraId="0BF7C84A" w14:textId="77777777" w:rsidR="00D905A8" w:rsidRDefault="00B86D3C" w:rsidP="00DF7AA2">
      <w:pPr>
        <w:pStyle w:val="NoSpacing"/>
        <w:spacing w:line="480" w:lineRule="auto"/>
        <w:jc w:val="both"/>
      </w:pPr>
      <w:r w:rsidRPr="00D905A8">
        <w:t>For instance, EMRs are the introduction of electronic medical records that have transformed patient data management and minimised mistakes in record keeping, thus increasing accessibility to details and informed decision-making</w:t>
      </w:r>
      <w:r w:rsidR="00033492" w:rsidRPr="00B92F1F">
        <w:t xml:space="preserve"> (Grol &amp; Wensing, 2020)</w:t>
      </w:r>
      <w:r w:rsidRPr="00D905A8">
        <w:t>. Such changes always result in better patient outcomes, higher staff satisfaction due to lower administrative workloads and an all-round improvement of the quality care.</w:t>
      </w:r>
      <w:r>
        <w:rPr>
          <w:lang w:val="en-US"/>
        </w:rPr>
        <w:t xml:space="preserve"> </w:t>
      </w:r>
      <w:r w:rsidRPr="00D905A8">
        <w:t>However, organisational change has its challenges. Change is always resisted, and this phenomenon is driven by a dislike of the unknown, perceived threats to employment, and vulnerability concerning how things are done. Passive resistance, vocal opposition or even sabotage may show the last one a type of reaction to this change. Such displayed behaviours can significantly hinder any new processes or technologies, which would translate into delayed implementation, increased costs and lower morale in even supporters of change.</w:t>
      </w:r>
      <w:r>
        <w:rPr>
          <w:lang w:val="en-US"/>
        </w:rPr>
        <w:t xml:space="preserve"> </w:t>
      </w:r>
      <w:r w:rsidRPr="00D905A8">
        <w:t>Change may also cause increased stress and anxiety among the staff. Change processes are accompanied by uncertainties and disturbances that intimidate employees to influence employee conduct and behavioural patterns and even uplift team morale. This is especially the healthcare case where, on one hand, stakes are relatively high and, secondly stressful nature of work. The need for providers to adjust to the new systems or procedures only amplifies their incompetence and burnout, thus impacting patient care as well as workplace climate</w:t>
      </w:r>
      <w:r w:rsidR="00B92F1F" w:rsidRPr="00B92F1F">
        <w:t>(Carrasco-Peralta et al., 2019)</w:t>
      </w:r>
      <w:r w:rsidRPr="00D905A8">
        <w:t>.</w:t>
      </w:r>
    </w:p>
    <w:p w14:paraId="093F2A75" w14:textId="21AB6573" w:rsidR="00AD367D" w:rsidRDefault="00B86D3C" w:rsidP="002A38E6">
      <w:pPr>
        <w:pStyle w:val="NoSpacing"/>
        <w:spacing w:line="480" w:lineRule="auto"/>
        <w:jc w:val="both"/>
        <w:rPr>
          <w:rStyle w:val="text-with-replacments"/>
        </w:rPr>
      </w:pPr>
      <w:r w:rsidRPr="004546FC">
        <w:t>Practical examples demonstrate the ambiguous effect of organisational change on organisational behaviour. For instance, the transition from multiple to a single unified electronic health record system at Mayo Clinic created one of its significant organisational changes aimed at earning efficiency and quality in patient care.</w:t>
      </w:r>
      <w:r w:rsidR="004546FC" w:rsidRPr="004546FC">
        <w:t xml:space="preserve"> </w:t>
      </w:r>
      <w:r w:rsidR="004546FC" w:rsidRPr="004546FC">
        <w:rPr>
          <w:rStyle w:val="text-with-replacments"/>
        </w:rPr>
        <w:t xml:space="preserve">This process, however, was </w:t>
      </w:r>
      <w:r w:rsidR="004546FC" w:rsidRPr="004546FC">
        <w:rPr>
          <w:rStyle w:val="text-with-replacments"/>
        </w:rPr>
        <w:lastRenderedPageBreak/>
        <w:t>finally efficient in improving data access and patient management not without tens of hours spent on trainings for their staff as alongside it some of the employees were stressed or resistant being the reason for that. Moreover, the eradication of lead time at Virginia Mason Medical Center was done through lean management concepts, thus wastage was eliminated and efficiency were improved. This change was focused on the improvement of the patient care process and it was to delete administrative tasks, forcing the workers to use critical thinking and subject them to a new culture of support called Lean Culture which emphasizes the flexibility and continuous improvement. Here, cases studies of such nature demonstrate the intricacy of ascertaining operational alterations within health care settings. Collectively which bring the attendant traits of the leader’s knowledge on coordination, implementation, communication, and vital leadership to counter unfavourable changes and turbo the most befitting ones Balanced knowledge of behavioral consequences of organizational change is the most important element in the healthcare leader’s admission to the delicate period between innovation and steadiness as they concentrate on improving performance and achievement of the mission established (Harrison et al., 2021).</w:t>
      </w:r>
    </w:p>
    <w:p w14:paraId="3F539895" w14:textId="77777777" w:rsidR="002A38E6" w:rsidRDefault="002A38E6" w:rsidP="002A38E6">
      <w:pPr>
        <w:pStyle w:val="NoSpacing"/>
        <w:spacing w:line="480" w:lineRule="auto"/>
        <w:jc w:val="both"/>
      </w:pPr>
    </w:p>
    <w:p w14:paraId="574C7895" w14:textId="77777777" w:rsidR="004546FC" w:rsidRPr="004546FC" w:rsidRDefault="004546FC" w:rsidP="004546FC">
      <w:pPr>
        <w:pStyle w:val="NoSpacing"/>
        <w:spacing w:line="480" w:lineRule="auto"/>
        <w:jc w:val="both"/>
      </w:pPr>
      <w:r w:rsidRPr="004546FC">
        <w:rPr>
          <w:rStyle w:val="text-with-replacments"/>
        </w:rPr>
        <w:t xml:space="preserve">Thus, undoubtedly, manage organisational change is an important leadership ability that influenced by health sector only. Positive underlying attitude of organizational behaviour credits the adequate change management whereas changes are perceived by healthcare institutions due to existence of both internal and external pressures. When technology becomes more and more current and refreshed situations occur on an uncertain basis, the management competence and shifting of future scenarios will show more importance in shaping healthcare system that would be more efficient and valid. This shows that the abilities of change leadership are indeed vital and the professionals should also be equipped with them. Furthermore, the </w:t>
      </w:r>
      <w:r w:rsidRPr="004546FC">
        <w:rPr>
          <w:rStyle w:val="text-with-replacments"/>
        </w:rPr>
        <w:lastRenderedPageBreak/>
        <w:t>organizations in this sector should be maintained to spearhead the role of the quality care provider and incubator of innovation.</w:t>
      </w:r>
    </w:p>
    <w:p w14:paraId="2BBAE12B" w14:textId="77777777" w:rsidR="004546FC" w:rsidRPr="004546FC" w:rsidRDefault="004546FC" w:rsidP="004546FC">
      <w:pPr>
        <w:pStyle w:val="NoSpacing"/>
        <w:spacing w:line="480" w:lineRule="auto"/>
        <w:jc w:val="both"/>
      </w:pPr>
    </w:p>
    <w:p w14:paraId="3B5CFDD2" w14:textId="77777777" w:rsidR="00B92F1F" w:rsidRPr="004546FC" w:rsidRDefault="00B92F1F" w:rsidP="004546FC">
      <w:pPr>
        <w:pStyle w:val="NoSpacing"/>
        <w:spacing w:line="480" w:lineRule="auto"/>
        <w:jc w:val="both"/>
      </w:pPr>
    </w:p>
    <w:p w14:paraId="79823AE6" w14:textId="77777777" w:rsidR="00B92F1F" w:rsidRPr="00B92F1F" w:rsidRDefault="00B92F1F" w:rsidP="00DF7AA2">
      <w:pPr>
        <w:pStyle w:val="NoSpacing"/>
        <w:spacing w:line="480" w:lineRule="auto"/>
      </w:pPr>
    </w:p>
    <w:p w14:paraId="141A930D" w14:textId="77777777" w:rsidR="00B92F1F" w:rsidRPr="00B92F1F" w:rsidRDefault="00B92F1F" w:rsidP="00DF7AA2">
      <w:pPr>
        <w:pStyle w:val="NoSpacing"/>
        <w:spacing w:line="480" w:lineRule="auto"/>
      </w:pPr>
    </w:p>
    <w:p w14:paraId="5A881930" w14:textId="77777777" w:rsidR="00B92F1F" w:rsidRPr="00B92F1F" w:rsidRDefault="00B92F1F" w:rsidP="00DF7AA2">
      <w:pPr>
        <w:pStyle w:val="NoSpacing"/>
        <w:spacing w:line="480" w:lineRule="auto"/>
      </w:pPr>
    </w:p>
    <w:p w14:paraId="323B1A82" w14:textId="77777777" w:rsidR="00B92F1F" w:rsidRPr="00B92F1F" w:rsidRDefault="00B92F1F" w:rsidP="00DF7AA2">
      <w:pPr>
        <w:pStyle w:val="NoSpacing"/>
        <w:spacing w:line="480" w:lineRule="auto"/>
      </w:pPr>
    </w:p>
    <w:p w14:paraId="2074BF6D" w14:textId="77777777" w:rsidR="00B92F1F" w:rsidRPr="00B92F1F" w:rsidRDefault="00B92F1F" w:rsidP="00DF7AA2">
      <w:pPr>
        <w:pStyle w:val="NoSpacing"/>
        <w:spacing w:line="480" w:lineRule="auto"/>
      </w:pPr>
    </w:p>
    <w:p w14:paraId="39E0760A" w14:textId="77777777" w:rsidR="00B92F1F" w:rsidRPr="00B92F1F" w:rsidRDefault="00B92F1F" w:rsidP="00DF7AA2">
      <w:pPr>
        <w:pStyle w:val="NoSpacing"/>
        <w:spacing w:line="480" w:lineRule="auto"/>
      </w:pPr>
    </w:p>
    <w:p w14:paraId="731D355F" w14:textId="77777777" w:rsidR="00B92F1F" w:rsidRDefault="00B92F1F" w:rsidP="00DF7AA2">
      <w:pPr>
        <w:pStyle w:val="NoSpacing"/>
        <w:spacing w:line="480" w:lineRule="auto"/>
      </w:pPr>
    </w:p>
    <w:p w14:paraId="42957240" w14:textId="77777777" w:rsidR="004546FC" w:rsidRDefault="004546FC" w:rsidP="00DF7AA2">
      <w:pPr>
        <w:pStyle w:val="NoSpacing"/>
        <w:spacing w:line="480" w:lineRule="auto"/>
      </w:pPr>
    </w:p>
    <w:p w14:paraId="7A4CDB16" w14:textId="77777777" w:rsidR="004546FC" w:rsidRDefault="004546FC" w:rsidP="00DF7AA2">
      <w:pPr>
        <w:pStyle w:val="NoSpacing"/>
        <w:spacing w:line="480" w:lineRule="auto"/>
      </w:pPr>
    </w:p>
    <w:p w14:paraId="717DD306" w14:textId="77777777" w:rsidR="004546FC" w:rsidRDefault="004546FC" w:rsidP="00DF7AA2">
      <w:pPr>
        <w:pStyle w:val="NoSpacing"/>
        <w:spacing w:line="480" w:lineRule="auto"/>
      </w:pPr>
    </w:p>
    <w:p w14:paraId="03158D16" w14:textId="77777777" w:rsidR="004546FC" w:rsidRDefault="004546FC" w:rsidP="00DF7AA2">
      <w:pPr>
        <w:pStyle w:val="NoSpacing"/>
        <w:spacing w:line="480" w:lineRule="auto"/>
      </w:pPr>
    </w:p>
    <w:p w14:paraId="6CD23ADD" w14:textId="77777777" w:rsidR="004546FC" w:rsidRDefault="004546FC" w:rsidP="00DF7AA2">
      <w:pPr>
        <w:pStyle w:val="NoSpacing"/>
        <w:spacing w:line="480" w:lineRule="auto"/>
      </w:pPr>
    </w:p>
    <w:p w14:paraId="58292121" w14:textId="77777777" w:rsidR="004546FC" w:rsidRDefault="004546FC" w:rsidP="00DF7AA2">
      <w:pPr>
        <w:pStyle w:val="NoSpacing"/>
        <w:spacing w:line="480" w:lineRule="auto"/>
      </w:pPr>
    </w:p>
    <w:p w14:paraId="3CE8CEAC" w14:textId="77777777" w:rsidR="004546FC" w:rsidRDefault="004546FC" w:rsidP="00DF7AA2">
      <w:pPr>
        <w:pStyle w:val="NoSpacing"/>
        <w:spacing w:line="480" w:lineRule="auto"/>
      </w:pPr>
    </w:p>
    <w:p w14:paraId="4A4D749A" w14:textId="77777777" w:rsidR="004546FC" w:rsidRDefault="004546FC" w:rsidP="00DF7AA2">
      <w:pPr>
        <w:pStyle w:val="NoSpacing"/>
        <w:spacing w:line="480" w:lineRule="auto"/>
      </w:pPr>
    </w:p>
    <w:p w14:paraId="187F02CD" w14:textId="77777777" w:rsidR="004546FC" w:rsidRPr="00B92F1F" w:rsidRDefault="004546FC" w:rsidP="00DF7AA2">
      <w:pPr>
        <w:pStyle w:val="NoSpacing"/>
        <w:spacing w:line="480" w:lineRule="auto"/>
      </w:pPr>
    </w:p>
    <w:p w14:paraId="5B9B378E" w14:textId="77777777" w:rsidR="00B92F1F" w:rsidRPr="00B92F1F" w:rsidRDefault="00B92F1F" w:rsidP="00DF7AA2">
      <w:pPr>
        <w:pStyle w:val="NoSpacing"/>
        <w:spacing w:line="480" w:lineRule="auto"/>
      </w:pPr>
    </w:p>
    <w:p w14:paraId="6CAF2E8E" w14:textId="77777777" w:rsidR="00D905A8" w:rsidRDefault="00D905A8" w:rsidP="00DF7AA2">
      <w:pPr>
        <w:pStyle w:val="NoSpacing"/>
        <w:spacing w:line="480" w:lineRule="auto"/>
        <w:jc w:val="both"/>
        <w:rPr>
          <w:lang w:val="en-US"/>
        </w:rPr>
      </w:pPr>
    </w:p>
    <w:p w14:paraId="1799F3FA" w14:textId="77777777" w:rsidR="00165DB1" w:rsidRDefault="00B86D3C" w:rsidP="00DF7AA2">
      <w:pPr>
        <w:pStyle w:val="Heading1"/>
        <w:spacing w:line="480" w:lineRule="auto"/>
        <w:jc w:val="both"/>
      </w:pPr>
      <w:r w:rsidRPr="00AD367D">
        <w:lastRenderedPageBreak/>
        <w:t>References</w:t>
      </w:r>
    </w:p>
    <w:p w14:paraId="08317100"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t>Carrasco-Peralta, J.A., Herrera-Usagre, M., Reyes-Alcázar, V. and Torres-Olivera, A., 2019. Healthcare accreditation as trigger of organisational change: The view of professionals. </w:t>
      </w:r>
      <w:r w:rsidRPr="00B92F1F">
        <w:rPr>
          <w:rFonts w:asciiTheme="majorBidi" w:hAnsiTheme="majorBidi" w:cstheme="majorBidi"/>
          <w:i/>
          <w:iCs/>
          <w:color w:val="222222"/>
          <w:shd w:val="clear" w:color="auto" w:fill="FFFFFF"/>
        </w:rPr>
        <w:t>Journal of healthcare quality research</w:t>
      </w:r>
      <w:r w:rsidRPr="00B92F1F">
        <w:rPr>
          <w:rFonts w:asciiTheme="majorBidi" w:hAnsiTheme="majorBidi" w:cstheme="majorBidi"/>
          <w:color w:val="222222"/>
          <w:shd w:val="clear" w:color="auto" w:fill="FFFFFF"/>
        </w:rPr>
        <w:t>, </w:t>
      </w:r>
      <w:r w:rsidRPr="00B92F1F">
        <w:rPr>
          <w:rFonts w:asciiTheme="majorBidi" w:hAnsiTheme="majorBidi" w:cstheme="majorBidi"/>
          <w:i/>
          <w:iCs/>
          <w:color w:val="222222"/>
          <w:shd w:val="clear" w:color="auto" w:fill="FFFFFF"/>
        </w:rPr>
        <w:t>34</w:t>
      </w:r>
      <w:r w:rsidRPr="00B92F1F">
        <w:rPr>
          <w:rFonts w:asciiTheme="majorBidi" w:hAnsiTheme="majorBidi" w:cstheme="majorBidi"/>
          <w:color w:val="222222"/>
          <w:shd w:val="clear" w:color="auto" w:fill="FFFFFF"/>
        </w:rPr>
        <w:t>(2), pp.59-65.</w:t>
      </w:r>
    </w:p>
    <w:p w14:paraId="6BC8C2CC"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t>Demou, E., Hale, H. and Hunt, K., 2020. Understanding the mental health and wellbeing needs of police officers and staff in Scotland. </w:t>
      </w:r>
      <w:r w:rsidRPr="00B92F1F">
        <w:rPr>
          <w:rFonts w:asciiTheme="majorBidi" w:hAnsiTheme="majorBidi" w:cstheme="majorBidi"/>
          <w:i/>
          <w:iCs/>
          <w:color w:val="222222"/>
          <w:shd w:val="clear" w:color="auto" w:fill="FFFFFF"/>
        </w:rPr>
        <w:t>Police Practice and research</w:t>
      </w:r>
      <w:r w:rsidRPr="00B92F1F">
        <w:rPr>
          <w:rFonts w:asciiTheme="majorBidi" w:hAnsiTheme="majorBidi" w:cstheme="majorBidi"/>
          <w:color w:val="222222"/>
          <w:shd w:val="clear" w:color="auto" w:fill="FFFFFF"/>
        </w:rPr>
        <w:t>, </w:t>
      </w:r>
      <w:r w:rsidRPr="00B92F1F">
        <w:rPr>
          <w:rFonts w:asciiTheme="majorBidi" w:hAnsiTheme="majorBidi" w:cstheme="majorBidi"/>
          <w:i/>
          <w:iCs/>
          <w:color w:val="222222"/>
          <w:shd w:val="clear" w:color="auto" w:fill="FFFFFF"/>
        </w:rPr>
        <w:t>21</w:t>
      </w:r>
      <w:r w:rsidRPr="00B92F1F">
        <w:rPr>
          <w:rFonts w:asciiTheme="majorBidi" w:hAnsiTheme="majorBidi" w:cstheme="majorBidi"/>
          <w:color w:val="222222"/>
          <w:shd w:val="clear" w:color="auto" w:fill="FFFFFF"/>
        </w:rPr>
        <w:t>(6), pp.702-716.</w:t>
      </w:r>
    </w:p>
    <w:p w14:paraId="0FE5F5FC"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t>Fox, K.E., Johnson, S.T., Berkman, L.F., Sianoja, M., Soh, Y., Kubzansky, L.D. and Kelly, E.L., 2022. Organisational-and group-level workplace interventions and their effect on multiple domains of worker well-being: A systematic review. </w:t>
      </w:r>
      <w:r w:rsidRPr="00B92F1F">
        <w:rPr>
          <w:rFonts w:asciiTheme="majorBidi" w:hAnsiTheme="majorBidi" w:cstheme="majorBidi"/>
          <w:i/>
          <w:iCs/>
          <w:color w:val="222222"/>
          <w:shd w:val="clear" w:color="auto" w:fill="FFFFFF"/>
        </w:rPr>
        <w:t>Work &amp; Stress</w:t>
      </w:r>
      <w:r w:rsidRPr="00B92F1F">
        <w:rPr>
          <w:rFonts w:asciiTheme="majorBidi" w:hAnsiTheme="majorBidi" w:cstheme="majorBidi"/>
          <w:color w:val="222222"/>
          <w:shd w:val="clear" w:color="auto" w:fill="FFFFFF"/>
        </w:rPr>
        <w:t>.</w:t>
      </w:r>
    </w:p>
    <w:p w14:paraId="041A915A"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t>Grol, R. and Wensing, M., 2020. Implementation of change in healthcare: A complex problem. </w:t>
      </w:r>
      <w:r w:rsidRPr="00B92F1F">
        <w:rPr>
          <w:rFonts w:asciiTheme="majorBidi" w:hAnsiTheme="majorBidi" w:cstheme="majorBidi"/>
          <w:i/>
          <w:iCs/>
          <w:color w:val="222222"/>
          <w:shd w:val="clear" w:color="auto" w:fill="FFFFFF"/>
        </w:rPr>
        <w:t>Improving patient care: The implementation of change in health care</w:t>
      </w:r>
      <w:r w:rsidRPr="00B92F1F">
        <w:rPr>
          <w:rFonts w:asciiTheme="majorBidi" w:hAnsiTheme="majorBidi" w:cstheme="majorBidi"/>
          <w:color w:val="222222"/>
          <w:shd w:val="clear" w:color="auto" w:fill="FFFFFF"/>
        </w:rPr>
        <w:t>, pp.1-20.</w:t>
      </w:r>
    </w:p>
    <w:p w14:paraId="0A46E425"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t>Haque, A., 2021. The COVID-19 pandemic and the role of responsible leadership in health care: thinking beyond employee well-being and organisational sustainability. </w:t>
      </w:r>
      <w:r w:rsidRPr="00B92F1F">
        <w:rPr>
          <w:rFonts w:asciiTheme="majorBidi" w:hAnsiTheme="majorBidi" w:cstheme="majorBidi"/>
          <w:i/>
          <w:iCs/>
          <w:color w:val="222222"/>
          <w:shd w:val="clear" w:color="auto" w:fill="FFFFFF"/>
        </w:rPr>
        <w:t>Leadership in Health Services</w:t>
      </w:r>
      <w:r w:rsidRPr="00B92F1F">
        <w:rPr>
          <w:rFonts w:asciiTheme="majorBidi" w:hAnsiTheme="majorBidi" w:cstheme="majorBidi"/>
          <w:color w:val="222222"/>
          <w:shd w:val="clear" w:color="auto" w:fill="FFFFFF"/>
        </w:rPr>
        <w:t>, </w:t>
      </w:r>
      <w:r w:rsidRPr="00B92F1F">
        <w:rPr>
          <w:rFonts w:asciiTheme="majorBidi" w:hAnsiTheme="majorBidi" w:cstheme="majorBidi"/>
          <w:i/>
          <w:iCs/>
          <w:color w:val="222222"/>
          <w:shd w:val="clear" w:color="auto" w:fill="FFFFFF"/>
        </w:rPr>
        <w:t>34</w:t>
      </w:r>
      <w:r w:rsidRPr="00B92F1F">
        <w:rPr>
          <w:rFonts w:asciiTheme="majorBidi" w:hAnsiTheme="majorBidi" w:cstheme="majorBidi"/>
          <w:color w:val="222222"/>
          <w:shd w:val="clear" w:color="auto" w:fill="FFFFFF"/>
        </w:rPr>
        <w:t>(1), pp.52-68.</w:t>
      </w:r>
    </w:p>
    <w:p w14:paraId="5CAB06A1"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t>Harrison, R., Fischer, S., Walpola, R.L., Chauhan, A., Babalola, T., Mears, S. and Le-Dao, H., 2021. Where do models for change management, improvement and implementation meet? A systematic review of the applications of change management models in healthcare. </w:t>
      </w:r>
      <w:r w:rsidRPr="00B92F1F">
        <w:rPr>
          <w:rFonts w:asciiTheme="majorBidi" w:hAnsiTheme="majorBidi" w:cstheme="majorBidi"/>
          <w:i/>
          <w:iCs/>
          <w:color w:val="222222"/>
          <w:shd w:val="clear" w:color="auto" w:fill="FFFFFF"/>
        </w:rPr>
        <w:t>Journal of healthcare leadership</w:t>
      </w:r>
      <w:r w:rsidRPr="00B92F1F">
        <w:rPr>
          <w:rFonts w:asciiTheme="majorBidi" w:hAnsiTheme="majorBidi" w:cstheme="majorBidi"/>
          <w:color w:val="222222"/>
          <w:shd w:val="clear" w:color="auto" w:fill="FFFFFF"/>
        </w:rPr>
        <w:t>, pp.85-108.</w:t>
      </w:r>
    </w:p>
    <w:p w14:paraId="282A2841"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t>Kotcher, J., Maibach, E., Miller, J., Campbell, E., Alqodmani, L., Maiero, M. and Wyns, A., 2021. Views of health professionals on climate change and health: a multinational survey study. </w:t>
      </w:r>
      <w:r w:rsidRPr="00B92F1F">
        <w:rPr>
          <w:rFonts w:asciiTheme="majorBidi" w:hAnsiTheme="majorBidi" w:cstheme="majorBidi"/>
          <w:i/>
          <w:iCs/>
          <w:color w:val="222222"/>
          <w:shd w:val="clear" w:color="auto" w:fill="FFFFFF"/>
        </w:rPr>
        <w:t>The Lancet Planetary Health</w:t>
      </w:r>
      <w:r w:rsidRPr="00B92F1F">
        <w:rPr>
          <w:rFonts w:asciiTheme="majorBidi" w:hAnsiTheme="majorBidi" w:cstheme="majorBidi"/>
          <w:color w:val="222222"/>
          <w:shd w:val="clear" w:color="auto" w:fill="FFFFFF"/>
        </w:rPr>
        <w:t>, </w:t>
      </w:r>
      <w:r w:rsidRPr="00B92F1F">
        <w:rPr>
          <w:rFonts w:asciiTheme="majorBidi" w:hAnsiTheme="majorBidi" w:cstheme="majorBidi"/>
          <w:i/>
          <w:iCs/>
          <w:color w:val="222222"/>
          <w:shd w:val="clear" w:color="auto" w:fill="FFFFFF"/>
        </w:rPr>
        <w:t>5</w:t>
      </w:r>
      <w:r w:rsidRPr="00B92F1F">
        <w:rPr>
          <w:rFonts w:asciiTheme="majorBidi" w:hAnsiTheme="majorBidi" w:cstheme="majorBidi"/>
          <w:color w:val="222222"/>
          <w:shd w:val="clear" w:color="auto" w:fill="FFFFFF"/>
        </w:rPr>
        <w:t>(5), pp.e316-e323.</w:t>
      </w:r>
    </w:p>
    <w:p w14:paraId="74571050" w14:textId="77777777" w:rsidR="00B92F1F" w:rsidRPr="00B92F1F" w:rsidRDefault="00B86D3C" w:rsidP="00DF7AA2">
      <w:pPr>
        <w:spacing w:line="480" w:lineRule="auto"/>
        <w:rPr>
          <w:rFonts w:asciiTheme="majorBidi" w:hAnsiTheme="majorBidi" w:cstheme="majorBidi"/>
          <w:sz w:val="36"/>
          <w:szCs w:val="36"/>
        </w:rPr>
      </w:pPr>
      <w:r w:rsidRPr="00B92F1F">
        <w:rPr>
          <w:rFonts w:asciiTheme="majorBidi" w:hAnsiTheme="majorBidi" w:cstheme="majorBidi"/>
          <w:color w:val="222222"/>
          <w:shd w:val="clear" w:color="auto" w:fill="FFFFFF"/>
        </w:rPr>
        <w:t>McKimm, J., Gibbs, T., Bishop, J. and Jones, P., 2020. Health Professions' Educators' Adaptation to Rapidly Changing Circumstances: The Ottawa 2020 Conference Experience. </w:t>
      </w:r>
      <w:r w:rsidRPr="00B92F1F">
        <w:rPr>
          <w:rFonts w:asciiTheme="majorBidi" w:hAnsiTheme="majorBidi" w:cstheme="majorBidi"/>
          <w:i/>
          <w:iCs/>
          <w:color w:val="222222"/>
          <w:shd w:val="clear" w:color="auto" w:fill="FFFFFF"/>
        </w:rPr>
        <w:t>MedEdPublish</w:t>
      </w:r>
      <w:r w:rsidRPr="00B92F1F">
        <w:rPr>
          <w:rFonts w:asciiTheme="majorBidi" w:hAnsiTheme="majorBidi" w:cstheme="majorBidi"/>
          <w:color w:val="222222"/>
          <w:shd w:val="clear" w:color="auto" w:fill="FFFFFF"/>
        </w:rPr>
        <w:t>, </w:t>
      </w:r>
      <w:r w:rsidRPr="00B92F1F">
        <w:rPr>
          <w:rFonts w:asciiTheme="majorBidi" w:hAnsiTheme="majorBidi" w:cstheme="majorBidi"/>
          <w:i/>
          <w:iCs/>
          <w:color w:val="222222"/>
          <w:shd w:val="clear" w:color="auto" w:fill="FFFFFF"/>
        </w:rPr>
        <w:t>9</w:t>
      </w:r>
      <w:r w:rsidRPr="00B92F1F">
        <w:rPr>
          <w:rFonts w:asciiTheme="majorBidi" w:hAnsiTheme="majorBidi" w:cstheme="majorBidi"/>
          <w:color w:val="222222"/>
          <w:shd w:val="clear" w:color="auto" w:fill="FFFFFF"/>
        </w:rPr>
        <w:t>(47), p.47.</w:t>
      </w:r>
    </w:p>
    <w:p w14:paraId="4B19D0F0"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lastRenderedPageBreak/>
        <w:t>Ricci-Cabello, I., Meneses-Echavez, J.F., Serrano-Ripoll, M.J., Fraile-Navarro, D., de Roque, M.A.F., Moreno, G.P., Castro, A., Ruiz-Pérez, I., Campos, R.Z. and Gonçalves-Bradley, D., 2020. Impact of viral epidemic outbreaks on mental health of healthcare workers: a rapid systematic review. </w:t>
      </w:r>
      <w:r w:rsidRPr="00B92F1F">
        <w:rPr>
          <w:rFonts w:asciiTheme="majorBidi" w:hAnsiTheme="majorBidi" w:cstheme="majorBidi"/>
          <w:i/>
          <w:iCs/>
          <w:color w:val="222222"/>
          <w:shd w:val="clear" w:color="auto" w:fill="FFFFFF"/>
        </w:rPr>
        <w:t>MedRxiv</w:t>
      </w:r>
      <w:r w:rsidRPr="00B92F1F">
        <w:rPr>
          <w:rFonts w:asciiTheme="majorBidi" w:hAnsiTheme="majorBidi" w:cstheme="majorBidi"/>
          <w:color w:val="222222"/>
          <w:shd w:val="clear" w:color="auto" w:fill="FFFFFF"/>
        </w:rPr>
        <w:t>, pp.2020-04.</w:t>
      </w:r>
    </w:p>
    <w:p w14:paraId="3871550A"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t>Saint-Lary, O., Gautier, S., Le Breton, J., Gilberg, S., Frappé, P., Schuers, M., Bourgueil, Y. and Renard, V., 2020. How GPs adapted their practices and organisations at the beginning of COVID-19 outbreak: a French national observational survey. </w:t>
      </w:r>
      <w:r w:rsidRPr="00B92F1F">
        <w:rPr>
          <w:rFonts w:asciiTheme="majorBidi" w:hAnsiTheme="majorBidi" w:cstheme="majorBidi"/>
          <w:i/>
          <w:iCs/>
          <w:color w:val="222222"/>
          <w:shd w:val="clear" w:color="auto" w:fill="FFFFFF"/>
        </w:rPr>
        <w:t>BMJ open</w:t>
      </w:r>
      <w:r w:rsidRPr="00B92F1F">
        <w:rPr>
          <w:rFonts w:asciiTheme="majorBidi" w:hAnsiTheme="majorBidi" w:cstheme="majorBidi"/>
          <w:color w:val="222222"/>
          <w:shd w:val="clear" w:color="auto" w:fill="FFFFFF"/>
        </w:rPr>
        <w:t>, </w:t>
      </w:r>
      <w:r w:rsidRPr="00B92F1F">
        <w:rPr>
          <w:rFonts w:asciiTheme="majorBidi" w:hAnsiTheme="majorBidi" w:cstheme="majorBidi"/>
          <w:i/>
          <w:iCs/>
          <w:color w:val="222222"/>
          <w:shd w:val="clear" w:color="auto" w:fill="FFFFFF"/>
        </w:rPr>
        <w:t>10</w:t>
      </w:r>
      <w:r w:rsidRPr="00B92F1F">
        <w:rPr>
          <w:rFonts w:asciiTheme="majorBidi" w:hAnsiTheme="majorBidi" w:cstheme="majorBidi"/>
          <w:color w:val="222222"/>
          <w:shd w:val="clear" w:color="auto" w:fill="FFFFFF"/>
        </w:rPr>
        <w:t>(12), p.e042119.</w:t>
      </w:r>
    </w:p>
    <w:p w14:paraId="6ED82FE8" w14:textId="77777777" w:rsidR="00B92F1F" w:rsidRPr="00B92F1F" w:rsidRDefault="00B86D3C" w:rsidP="00DF7AA2">
      <w:pPr>
        <w:spacing w:line="480" w:lineRule="auto"/>
        <w:rPr>
          <w:rFonts w:asciiTheme="majorBidi" w:hAnsiTheme="majorBidi" w:cstheme="majorBidi"/>
          <w:color w:val="222222"/>
          <w:shd w:val="clear" w:color="auto" w:fill="FFFFFF"/>
        </w:rPr>
      </w:pPr>
      <w:r w:rsidRPr="00B92F1F">
        <w:rPr>
          <w:rFonts w:asciiTheme="majorBidi" w:hAnsiTheme="majorBidi" w:cstheme="majorBidi"/>
          <w:color w:val="222222"/>
          <w:shd w:val="clear" w:color="auto" w:fill="FFFFFF"/>
        </w:rPr>
        <w:t>Tortorella, G.L., Fogliatto, F.S., Mac Cawley Vergara, A., Vassolo, R. and Sawhney, R., 2020. Healthcare 4.0: trends, challenges and research directions. </w:t>
      </w:r>
      <w:r w:rsidRPr="00B92F1F">
        <w:rPr>
          <w:rFonts w:asciiTheme="majorBidi" w:hAnsiTheme="majorBidi" w:cstheme="majorBidi"/>
          <w:i/>
          <w:iCs/>
          <w:color w:val="222222"/>
          <w:shd w:val="clear" w:color="auto" w:fill="FFFFFF"/>
        </w:rPr>
        <w:t>Production Planning &amp; Control</w:t>
      </w:r>
      <w:r w:rsidRPr="00B92F1F">
        <w:rPr>
          <w:rFonts w:asciiTheme="majorBidi" w:hAnsiTheme="majorBidi" w:cstheme="majorBidi"/>
          <w:color w:val="222222"/>
          <w:shd w:val="clear" w:color="auto" w:fill="FFFFFF"/>
        </w:rPr>
        <w:t>, </w:t>
      </w:r>
      <w:r w:rsidRPr="00B92F1F">
        <w:rPr>
          <w:rFonts w:asciiTheme="majorBidi" w:hAnsiTheme="majorBidi" w:cstheme="majorBidi"/>
          <w:i/>
          <w:iCs/>
          <w:color w:val="222222"/>
          <w:shd w:val="clear" w:color="auto" w:fill="FFFFFF"/>
        </w:rPr>
        <w:t>31</w:t>
      </w:r>
      <w:r w:rsidRPr="00B92F1F">
        <w:rPr>
          <w:rFonts w:asciiTheme="majorBidi" w:hAnsiTheme="majorBidi" w:cstheme="majorBidi"/>
          <w:color w:val="222222"/>
          <w:shd w:val="clear" w:color="auto" w:fill="FFFFFF"/>
        </w:rPr>
        <w:t>(15), pp.1245-1260.</w:t>
      </w:r>
    </w:p>
    <w:sectPr w:rsidR="00B92F1F" w:rsidRPr="00B92F1F" w:rsidSect="000C638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9A36C" w14:textId="77777777" w:rsidR="000C638A" w:rsidRDefault="000C638A">
      <w:r>
        <w:separator/>
      </w:r>
    </w:p>
  </w:endnote>
  <w:endnote w:type="continuationSeparator" w:id="0">
    <w:p w14:paraId="7FF4E346" w14:textId="77777777" w:rsidR="000C638A" w:rsidRDefault="000C6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AC48E" w14:textId="77777777" w:rsidR="006A2F7E" w:rsidRDefault="006A2F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B3E21" w14:textId="77777777" w:rsidR="006A2F7E" w:rsidRDefault="006A2F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FCC9E" w14:textId="77777777" w:rsidR="006A2F7E" w:rsidRDefault="006A2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7D496" w14:textId="77777777" w:rsidR="000C638A" w:rsidRDefault="000C638A">
      <w:r>
        <w:separator/>
      </w:r>
    </w:p>
  </w:footnote>
  <w:footnote w:type="continuationSeparator" w:id="0">
    <w:p w14:paraId="1C58D38C" w14:textId="77777777" w:rsidR="000C638A" w:rsidRDefault="000C63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8346312"/>
      <w:docPartObj>
        <w:docPartGallery w:val="Page Numbers (Top of Page)"/>
        <w:docPartUnique/>
      </w:docPartObj>
    </w:sdtPr>
    <w:sdtContent>
      <w:p w14:paraId="15D0AE53" w14:textId="77777777" w:rsidR="008B6A6A" w:rsidRDefault="00B86D3C" w:rsidP="00224F3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BC5A62" w14:textId="77777777" w:rsidR="008B6A6A" w:rsidRDefault="008B6A6A" w:rsidP="008B6A6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8639692"/>
      <w:docPartObj>
        <w:docPartGallery w:val="Page Numbers (Top of Page)"/>
        <w:docPartUnique/>
      </w:docPartObj>
    </w:sdtPr>
    <w:sdtContent>
      <w:p w14:paraId="13C1EC32" w14:textId="77777777" w:rsidR="008B6A6A" w:rsidRDefault="00B86D3C" w:rsidP="00224F3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A2F7E">
          <w:rPr>
            <w:rStyle w:val="PageNumber"/>
            <w:noProof/>
          </w:rPr>
          <w:t>1</w:t>
        </w:r>
        <w:r>
          <w:rPr>
            <w:rStyle w:val="PageNumber"/>
          </w:rPr>
          <w:fldChar w:fldCharType="end"/>
        </w:r>
      </w:p>
    </w:sdtContent>
  </w:sdt>
  <w:p w14:paraId="118EFCC7" w14:textId="77777777" w:rsidR="008B6A6A" w:rsidRDefault="008B6A6A" w:rsidP="008B6A6A">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12A49" w14:textId="77777777" w:rsidR="006A2F7E" w:rsidRDefault="006A2F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6417C"/>
    <w:multiLevelType w:val="multilevel"/>
    <w:tmpl w:val="DFDEFC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B72111"/>
    <w:multiLevelType w:val="multilevel"/>
    <w:tmpl w:val="6AA0E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461F94"/>
    <w:multiLevelType w:val="multilevel"/>
    <w:tmpl w:val="60E8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C12963"/>
    <w:multiLevelType w:val="multilevel"/>
    <w:tmpl w:val="E2D8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6E6113"/>
    <w:multiLevelType w:val="multilevel"/>
    <w:tmpl w:val="E168E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D4B14F0"/>
    <w:multiLevelType w:val="multilevel"/>
    <w:tmpl w:val="C372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506A55"/>
    <w:multiLevelType w:val="multilevel"/>
    <w:tmpl w:val="10168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DD51FCF"/>
    <w:multiLevelType w:val="multilevel"/>
    <w:tmpl w:val="DB40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4769002">
    <w:abstractNumId w:val="3"/>
  </w:num>
  <w:num w:numId="2" w16cid:durableId="2040929795">
    <w:abstractNumId w:val="2"/>
  </w:num>
  <w:num w:numId="3" w16cid:durableId="1147236896">
    <w:abstractNumId w:val="6"/>
  </w:num>
  <w:num w:numId="4" w16cid:durableId="2074306018">
    <w:abstractNumId w:val="1"/>
  </w:num>
  <w:num w:numId="5" w16cid:durableId="995912143">
    <w:abstractNumId w:val="7"/>
  </w:num>
  <w:num w:numId="6" w16cid:durableId="1203862811">
    <w:abstractNumId w:val="0"/>
  </w:num>
  <w:num w:numId="7" w16cid:durableId="1774128324">
    <w:abstractNumId w:val="8"/>
  </w:num>
  <w:num w:numId="8" w16cid:durableId="1860007605">
    <w:abstractNumId w:val="5"/>
  </w:num>
  <w:num w:numId="9" w16cid:durableId="18919168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367D"/>
    <w:rsid w:val="00003799"/>
    <w:rsid w:val="00006410"/>
    <w:rsid w:val="000110F0"/>
    <w:rsid w:val="000230F6"/>
    <w:rsid w:val="00026F3D"/>
    <w:rsid w:val="00033492"/>
    <w:rsid w:val="0009749C"/>
    <w:rsid w:val="000C638A"/>
    <w:rsid w:val="000F307C"/>
    <w:rsid w:val="000F3E4B"/>
    <w:rsid w:val="0011271E"/>
    <w:rsid w:val="00117F74"/>
    <w:rsid w:val="00157AB7"/>
    <w:rsid w:val="00165DB1"/>
    <w:rsid w:val="00171113"/>
    <w:rsid w:val="0017456B"/>
    <w:rsid w:val="001944FB"/>
    <w:rsid w:val="001C08DB"/>
    <w:rsid w:val="001E7F48"/>
    <w:rsid w:val="00206797"/>
    <w:rsid w:val="00213FDA"/>
    <w:rsid w:val="00224F37"/>
    <w:rsid w:val="00235BB1"/>
    <w:rsid w:val="0026647D"/>
    <w:rsid w:val="00293C1B"/>
    <w:rsid w:val="002A38E6"/>
    <w:rsid w:val="002A701D"/>
    <w:rsid w:val="002B6CE8"/>
    <w:rsid w:val="002C12ED"/>
    <w:rsid w:val="002E15F3"/>
    <w:rsid w:val="00313413"/>
    <w:rsid w:val="00321076"/>
    <w:rsid w:val="00325DA0"/>
    <w:rsid w:val="00353A34"/>
    <w:rsid w:val="00392310"/>
    <w:rsid w:val="003B1F14"/>
    <w:rsid w:val="003B2392"/>
    <w:rsid w:val="003B4553"/>
    <w:rsid w:val="003C0AE3"/>
    <w:rsid w:val="003D4A52"/>
    <w:rsid w:val="003F2898"/>
    <w:rsid w:val="00406FFC"/>
    <w:rsid w:val="00417971"/>
    <w:rsid w:val="00442549"/>
    <w:rsid w:val="004546FC"/>
    <w:rsid w:val="00460CA7"/>
    <w:rsid w:val="004727B1"/>
    <w:rsid w:val="00492E4C"/>
    <w:rsid w:val="004A4A28"/>
    <w:rsid w:val="004B494A"/>
    <w:rsid w:val="004C1201"/>
    <w:rsid w:val="004D09A5"/>
    <w:rsid w:val="004E435F"/>
    <w:rsid w:val="00542ACB"/>
    <w:rsid w:val="00554B02"/>
    <w:rsid w:val="00562DED"/>
    <w:rsid w:val="0057043A"/>
    <w:rsid w:val="00585DB7"/>
    <w:rsid w:val="005C68F2"/>
    <w:rsid w:val="005D1E52"/>
    <w:rsid w:val="00617EB7"/>
    <w:rsid w:val="00625A73"/>
    <w:rsid w:val="00641218"/>
    <w:rsid w:val="0064301F"/>
    <w:rsid w:val="006630FE"/>
    <w:rsid w:val="006749B0"/>
    <w:rsid w:val="00681C04"/>
    <w:rsid w:val="00681EBF"/>
    <w:rsid w:val="006A136F"/>
    <w:rsid w:val="006A173D"/>
    <w:rsid w:val="006A2F7E"/>
    <w:rsid w:val="006B186F"/>
    <w:rsid w:val="006C742C"/>
    <w:rsid w:val="006D0DD7"/>
    <w:rsid w:val="006F1856"/>
    <w:rsid w:val="00720A3E"/>
    <w:rsid w:val="00753D75"/>
    <w:rsid w:val="00760FC0"/>
    <w:rsid w:val="00770462"/>
    <w:rsid w:val="007A42DA"/>
    <w:rsid w:val="007E04B5"/>
    <w:rsid w:val="007E0540"/>
    <w:rsid w:val="007F7482"/>
    <w:rsid w:val="00801624"/>
    <w:rsid w:val="00822545"/>
    <w:rsid w:val="008357AC"/>
    <w:rsid w:val="0084053F"/>
    <w:rsid w:val="008511D8"/>
    <w:rsid w:val="00853B27"/>
    <w:rsid w:val="00853E72"/>
    <w:rsid w:val="008607C9"/>
    <w:rsid w:val="00864097"/>
    <w:rsid w:val="008724E1"/>
    <w:rsid w:val="008765F6"/>
    <w:rsid w:val="00877C4D"/>
    <w:rsid w:val="0088306E"/>
    <w:rsid w:val="008B5EC7"/>
    <w:rsid w:val="008B6A6A"/>
    <w:rsid w:val="008D796C"/>
    <w:rsid w:val="00932094"/>
    <w:rsid w:val="00936D8B"/>
    <w:rsid w:val="0095776F"/>
    <w:rsid w:val="009B2F33"/>
    <w:rsid w:val="009C2575"/>
    <w:rsid w:val="009C5650"/>
    <w:rsid w:val="009D5AEB"/>
    <w:rsid w:val="009E31FE"/>
    <w:rsid w:val="009E55CE"/>
    <w:rsid w:val="009F1786"/>
    <w:rsid w:val="009F4482"/>
    <w:rsid w:val="00A44F3A"/>
    <w:rsid w:val="00A64BA0"/>
    <w:rsid w:val="00A87EE9"/>
    <w:rsid w:val="00A9424A"/>
    <w:rsid w:val="00AA6A1E"/>
    <w:rsid w:val="00AA742C"/>
    <w:rsid w:val="00AB48F2"/>
    <w:rsid w:val="00AB6CF6"/>
    <w:rsid w:val="00AD367D"/>
    <w:rsid w:val="00AD3A81"/>
    <w:rsid w:val="00AE237B"/>
    <w:rsid w:val="00AE2F68"/>
    <w:rsid w:val="00AE3EFC"/>
    <w:rsid w:val="00B06F3F"/>
    <w:rsid w:val="00B103FB"/>
    <w:rsid w:val="00B312BB"/>
    <w:rsid w:val="00B32483"/>
    <w:rsid w:val="00B375A0"/>
    <w:rsid w:val="00B50760"/>
    <w:rsid w:val="00B62D50"/>
    <w:rsid w:val="00B66444"/>
    <w:rsid w:val="00B67AF1"/>
    <w:rsid w:val="00B83F79"/>
    <w:rsid w:val="00B86D3C"/>
    <w:rsid w:val="00B90D5C"/>
    <w:rsid w:val="00B92F1F"/>
    <w:rsid w:val="00B94F1F"/>
    <w:rsid w:val="00BB4CEB"/>
    <w:rsid w:val="00BD7050"/>
    <w:rsid w:val="00C00709"/>
    <w:rsid w:val="00C0762A"/>
    <w:rsid w:val="00C07C1A"/>
    <w:rsid w:val="00C23579"/>
    <w:rsid w:val="00C249ED"/>
    <w:rsid w:val="00C25208"/>
    <w:rsid w:val="00C516EB"/>
    <w:rsid w:val="00C66F04"/>
    <w:rsid w:val="00C708DF"/>
    <w:rsid w:val="00C93047"/>
    <w:rsid w:val="00C967E0"/>
    <w:rsid w:val="00C97646"/>
    <w:rsid w:val="00CE13BD"/>
    <w:rsid w:val="00CE7BF7"/>
    <w:rsid w:val="00CF2600"/>
    <w:rsid w:val="00D07FD6"/>
    <w:rsid w:val="00D264C6"/>
    <w:rsid w:val="00D61D0B"/>
    <w:rsid w:val="00D732D0"/>
    <w:rsid w:val="00D837BB"/>
    <w:rsid w:val="00D87A7D"/>
    <w:rsid w:val="00D905A8"/>
    <w:rsid w:val="00DB4FBD"/>
    <w:rsid w:val="00DF537E"/>
    <w:rsid w:val="00DF5E88"/>
    <w:rsid w:val="00DF7AA2"/>
    <w:rsid w:val="00E30BDD"/>
    <w:rsid w:val="00E5547C"/>
    <w:rsid w:val="00E65F2E"/>
    <w:rsid w:val="00E95AE1"/>
    <w:rsid w:val="00EC2BE7"/>
    <w:rsid w:val="00EF52B9"/>
    <w:rsid w:val="00F0291A"/>
    <w:rsid w:val="00F02B36"/>
    <w:rsid w:val="00F471A4"/>
    <w:rsid w:val="00F621AC"/>
    <w:rsid w:val="00F62C18"/>
    <w:rsid w:val="00F75D5C"/>
    <w:rsid w:val="00F92216"/>
    <w:rsid w:val="00F92E39"/>
    <w:rsid w:val="00FA01A3"/>
    <w:rsid w:val="00FD6869"/>
    <w:rsid w:val="00FF2E91"/>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0E21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F1F"/>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CF2600"/>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21076"/>
    <w:pPr>
      <w:keepNext/>
      <w:keepLines/>
      <w:spacing w:before="40"/>
      <w:outlineLvl w:val="1"/>
    </w:pPr>
    <w:rPr>
      <w:rFonts w:eastAsiaTheme="majorEastAsia" w:cstheme="majorBidi"/>
      <w:b/>
      <w:i/>
      <w:szCs w:val="26"/>
    </w:rPr>
  </w:style>
  <w:style w:type="paragraph" w:styleId="Heading3">
    <w:name w:val="heading 3"/>
    <w:basedOn w:val="Normal"/>
    <w:link w:val="Heading3Char"/>
    <w:uiPriority w:val="9"/>
    <w:qFormat/>
    <w:rsid w:val="00AD367D"/>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style>
  <w:style w:type="character" w:styleId="Strong">
    <w:name w:val="Strong"/>
    <w:basedOn w:val="DefaultParagraphFont"/>
    <w:uiPriority w:val="22"/>
    <w:qFormat/>
    <w:rsid w:val="003B1F14"/>
    <w:rPr>
      <w:b/>
      <w:bCs/>
    </w:rPr>
  </w:style>
  <w:style w:type="character" w:customStyle="1" w:styleId="Heading1Char">
    <w:name w:val="Heading 1 Char"/>
    <w:basedOn w:val="DefaultParagraphFont"/>
    <w:link w:val="Heading1"/>
    <w:uiPriority w:val="9"/>
    <w:rsid w:val="00CF2600"/>
    <w:rPr>
      <w:rFonts w:asciiTheme="majorBidi" w:eastAsiaTheme="majorEastAsia" w:hAnsiTheme="majorBidi" w:cstheme="majorBidi"/>
      <w:b/>
      <w:szCs w:val="32"/>
    </w:rPr>
  </w:style>
  <w:style w:type="character" w:customStyle="1" w:styleId="Heading2Char">
    <w:name w:val="Heading 2 Char"/>
    <w:basedOn w:val="DefaultParagraphFont"/>
    <w:link w:val="Heading2"/>
    <w:uiPriority w:val="9"/>
    <w:semiHidden/>
    <w:rsid w:val="00321076"/>
    <w:rPr>
      <w:rFonts w:asciiTheme="majorBidi" w:eastAsiaTheme="majorEastAsia" w:hAnsiTheme="majorBidi" w:cstheme="majorBidi"/>
      <w:b/>
      <w:i/>
      <w:szCs w:val="26"/>
    </w:rPr>
  </w:style>
  <w:style w:type="character" w:customStyle="1" w:styleId="Heading3Char">
    <w:name w:val="Heading 3 Char"/>
    <w:basedOn w:val="DefaultParagraphFont"/>
    <w:link w:val="Heading3"/>
    <w:uiPriority w:val="9"/>
    <w:rsid w:val="00AD367D"/>
    <w:rPr>
      <w:rFonts w:ascii="Times New Roman" w:eastAsia="Times New Roman" w:hAnsi="Times New Roman" w:cs="Times New Roman"/>
      <w:b/>
      <w:bCs/>
      <w:kern w:val="0"/>
      <w:sz w:val="27"/>
      <w:szCs w:val="27"/>
      <w14:ligatures w14:val="none"/>
    </w:rPr>
  </w:style>
  <w:style w:type="paragraph" w:styleId="NoSpacing">
    <w:name w:val="No Spacing"/>
    <w:uiPriority w:val="1"/>
    <w:qFormat/>
    <w:rsid w:val="00AD367D"/>
    <w:rPr>
      <w:rFonts w:asciiTheme="majorBidi" w:hAnsiTheme="majorBidi"/>
    </w:rPr>
  </w:style>
  <w:style w:type="character" w:customStyle="1" w:styleId="text-with-replacments">
    <w:name w:val="text-with-replacments"/>
    <w:basedOn w:val="DefaultParagraphFont"/>
    <w:rsid w:val="00AD367D"/>
  </w:style>
  <w:style w:type="paragraph" w:styleId="Header">
    <w:name w:val="header"/>
    <w:basedOn w:val="Normal"/>
    <w:link w:val="HeaderChar"/>
    <w:uiPriority w:val="99"/>
    <w:unhideWhenUsed/>
    <w:rsid w:val="008B6A6A"/>
    <w:pPr>
      <w:tabs>
        <w:tab w:val="center" w:pos="4513"/>
        <w:tab w:val="right" w:pos="9026"/>
      </w:tabs>
    </w:pPr>
  </w:style>
  <w:style w:type="character" w:customStyle="1" w:styleId="HeaderChar">
    <w:name w:val="Header Char"/>
    <w:basedOn w:val="DefaultParagraphFont"/>
    <w:link w:val="Header"/>
    <w:uiPriority w:val="99"/>
    <w:rsid w:val="008B6A6A"/>
    <w:rPr>
      <w:rFonts w:asciiTheme="majorBidi" w:hAnsiTheme="majorBidi"/>
    </w:rPr>
  </w:style>
  <w:style w:type="paragraph" w:styleId="Footer">
    <w:name w:val="footer"/>
    <w:basedOn w:val="Normal"/>
    <w:link w:val="FooterChar"/>
    <w:uiPriority w:val="99"/>
    <w:unhideWhenUsed/>
    <w:rsid w:val="008B6A6A"/>
    <w:pPr>
      <w:tabs>
        <w:tab w:val="center" w:pos="4513"/>
        <w:tab w:val="right" w:pos="9026"/>
      </w:tabs>
    </w:pPr>
  </w:style>
  <w:style w:type="character" w:customStyle="1" w:styleId="FooterChar">
    <w:name w:val="Footer Char"/>
    <w:basedOn w:val="DefaultParagraphFont"/>
    <w:link w:val="Footer"/>
    <w:uiPriority w:val="99"/>
    <w:rsid w:val="008B6A6A"/>
    <w:rPr>
      <w:rFonts w:asciiTheme="majorBidi" w:hAnsiTheme="majorBidi"/>
    </w:rPr>
  </w:style>
  <w:style w:type="character" w:styleId="PageNumber">
    <w:name w:val="page number"/>
    <w:basedOn w:val="DefaultParagraphFont"/>
    <w:uiPriority w:val="99"/>
    <w:semiHidden/>
    <w:unhideWhenUsed/>
    <w:rsid w:val="008B6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400109">
      <w:bodyDiv w:val="1"/>
      <w:marLeft w:val="0"/>
      <w:marRight w:val="0"/>
      <w:marTop w:val="0"/>
      <w:marBottom w:val="0"/>
      <w:divBdr>
        <w:top w:val="none" w:sz="0" w:space="0" w:color="auto"/>
        <w:left w:val="none" w:sz="0" w:space="0" w:color="auto"/>
        <w:bottom w:val="none" w:sz="0" w:space="0" w:color="auto"/>
        <w:right w:val="none" w:sz="0" w:space="0" w:color="auto"/>
      </w:divBdr>
      <w:divsChild>
        <w:div w:id="1800227316">
          <w:marLeft w:val="0"/>
          <w:marRight w:val="0"/>
          <w:marTop w:val="0"/>
          <w:marBottom w:val="0"/>
          <w:divBdr>
            <w:top w:val="single" w:sz="6" w:space="0" w:color="auto"/>
            <w:left w:val="single" w:sz="6" w:space="0" w:color="auto"/>
            <w:bottom w:val="single" w:sz="6" w:space="0" w:color="auto"/>
            <w:right w:val="single" w:sz="6" w:space="0" w:color="auto"/>
          </w:divBdr>
        </w:div>
        <w:div w:id="2123066102">
          <w:marLeft w:val="0"/>
          <w:marRight w:val="0"/>
          <w:marTop w:val="0"/>
          <w:marBottom w:val="0"/>
          <w:divBdr>
            <w:top w:val="single" w:sz="6" w:space="0" w:color="auto"/>
            <w:left w:val="single" w:sz="6" w:space="0" w:color="auto"/>
            <w:bottom w:val="single" w:sz="6" w:space="0" w:color="auto"/>
            <w:right w:val="single" w:sz="6" w:space="0" w:color="auto"/>
          </w:divBdr>
          <w:divsChild>
            <w:div w:id="8647533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40904489">
      <w:bodyDiv w:val="1"/>
      <w:marLeft w:val="0"/>
      <w:marRight w:val="0"/>
      <w:marTop w:val="0"/>
      <w:marBottom w:val="0"/>
      <w:divBdr>
        <w:top w:val="none" w:sz="0" w:space="0" w:color="auto"/>
        <w:left w:val="none" w:sz="0" w:space="0" w:color="auto"/>
        <w:bottom w:val="none" w:sz="0" w:space="0" w:color="auto"/>
        <w:right w:val="none" w:sz="0" w:space="0" w:color="auto"/>
      </w:divBdr>
      <w:divsChild>
        <w:div w:id="1684473770">
          <w:marLeft w:val="0"/>
          <w:marRight w:val="0"/>
          <w:marTop w:val="0"/>
          <w:marBottom w:val="0"/>
          <w:divBdr>
            <w:top w:val="single" w:sz="6" w:space="0" w:color="auto"/>
            <w:left w:val="single" w:sz="6" w:space="0" w:color="auto"/>
            <w:bottom w:val="single" w:sz="6" w:space="0" w:color="auto"/>
            <w:right w:val="single" w:sz="6" w:space="0" w:color="auto"/>
          </w:divBdr>
        </w:div>
        <w:div w:id="1457719955">
          <w:marLeft w:val="0"/>
          <w:marRight w:val="0"/>
          <w:marTop w:val="0"/>
          <w:marBottom w:val="0"/>
          <w:divBdr>
            <w:top w:val="single" w:sz="6" w:space="0" w:color="auto"/>
            <w:left w:val="single" w:sz="6" w:space="0" w:color="auto"/>
            <w:bottom w:val="single" w:sz="6" w:space="0" w:color="auto"/>
            <w:right w:val="single" w:sz="6" w:space="0" w:color="auto"/>
          </w:divBdr>
          <w:divsChild>
            <w:div w:id="5159693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98311754">
      <w:bodyDiv w:val="1"/>
      <w:marLeft w:val="0"/>
      <w:marRight w:val="0"/>
      <w:marTop w:val="0"/>
      <w:marBottom w:val="0"/>
      <w:divBdr>
        <w:top w:val="none" w:sz="0" w:space="0" w:color="auto"/>
        <w:left w:val="none" w:sz="0" w:space="0" w:color="auto"/>
        <w:bottom w:val="none" w:sz="0" w:space="0" w:color="auto"/>
        <w:right w:val="none" w:sz="0" w:space="0" w:color="auto"/>
      </w:divBdr>
      <w:divsChild>
        <w:div w:id="1960918914">
          <w:marLeft w:val="0"/>
          <w:marRight w:val="0"/>
          <w:marTop w:val="0"/>
          <w:marBottom w:val="0"/>
          <w:divBdr>
            <w:top w:val="single" w:sz="6" w:space="0" w:color="auto"/>
            <w:left w:val="single" w:sz="6" w:space="0" w:color="auto"/>
            <w:bottom w:val="single" w:sz="6" w:space="0" w:color="auto"/>
            <w:right w:val="single" w:sz="6" w:space="0" w:color="auto"/>
          </w:divBdr>
        </w:div>
        <w:div w:id="783889780">
          <w:marLeft w:val="0"/>
          <w:marRight w:val="0"/>
          <w:marTop w:val="0"/>
          <w:marBottom w:val="0"/>
          <w:divBdr>
            <w:top w:val="single" w:sz="6" w:space="0" w:color="auto"/>
            <w:left w:val="single" w:sz="6" w:space="0" w:color="auto"/>
            <w:bottom w:val="single" w:sz="6" w:space="0" w:color="auto"/>
            <w:right w:val="single" w:sz="6" w:space="0" w:color="auto"/>
          </w:divBdr>
          <w:divsChild>
            <w:div w:id="1139126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29132020">
      <w:bodyDiv w:val="1"/>
      <w:marLeft w:val="0"/>
      <w:marRight w:val="0"/>
      <w:marTop w:val="0"/>
      <w:marBottom w:val="0"/>
      <w:divBdr>
        <w:top w:val="none" w:sz="0" w:space="0" w:color="auto"/>
        <w:left w:val="none" w:sz="0" w:space="0" w:color="auto"/>
        <w:bottom w:val="none" w:sz="0" w:space="0" w:color="auto"/>
        <w:right w:val="none" w:sz="0" w:space="0" w:color="auto"/>
      </w:divBdr>
      <w:divsChild>
        <w:div w:id="1949770584">
          <w:marLeft w:val="0"/>
          <w:marRight w:val="0"/>
          <w:marTop w:val="0"/>
          <w:marBottom w:val="0"/>
          <w:divBdr>
            <w:top w:val="single" w:sz="6" w:space="0" w:color="auto"/>
            <w:left w:val="single" w:sz="6" w:space="0" w:color="auto"/>
            <w:bottom w:val="single" w:sz="6" w:space="0" w:color="auto"/>
            <w:right w:val="single" w:sz="6" w:space="0" w:color="auto"/>
          </w:divBdr>
        </w:div>
        <w:div w:id="1563952724">
          <w:marLeft w:val="0"/>
          <w:marRight w:val="0"/>
          <w:marTop w:val="0"/>
          <w:marBottom w:val="0"/>
          <w:divBdr>
            <w:top w:val="single" w:sz="6" w:space="0" w:color="auto"/>
            <w:left w:val="single" w:sz="6" w:space="0" w:color="auto"/>
            <w:bottom w:val="single" w:sz="6" w:space="0" w:color="auto"/>
            <w:right w:val="single" w:sz="6" w:space="0" w:color="auto"/>
          </w:divBdr>
          <w:divsChild>
            <w:div w:id="18533790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16500762">
      <w:bodyDiv w:val="1"/>
      <w:marLeft w:val="0"/>
      <w:marRight w:val="0"/>
      <w:marTop w:val="0"/>
      <w:marBottom w:val="0"/>
      <w:divBdr>
        <w:top w:val="none" w:sz="0" w:space="0" w:color="auto"/>
        <w:left w:val="none" w:sz="0" w:space="0" w:color="auto"/>
        <w:bottom w:val="none" w:sz="0" w:space="0" w:color="auto"/>
        <w:right w:val="none" w:sz="0" w:space="0" w:color="auto"/>
      </w:divBdr>
      <w:divsChild>
        <w:div w:id="1698308502">
          <w:marLeft w:val="0"/>
          <w:marRight w:val="0"/>
          <w:marTop w:val="0"/>
          <w:marBottom w:val="0"/>
          <w:divBdr>
            <w:top w:val="single" w:sz="6" w:space="0" w:color="auto"/>
            <w:left w:val="single" w:sz="6" w:space="0" w:color="auto"/>
            <w:bottom w:val="single" w:sz="6" w:space="0" w:color="auto"/>
            <w:right w:val="single" w:sz="6" w:space="0" w:color="auto"/>
          </w:divBdr>
        </w:div>
        <w:div w:id="1064837765">
          <w:marLeft w:val="0"/>
          <w:marRight w:val="0"/>
          <w:marTop w:val="0"/>
          <w:marBottom w:val="0"/>
          <w:divBdr>
            <w:top w:val="single" w:sz="6" w:space="0" w:color="auto"/>
            <w:left w:val="single" w:sz="6" w:space="0" w:color="auto"/>
            <w:bottom w:val="single" w:sz="6" w:space="0" w:color="auto"/>
            <w:right w:val="single" w:sz="6" w:space="0" w:color="auto"/>
          </w:divBdr>
          <w:divsChild>
            <w:div w:id="172468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49016405">
      <w:bodyDiv w:val="1"/>
      <w:marLeft w:val="0"/>
      <w:marRight w:val="0"/>
      <w:marTop w:val="0"/>
      <w:marBottom w:val="0"/>
      <w:divBdr>
        <w:top w:val="none" w:sz="0" w:space="0" w:color="auto"/>
        <w:left w:val="none" w:sz="0" w:space="0" w:color="auto"/>
        <w:bottom w:val="none" w:sz="0" w:space="0" w:color="auto"/>
        <w:right w:val="none" w:sz="0" w:space="0" w:color="auto"/>
      </w:divBdr>
      <w:divsChild>
        <w:div w:id="774718296">
          <w:marLeft w:val="0"/>
          <w:marRight w:val="0"/>
          <w:marTop w:val="0"/>
          <w:marBottom w:val="0"/>
          <w:divBdr>
            <w:top w:val="single" w:sz="6" w:space="0" w:color="auto"/>
            <w:left w:val="single" w:sz="6" w:space="0" w:color="auto"/>
            <w:bottom w:val="single" w:sz="6" w:space="0" w:color="auto"/>
            <w:right w:val="single" w:sz="6" w:space="0" w:color="auto"/>
          </w:divBdr>
        </w:div>
        <w:div w:id="1225947040">
          <w:marLeft w:val="0"/>
          <w:marRight w:val="0"/>
          <w:marTop w:val="0"/>
          <w:marBottom w:val="0"/>
          <w:divBdr>
            <w:top w:val="single" w:sz="6" w:space="0" w:color="auto"/>
            <w:left w:val="single" w:sz="6" w:space="0" w:color="auto"/>
            <w:bottom w:val="single" w:sz="6" w:space="0" w:color="auto"/>
            <w:right w:val="single" w:sz="6" w:space="0" w:color="auto"/>
          </w:divBdr>
          <w:divsChild>
            <w:div w:id="6259359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2646</Words>
  <Characters>15083</Characters>
  <Application>Microsoft Office Word</Application>
  <DocSecurity>0</DocSecurity>
  <Lines>125</Lines>
  <Paragraphs>35</Paragraphs>
  <ScaleCrop>false</ScaleCrop>
  <Company/>
  <LinksUpToDate>false</LinksUpToDate>
  <CharactersWithSpaces>17694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2024-03-04T11:14:00Z</dcterms:created>
  <dcterms:modified xsi:type="dcterms:W3CDTF">2024-03-04T11:14:00Z</dcterms:modified>
</cp:coreProperties>
</file>