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727196775"/>
        <w:docPartObj>
          <w:docPartGallery w:val="Cover Pages"/>
          <w:docPartUnique/>
        </w:docPartObj>
      </w:sdtPr>
      <w:sdtContent>
        <w:p w14:paraId="1E325266" w14:textId="62C9A5EE" w:rsidR="00732504" w:rsidRDefault="00732504"/>
        <w:p w14:paraId="764F4FA0" w14:textId="77777777" w:rsidR="00846161" w:rsidRDefault="00846161"/>
        <w:p w14:paraId="570B6389" w14:textId="77777777" w:rsidR="00846161" w:rsidRDefault="00846161"/>
        <w:p w14:paraId="38FB16A2" w14:textId="77777777" w:rsidR="00732504" w:rsidRDefault="00732504">
          <w:pPr>
            <w:spacing w:before="240" w:after="100" w:afterAutospacing="1"/>
            <w:rPr>
              <w:rFonts w:eastAsia="Times New Roman" w:cs="Times New Roman"/>
              <w:kern w:val="0"/>
              <w14:ligatures w14:val="none"/>
            </w:rPr>
          </w:pPr>
        </w:p>
        <w:p w14:paraId="4A5B0FF9" w14:textId="77777777" w:rsidR="00846161" w:rsidRDefault="00846161">
          <w:pPr>
            <w:spacing w:before="240" w:after="100" w:afterAutospacing="1"/>
            <w:rPr>
              <w:rFonts w:eastAsia="Times New Roman" w:cs="Times New Roman"/>
              <w:kern w:val="0"/>
              <w14:ligatures w14:val="none"/>
            </w:rPr>
          </w:pPr>
        </w:p>
        <w:p w14:paraId="39A3CF5A" w14:textId="4A7D4B9F" w:rsidR="00846161" w:rsidRDefault="00846161" w:rsidP="00846161">
          <w:pPr>
            <w:spacing w:before="240" w:after="100" w:afterAutospacing="1"/>
            <w:jc w:val="center"/>
            <w:rPr>
              <w:rFonts w:eastAsia="Times New Roman" w:cs="Times New Roman"/>
              <w:b/>
              <w:bCs/>
              <w:kern w:val="0"/>
              <w:sz w:val="40"/>
              <w:szCs w:val="40"/>
              <w14:ligatures w14:val="none"/>
            </w:rPr>
          </w:pPr>
          <w:r w:rsidRPr="00846161">
            <w:rPr>
              <w:rFonts w:eastAsia="Times New Roman" w:cs="Times New Roman"/>
              <w:b/>
              <w:bCs/>
              <w:kern w:val="0"/>
              <w:sz w:val="40"/>
              <w:szCs w:val="40"/>
              <w14:ligatures w14:val="none"/>
            </w:rPr>
            <w:t>ESSAY</w:t>
          </w:r>
        </w:p>
        <w:p w14:paraId="5AF4E0D7" w14:textId="77777777" w:rsidR="00846161" w:rsidRDefault="00846161" w:rsidP="00846161">
          <w:pPr>
            <w:spacing w:before="240" w:after="100" w:afterAutospacing="1"/>
            <w:jc w:val="center"/>
            <w:rPr>
              <w:rFonts w:eastAsia="Times New Roman" w:cs="Times New Roman"/>
              <w:b/>
              <w:bCs/>
              <w:kern w:val="0"/>
              <w:sz w:val="40"/>
              <w:szCs w:val="40"/>
              <w14:ligatures w14:val="none"/>
            </w:rPr>
          </w:pPr>
        </w:p>
        <w:p w14:paraId="00B40BD4" w14:textId="79D43AF5" w:rsidR="00846161" w:rsidRPr="00846161" w:rsidRDefault="00846161" w:rsidP="00846161">
          <w:pPr>
            <w:spacing w:before="240" w:after="100" w:afterAutospacing="1"/>
            <w:jc w:val="center"/>
            <w:rPr>
              <w:rFonts w:eastAsia="Times New Roman" w:cs="Times New Roman"/>
              <w:b/>
              <w:bCs/>
              <w:kern w:val="0"/>
              <w:sz w:val="40"/>
              <w:szCs w:val="40"/>
              <w14:ligatures w14:val="none"/>
            </w:rPr>
          </w:pPr>
          <w:r w:rsidRPr="00846161">
            <w:rPr>
              <w:rFonts w:eastAsia="Times New Roman" w:cs="Times New Roman"/>
              <w:b/>
              <w:bCs/>
              <w:kern w:val="0"/>
              <w:sz w:val="40"/>
              <w:szCs w:val="40"/>
              <w14:ligatures w14:val="none"/>
            </w:rPr>
            <w:t>A Case Study of The Savoy Hotel</w:t>
          </w:r>
        </w:p>
        <w:p w14:paraId="7FDE5351" w14:textId="77777777" w:rsidR="00846161" w:rsidRDefault="00846161">
          <w:pPr>
            <w:spacing w:before="240" w:after="100" w:afterAutospacing="1"/>
            <w:rPr>
              <w:rFonts w:eastAsia="Times New Roman" w:cs="Times New Roman"/>
              <w:kern w:val="0"/>
              <w14:ligatures w14:val="none"/>
            </w:rPr>
          </w:pPr>
        </w:p>
        <w:p w14:paraId="22DEE4CA" w14:textId="77777777" w:rsidR="00846161" w:rsidRDefault="00846161">
          <w:pPr>
            <w:spacing w:before="240" w:after="100" w:afterAutospacing="1"/>
            <w:rPr>
              <w:rFonts w:eastAsia="Times New Roman" w:cs="Times New Roman"/>
              <w:kern w:val="0"/>
              <w14:ligatures w14:val="none"/>
            </w:rPr>
          </w:pPr>
        </w:p>
        <w:p w14:paraId="6B38C8AE" w14:textId="77777777" w:rsidR="00846161" w:rsidRDefault="00846161">
          <w:pPr>
            <w:spacing w:before="240" w:after="100" w:afterAutospacing="1"/>
            <w:rPr>
              <w:rFonts w:eastAsia="Times New Roman" w:cs="Times New Roman"/>
              <w:kern w:val="0"/>
              <w14:ligatures w14:val="none"/>
            </w:rPr>
          </w:pPr>
        </w:p>
        <w:p w14:paraId="14DFAB67" w14:textId="77777777" w:rsidR="00846161" w:rsidRDefault="00846161">
          <w:pPr>
            <w:spacing w:before="240" w:after="100" w:afterAutospacing="1"/>
            <w:rPr>
              <w:rFonts w:eastAsia="Times New Roman" w:cs="Times New Roman"/>
              <w:kern w:val="0"/>
              <w14:ligatures w14:val="none"/>
            </w:rPr>
          </w:pPr>
        </w:p>
        <w:p w14:paraId="3D9A257B" w14:textId="77777777" w:rsidR="00846161" w:rsidRDefault="00846161">
          <w:pPr>
            <w:spacing w:before="240" w:after="100" w:afterAutospacing="1"/>
            <w:rPr>
              <w:rFonts w:eastAsia="Times New Roman" w:cs="Times New Roman"/>
              <w:kern w:val="0"/>
              <w14:ligatures w14:val="none"/>
            </w:rPr>
          </w:pPr>
        </w:p>
        <w:p w14:paraId="60F3566F" w14:textId="77777777" w:rsidR="00846161" w:rsidRDefault="00846161">
          <w:pPr>
            <w:spacing w:before="240" w:after="100" w:afterAutospacing="1"/>
            <w:rPr>
              <w:rFonts w:eastAsia="Times New Roman" w:cs="Times New Roman"/>
              <w:kern w:val="0"/>
              <w14:ligatures w14:val="none"/>
            </w:rPr>
          </w:pPr>
        </w:p>
        <w:p w14:paraId="296A4932" w14:textId="77777777" w:rsidR="00846161" w:rsidRDefault="00846161">
          <w:pPr>
            <w:spacing w:before="240" w:after="100" w:afterAutospacing="1"/>
            <w:rPr>
              <w:rFonts w:eastAsia="Times New Roman" w:cs="Times New Roman"/>
              <w:kern w:val="0"/>
              <w14:ligatures w14:val="none"/>
            </w:rPr>
          </w:pPr>
        </w:p>
        <w:p w14:paraId="650538A5" w14:textId="77777777" w:rsidR="00846161" w:rsidRDefault="00846161">
          <w:pPr>
            <w:spacing w:before="240" w:after="100" w:afterAutospacing="1"/>
            <w:rPr>
              <w:rFonts w:eastAsia="Times New Roman" w:cs="Times New Roman"/>
              <w:kern w:val="0"/>
              <w14:ligatures w14:val="none"/>
            </w:rPr>
          </w:pPr>
        </w:p>
        <w:p w14:paraId="10DA0D1E" w14:textId="77777777" w:rsidR="00846161" w:rsidRDefault="00846161" w:rsidP="00846161">
          <w:pPr>
            <w:jc w:val="left"/>
            <w:rPr>
              <w:rFonts w:eastAsiaTheme="minorHAnsi" w:cstheme="minorBidi"/>
              <w:color w:val="auto"/>
              <w:szCs w:val="22"/>
            </w:rPr>
          </w:pPr>
          <w:r>
            <w:rPr>
              <w:b/>
              <w:bCs/>
            </w:rPr>
            <w:t>Student Name</w:t>
          </w:r>
          <w:r>
            <w:t>: Gheroghe Plescan</w:t>
          </w:r>
        </w:p>
        <w:p w14:paraId="18360082" w14:textId="77777777" w:rsidR="00846161" w:rsidRDefault="00846161" w:rsidP="00846161">
          <w:pPr>
            <w:jc w:val="left"/>
          </w:pPr>
          <w:r>
            <w:rPr>
              <w:b/>
              <w:bCs/>
            </w:rPr>
            <w:t>Student nr</w:t>
          </w:r>
          <w:r>
            <w:t>: 2234901</w:t>
          </w:r>
        </w:p>
        <w:p w14:paraId="787B62E3" w14:textId="04EAB871" w:rsidR="00846161" w:rsidRPr="00846161" w:rsidRDefault="00846161" w:rsidP="00846161">
          <w:pPr>
            <w:spacing w:before="240" w:after="100" w:afterAutospacing="1"/>
            <w:rPr>
              <w:rFonts w:eastAsia="Times New Roman" w:cs="Times New Roman"/>
              <w:kern w:val="0"/>
              <w14:ligatures w14:val="none"/>
            </w:rPr>
          </w:pPr>
          <w:r>
            <w:rPr>
              <w:rFonts w:eastAsia="Times New Roman" w:cs="Times New Roman"/>
              <w:b/>
              <w:bCs/>
            </w:rPr>
            <w:t>M</w:t>
          </w:r>
          <w:r w:rsidRPr="00846161">
            <w:rPr>
              <w:rFonts w:eastAsia="Times New Roman" w:cs="Times New Roman"/>
              <w:b/>
              <w:bCs/>
            </w:rPr>
            <w:t>odule title and code</w:t>
          </w:r>
          <w:r>
            <w:rPr>
              <w:rFonts w:eastAsia="Times New Roman" w:cs="Times New Roman"/>
            </w:rPr>
            <w:t xml:space="preserve">: </w:t>
          </w:r>
          <w:r>
            <w:rPr>
              <w:rFonts w:eastAsia="Times New Roman" w:cs="Times New Roman"/>
            </w:rPr>
            <w:t>BMIH5006 Sustainable Hospitality &amp; Tourism Management</w:t>
          </w:r>
        </w:p>
        <w:p w14:paraId="43C1552D" w14:textId="08B7BE94" w:rsidR="00732504" w:rsidRPr="00846161" w:rsidRDefault="00846161" w:rsidP="00846161">
          <w:pPr>
            <w:tabs>
              <w:tab w:val="center" w:pos="1780"/>
              <w:tab w:val="right" w:pos="3146"/>
            </w:tabs>
            <w:spacing w:after="23"/>
            <w:jc w:val="left"/>
          </w:pPr>
          <w:r w:rsidRPr="00846161">
            <w:rPr>
              <w:rFonts w:eastAsia="Times New Roman" w:cs="Times New Roman"/>
              <w:b/>
              <w:bCs/>
            </w:rPr>
            <w:t>Your lecturer’s name</w:t>
          </w:r>
          <w:r>
            <w:rPr>
              <w:rFonts w:eastAsia="Times New Roman" w:cs="Times New Roman"/>
            </w:rPr>
            <w:t xml:space="preserve">: </w:t>
          </w:r>
          <w:r>
            <w:rPr>
              <w:rFonts w:eastAsia="Times New Roman" w:cs="Times New Roman"/>
            </w:rPr>
            <w:t xml:space="preserve">Lisa-Marie </w:t>
          </w:r>
          <w:r>
            <w:rPr>
              <w:rFonts w:eastAsia="Times New Roman" w:cs="Times New Roman"/>
            </w:rPr>
            <w:tab/>
            <w:t>Bassler, Giulia Chifari, Lisa Knight</w:t>
          </w:r>
        </w:p>
      </w:sdtContent>
    </w:sdt>
    <w:p w14:paraId="68507701" w14:textId="7809C308" w:rsidR="00732504" w:rsidRPr="00732504" w:rsidRDefault="00732504" w:rsidP="00732504">
      <w:pPr>
        <w:rPr>
          <w:rFonts w:ascii="Arial" w:hAnsi="Arial" w:cs="Arial"/>
        </w:rPr>
      </w:pPr>
      <w:r w:rsidRPr="00732504">
        <w:rPr>
          <w:rFonts w:ascii="Arial" w:hAnsi="Arial" w:cs="Arial"/>
        </w:rPr>
        <w:lastRenderedPageBreak/>
        <w:t>Corporate Social Responsibility (CSR) plays a pivotal role in promoting sustainability within the hospitality industry, a sector known for its significant environmental and social impacts (Inkson and Minnaert, 2018). This essay explores how CSR initiatives at The Savoy Hotel in London have contributed to reducing the hotel’s environmental footprint, supporting local communities, and enhancing its economic sustainability. Through a combination of energy-saving technologies, waste reduction programs, community partnerships, and ethical business practices, The Savoy has established itself as a leader in sustainable hospitality. However, the essay also examines the challenges of implementing CSR, including financial costs and impact measurement, and discusses the opportunities these practices present for future growth. The Savoy’s approach to CSR not only benefits the hotel but also sets a benchmark for the broader hospitality industry, encouraging other luxury hotels to adopt similar practices to ensure long-term sustainability (Korstanje, George, and Nedelea, 2020).</w:t>
      </w:r>
    </w:p>
    <w:p w14:paraId="79F1F0B7" w14:textId="298BFB0D" w:rsidR="00732504" w:rsidRPr="00732504" w:rsidRDefault="00732504" w:rsidP="00732504">
      <w:pPr>
        <w:rPr>
          <w:rFonts w:ascii="Arial" w:hAnsi="Arial" w:cs="Arial"/>
        </w:rPr>
      </w:pPr>
      <w:r w:rsidRPr="00732504">
        <w:rPr>
          <w:rFonts w:ascii="Arial" w:hAnsi="Arial" w:cs="Arial"/>
        </w:rPr>
        <w:t>Corporate Social Responsibility (CSR) has become increasingly significant in the hospitality industry, where companies are expected to balance profitability with environmental stewardship and social accountability (Sloan, Legrand, and Chen, 2017). CSR refers to voluntary initiatives that go beyond legal requirements to benefit society, the environment, and the economy (Haski-Leventhal, 2018). In the context of hospitality, CSR aligns closely with sustainability, which involves meeting present needs without compromising future generations’ ability to meet their own (Edgell, 2020).</w:t>
      </w:r>
    </w:p>
    <w:p w14:paraId="66AA6FD1" w14:textId="59DFC493" w:rsidR="00732504" w:rsidRPr="00732504" w:rsidRDefault="00732504" w:rsidP="00732504">
      <w:pPr>
        <w:rPr>
          <w:rFonts w:ascii="Arial" w:hAnsi="Arial" w:cs="Arial"/>
        </w:rPr>
      </w:pPr>
      <w:r w:rsidRPr="00732504">
        <w:rPr>
          <w:rFonts w:ascii="Arial" w:hAnsi="Arial" w:cs="Arial"/>
        </w:rPr>
        <w:t>The hospitality sector is particularly well-suited for CSR efforts due to its heavy reliance on natural resources and its impact on local communities (Costa and Costa, 2022). Hotels can play a significant role in promoting sustainability by adopting CSR policies that reduce their environmental footprint, support local economies, and engage with social causes (Wickham, Donnelly, and French, 2021). This essay examines the role of CSR in promoting sustainability at The Savoy Hotel, a luxury hotel in London, and evaluates the hotel’s efforts in environmental, social, and economic responsibility. Through the lens of The Savoy’s CSR practices, the essay will also explore the challenges and opportunities associated with implementing these initiatives and their implications for the broader hospitality industry (Management Association, 2018).</w:t>
      </w:r>
    </w:p>
    <w:p w14:paraId="4EC298AB" w14:textId="32EE4708" w:rsidR="00732504" w:rsidRPr="00732504" w:rsidRDefault="00732504" w:rsidP="00732504">
      <w:pPr>
        <w:rPr>
          <w:rFonts w:ascii="Arial" w:hAnsi="Arial" w:cs="Arial"/>
        </w:rPr>
      </w:pPr>
      <w:r w:rsidRPr="00732504">
        <w:rPr>
          <w:rFonts w:ascii="Arial" w:hAnsi="Arial" w:cs="Arial"/>
        </w:rPr>
        <w:lastRenderedPageBreak/>
        <w:t>The hospitality industry, which includes hotels, restaurants, and tourism services, is a major consumer of energy and water, contributing significantly to waste generation and carbon emissions (Batabyal, 2018). As a result, CSR initiatives that focus on sustainability are increasingly necessary to mitigate these impacts. CSR in hospitality typically revolves around three key pillars: environmental sustainability, social responsibility, and economic sustainability (Guzzo, Abbott, and Madera, 2020).</w:t>
      </w:r>
    </w:p>
    <w:p w14:paraId="18F786F6" w14:textId="26010B38" w:rsidR="00732504" w:rsidRPr="00732504" w:rsidRDefault="00732504" w:rsidP="00732504">
      <w:pPr>
        <w:rPr>
          <w:rFonts w:ascii="Arial" w:hAnsi="Arial" w:cs="Arial"/>
        </w:rPr>
      </w:pPr>
      <w:r w:rsidRPr="00732504">
        <w:rPr>
          <w:rFonts w:ascii="Arial" w:hAnsi="Arial" w:cs="Arial"/>
        </w:rPr>
        <w:t>Hotels can reduce their environmental impact by implementing energy-saving technologies, recycling programs, and water conservation measures (</w:t>
      </w:r>
      <w:r w:rsidR="00846161" w:rsidRPr="00846161">
        <w:rPr>
          <w:rFonts w:ascii="Arial" w:hAnsi="Arial" w:cs="Arial"/>
        </w:rPr>
        <w:t>Wang, Hu and Zhang, 2020</w:t>
      </w:r>
      <w:r w:rsidRPr="00732504">
        <w:rPr>
          <w:rFonts w:ascii="Arial" w:hAnsi="Arial" w:cs="Arial"/>
        </w:rPr>
        <w:t>). Social responsibility involves engaging with local communities, promoting fair labour practices, and participating in charitable activities (Frynas and Yamahaki, 2016). Economic sustainability refers to operating in a way that ensures long-term profitability while supporting local suppliers and ethical business practices (</w:t>
      </w:r>
      <w:r w:rsidRPr="00732504">
        <w:rPr>
          <w:rFonts w:ascii="Arial" w:hAnsi="Arial" w:cs="Arial"/>
          <w:color w:val="auto"/>
        </w:rPr>
        <w:t>Epstein, 2018</w:t>
      </w:r>
      <w:r w:rsidRPr="00732504">
        <w:rPr>
          <w:rFonts w:ascii="Arial" w:hAnsi="Arial" w:cs="Arial"/>
        </w:rPr>
        <w:t>).</w:t>
      </w:r>
    </w:p>
    <w:p w14:paraId="2C94F675" w14:textId="7C3EE42E" w:rsidR="00732504" w:rsidRPr="00732504" w:rsidRDefault="00732504" w:rsidP="00732504">
      <w:pPr>
        <w:rPr>
          <w:rFonts w:ascii="Arial" w:hAnsi="Arial" w:cs="Arial"/>
        </w:rPr>
      </w:pPr>
      <w:r w:rsidRPr="00732504">
        <w:rPr>
          <w:rFonts w:ascii="Arial" w:hAnsi="Arial" w:cs="Arial"/>
        </w:rPr>
        <w:t>The Savoy Hotel in London, part of the Fairmont Hotels &amp; Resorts group, has emerged as a leader in sustainable hospitality (Jauhari, 2021). The hotel’s CSR strategy is closely aligned with Fairmont’s global sustainability program, which has earned international recognition for its focus on reducing environmental impact, supporting local communities, and fostering economic sustainability (</w:t>
      </w:r>
      <w:r w:rsidR="00846161" w:rsidRPr="00846161">
        <w:rPr>
          <w:rFonts w:ascii="Arial" w:hAnsi="Arial" w:cs="Arial"/>
        </w:rPr>
        <w:t xml:space="preserve">Sharma, Chen and Liu, </w:t>
      </w:r>
      <w:r w:rsidR="00846161" w:rsidRPr="00846161">
        <w:rPr>
          <w:rFonts w:ascii="Arial" w:hAnsi="Arial" w:cs="Arial"/>
          <w:color w:val="auto"/>
        </w:rPr>
        <w:t>2020</w:t>
      </w:r>
      <w:r w:rsidRPr="00846161">
        <w:rPr>
          <w:rFonts w:ascii="Arial" w:hAnsi="Arial" w:cs="Arial"/>
          <w:color w:val="auto"/>
        </w:rPr>
        <w:t xml:space="preserve">). The Savoy has undertaken numerous initiatives aimed at reducing its carbon emissions, managing waste effectively, and supporting </w:t>
      </w:r>
      <w:r w:rsidRPr="00732504">
        <w:rPr>
          <w:rFonts w:ascii="Arial" w:hAnsi="Arial" w:cs="Arial"/>
        </w:rPr>
        <w:t>social causes, all while maintaining its reputation as a luxury hotel (Kacmar, 2023).</w:t>
      </w:r>
    </w:p>
    <w:p w14:paraId="7A5FD75D" w14:textId="7E9A8E94" w:rsidR="00732504" w:rsidRPr="00732504" w:rsidRDefault="00732504" w:rsidP="00732504">
      <w:pPr>
        <w:rPr>
          <w:rFonts w:ascii="Arial" w:hAnsi="Arial" w:cs="Arial"/>
        </w:rPr>
      </w:pPr>
      <w:r w:rsidRPr="00732504">
        <w:rPr>
          <w:rFonts w:ascii="Arial" w:hAnsi="Arial" w:cs="Arial"/>
        </w:rPr>
        <w:t>One of the most significant areas in which The Savoy has made progress is environmental sustainability. The hotel has implemented a combined heat and power (CHP) plant that generates electricity while capturing heat that would otherwise be wasted. This innovative system has reduced the hotel’s carbon emissions by 20%, making a substantial contribution to its goal of becoming more environmentally responsible (</w:t>
      </w:r>
      <w:r w:rsidRPr="00732504">
        <w:rPr>
          <w:rFonts w:ascii="Arial" w:hAnsi="Arial" w:cs="Arial"/>
          <w:color w:val="auto"/>
        </w:rPr>
        <w:t>Statista</w:t>
      </w:r>
      <w:r w:rsidRPr="00732504">
        <w:rPr>
          <w:rFonts w:ascii="Arial" w:hAnsi="Arial" w:cs="Arial"/>
          <w:color w:val="auto"/>
        </w:rPr>
        <w:t xml:space="preserve">, </w:t>
      </w:r>
      <w:r w:rsidRPr="00732504">
        <w:rPr>
          <w:rFonts w:ascii="Arial" w:hAnsi="Arial" w:cs="Arial"/>
          <w:color w:val="auto"/>
        </w:rPr>
        <w:t>2024</w:t>
      </w:r>
      <w:r w:rsidRPr="00732504">
        <w:rPr>
          <w:rFonts w:ascii="Arial" w:hAnsi="Arial" w:cs="Arial"/>
        </w:rPr>
        <w:t>). Additionally, energy-efficient lighting and heating systems have been installed throughout the hotel, further decreasing energy consumption (Sloan, Legrand, and Chen, 2017).</w:t>
      </w:r>
    </w:p>
    <w:p w14:paraId="33A41B55" w14:textId="0A07B3FE" w:rsidR="00732504" w:rsidRPr="00846161" w:rsidRDefault="00732504" w:rsidP="00732504">
      <w:pPr>
        <w:rPr>
          <w:rFonts w:ascii="Arial" w:hAnsi="Arial" w:cs="Arial"/>
        </w:rPr>
      </w:pPr>
      <w:r w:rsidRPr="00732504">
        <w:rPr>
          <w:rFonts w:ascii="Arial" w:hAnsi="Arial" w:cs="Arial"/>
        </w:rPr>
        <w:t xml:space="preserve">The Savoy’s </w:t>
      </w:r>
      <w:r w:rsidRPr="00846161">
        <w:rPr>
          <w:rFonts w:ascii="Arial" w:hAnsi="Arial" w:cs="Arial"/>
          <w:color w:val="auto"/>
        </w:rPr>
        <w:t>commitment to reducing its environmental impact extends to waste management. The hotel has set an ambitious target of recycling 90% of its waste, including food waste and packaging materials (</w:t>
      </w:r>
      <w:r w:rsidR="00846161" w:rsidRPr="00846161">
        <w:rPr>
          <w:rFonts w:ascii="Arial" w:hAnsi="Arial" w:cs="Arial"/>
          <w:color w:val="auto"/>
        </w:rPr>
        <w:t>Elbelehy and Crispim, 2024</w:t>
      </w:r>
      <w:r w:rsidRPr="00846161">
        <w:rPr>
          <w:rFonts w:ascii="Arial" w:hAnsi="Arial" w:cs="Arial"/>
          <w:color w:val="auto"/>
        </w:rPr>
        <w:t xml:space="preserve">). This </w:t>
      </w:r>
      <w:r w:rsidRPr="00732504">
        <w:rPr>
          <w:rFonts w:ascii="Arial" w:hAnsi="Arial" w:cs="Arial"/>
        </w:rPr>
        <w:lastRenderedPageBreak/>
        <w:t xml:space="preserve">initiative not only helps to lower the hotel’s environmental footprint but also reduces the volume of waste sent to landfills. </w:t>
      </w:r>
      <w:r w:rsidRPr="00732504">
        <w:rPr>
          <w:rFonts w:ascii="Arial" w:hAnsi="Arial" w:cs="Arial"/>
        </w:rPr>
        <w:t>W</w:t>
      </w:r>
      <w:r w:rsidRPr="00732504">
        <w:rPr>
          <w:rFonts w:ascii="Arial" w:hAnsi="Arial" w:cs="Arial"/>
        </w:rPr>
        <w:t>orking with local suppliers and opting for biodegradable packaging materials, The Savoy is promoting sustainable business practices that contribute to a circular economy (Korstanje, George, and Nedelea, 2020). The move towards zero-waste operations is not only an environmentally sound decision but also demonstrates The Savoy’s leadership in the luxury hotel sector where waste management is often a challenge due to the expectations of high-end service (</w:t>
      </w:r>
      <w:r w:rsidRPr="00732504">
        <w:rPr>
          <w:rFonts w:ascii="Arial" w:hAnsi="Arial" w:cs="Arial"/>
          <w:color w:val="auto"/>
        </w:rPr>
        <w:t>Kumar and Chansoria, 2021</w:t>
      </w:r>
      <w:r w:rsidRPr="00732504">
        <w:rPr>
          <w:rFonts w:ascii="Arial" w:hAnsi="Arial" w:cs="Arial"/>
        </w:rPr>
        <w:t>).</w:t>
      </w:r>
    </w:p>
    <w:p w14:paraId="141C2816" w14:textId="03069CEE" w:rsidR="00732504" w:rsidRPr="00732504" w:rsidRDefault="00732504" w:rsidP="00732504">
      <w:pPr>
        <w:rPr>
          <w:rFonts w:ascii="Arial" w:hAnsi="Arial" w:cs="Arial"/>
          <w:color w:val="auto"/>
        </w:rPr>
      </w:pPr>
      <w:r w:rsidRPr="00732504">
        <w:rPr>
          <w:rFonts w:ascii="Arial" w:hAnsi="Arial" w:cs="Arial"/>
        </w:rPr>
        <w:t>Water conservation is another critical component of The Savoy’s CSR strategy. The hotel has installed water-saving devices, such as low-flow taps and showerheads, to reduce water consumption (Haski-Leventhal, 2018). Additionally, the hotel uses a greywater recycling system that reuses water for non-potable purposes, such as irrigation and toilet flushing. These measures have significantly reduced the hotel’s water consumption, ensuring that The Savoy operates in an environmentally sustainable manner (</w:t>
      </w:r>
      <w:r w:rsidRPr="00732504">
        <w:rPr>
          <w:rFonts w:ascii="Arial" w:hAnsi="Arial" w:cs="Arial"/>
          <w:color w:val="auto"/>
        </w:rPr>
        <w:t>Ertz and Leblanc-Proulx, 2018</w:t>
      </w:r>
      <w:r w:rsidRPr="00732504">
        <w:rPr>
          <w:rFonts w:ascii="Arial" w:hAnsi="Arial" w:cs="Arial"/>
        </w:rPr>
        <w:t>). The greywater system exemplifies how hotels can integrate sustainable practices even in a city like London, where water shortages may not be an immediate concern but long-term conservation efforts contribute to global sustainability (</w:t>
      </w:r>
      <w:r w:rsidRPr="00732504">
        <w:rPr>
          <w:rFonts w:ascii="Arial" w:hAnsi="Arial" w:cs="Arial"/>
          <w:color w:val="auto"/>
        </w:rPr>
        <w:t>Leong et al., 2017</w:t>
      </w:r>
      <w:r w:rsidRPr="00732504">
        <w:rPr>
          <w:rFonts w:ascii="Arial" w:hAnsi="Arial" w:cs="Arial"/>
        </w:rPr>
        <w:t>).</w:t>
      </w:r>
    </w:p>
    <w:p w14:paraId="6CD383CF" w14:textId="77777777" w:rsidR="00846161" w:rsidRDefault="00732504" w:rsidP="00732504">
      <w:pPr>
        <w:rPr>
          <w:rFonts w:ascii="Arial" w:hAnsi="Arial" w:cs="Arial"/>
          <w:color w:val="auto"/>
        </w:rPr>
      </w:pPr>
      <w:r w:rsidRPr="00732504">
        <w:rPr>
          <w:rFonts w:ascii="Arial" w:hAnsi="Arial" w:cs="Arial"/>
        </w:rPr>
        <w:t>The Savoy’s CSR efforts are not limited to environmental sustainability. The hotel is deeply engaged in supporting local communities through various charitable initiatives and partnerships with local organisations (</w:t>
      </w:r>
      <w:r w:rsidRPr="00732504">
        <w:rPr>
          <w:rFonts w:ascii="Arial" w:hAnsi="Arial" w:cs="Arial"/>
          <w:color w:val="auto"/>
        </w:rPr>
        <w:t>Savoy and Rice, 2018</w:t>
      </w:r>
      <w:r w:rsidRPr="00732504">
        <w:rPr>
          <w:rFonts w:ascii="Arial" w:hAnsi="Arial" w:cs="Arial"/>
        </w:rPr>
        <w:t>). One of its most notable partnerships is with The Passage, a London-based charity that assists homeless individuals (Edgell, 2020). The Savoy regularly donates food to the charity and participates in fundraising events to raise awareness and support for homelessness. This collaboration demonstrates The Savoy’s commitment to addressing social issues and contributing to the welfare of the local community (</w:t>
      </w:r>
      <w:r w:rsidRPr="00732504">
        <w:rPr>
          <w:rFonts w:ascii="Arial" w:hAnsi="Arial" w:cs="Arial"/>
          <w:color w:val="auto"/>
        </w:rPr>
        <w:t>Iqbal, 2021</w:t>
      </w:r>
      <w:r w:rsidRPr="00732504">
        <w:rPr>
          <w:rFonts w:ascii="Arial" w:hAnsi="Arial" w:cs="Arial"/>
        </w:rPr>
        <w:t>). Beyond mere charity, The Savoy’s approach is deeply ingrained in the hotel's culture, ensuring that its staff participate actively in these community-focused initiatives (</w:t>
      </w:r>
      <w:r w:rsidRPr="00732504">
        <w:rPr>
          <w:rFonts w:ascii="Arial" w:hAnsi="Arial" w:cs="Arial"/>
          <w:color w:val="auto"/>
        </w:rPr>
        <w:t>Smith, 2019</w:t>
      </w:r>
      <w:r w:rsidRPr="00732504">
        <w:rPr>
          <w:rFonts w:ascii="Arial" w:hAnsi="Arial" w:cs="Arial"/>
        </w:rPr>
        <w:t>). The Savoy recognises that a strong community presence not only enhances its corporate reputation but also fosters long-lasting relationships with locals, reinforcing its position as a socially responsible institution (</w:t>
      </w:r>
      <w:r w:rsidRPr="00732504">
        <w:rPr>
          <w:rFonts w:ascii="Arial" w:hAnsi="Arial" w:cs="Arial"/>
          <w:color w:val="auto"/>
        </w:rPr>
        <w:t>Williams, 2020</w:t>
      </w:r>
      <w:r w:rsidRPr="00732504">
        <w:rPr>
          <w:rFonts w:ascii="Arial" w:hAnsi="Arial" w:cs="Arial"/>
        </w:rPr>
        <w:t>).</w:t>
      </w:r>
    </w:p>
    <w:p w14:paraId="3B920FEE" w14:textId="2E0E5DC9" w:rsidR="00732504" w:rsidRPr="00732504" w:rsidRDefault="00732504" w:rsidP="00732504">
      <w:pPr>
        <w:rPr>
          <w:rFonts w:ascii="Arial" w:hAnsi="Arial" w:cs="Arial"/>
          <w:color w:val="auto"/>
        </w:rPr>
      </w:pPr>
      <w:r w:rsidRPr="00732504">
        <w:rPr>
          <w:rFonts w:ascii="Arial" w:hAnsi="Arial" w:cs="Arial"/>
        </w:rPr>
        <w:lastRenderedPageBreak/>
        <w:t xml:space="preserve">Employee welfare is another key aspect of The Savoy’s CSR initiatives. The hotel offers its employees a range of training and development programs, ensuring that they have access to the skills and support necessary for career progression (Batabyal, 2018). Fair labour practices are central to Savoy’s CSR strategy, with the hotel offering competitive wages, benefits, and </w:t>
      </w:r>
      <w:r w:rsidR="00846161">
        <w:rPr>
          <w:rFonts w:ascii="Arial" w:hAnsi="Arial" w:cs="Arial"/>
        </w:rPr>
        <w:t>growth opportunities</w:t>
      </w:r>
      <w:r w:rsidRPr="00732504">
        <w:rPr>
          <w:rFonts w:ascii="Arial" w:hAnsi="Arial" w:cs="Arial"/>
        </w:rPr>
        <w:t xml:space="preserve"> (</w:t>
      </w:r>
      <w:r w:rsidRPr="00732504">
        <w:rPr>
          <w:rFonts w:ascii="Arial" w:hAnsi="Arial" w:cs="Arial"/>
          <w:color w:val="auto"/>
        </w:rPr>
        <w:t>Dehghani and Dangelico, 2018</w:t>
      </w:r>
      <w:r w:rsidRPr="00732504">
        <w:rPr>
          <w:rFonts w:ascii="Arial" w:hAnsi="Arial" w:cs="Arial"/>
        </w:rPr>
        <w:t>). By prioritising employee welfare, The Savoy fosters a positive work environment, which in turn contributes to higher staff retention and improved customer service (Sloan, Legrand, and Chen, 2017). Investing in employees also creates a ripple effect on the guest experience, as satisfied and well-trained employees tend to provide superior service. This, in turn, supports the long-term sustainability of the hotel’s operations, as customer loyalty and satisfaction are linked directly to employee satisfaction. This focus on fair treatment and staff development also aligns with international labour standards, ensuring that The Savoy operates in a socially responsible manner across all levels of its workforce (</w:t>
      </w:r>
      <w:r w:rsidRPr="00732504">
        <w:rPr>
          <w:rFonts w:ascii="Arial" w:hAnsi="Arial" w:cs="Arial"/>
          <w:color w:val="auto"/>
        </w:rPr>
        <w:t>Elbert and Schmid, 2018</w:t>
      </w:r>
      <w:r w:rsidRPr="00732504">
        <w:rPr>
          <w:rFonts w:ascii="Arial" w:hAnsi="Arial" w:cs="Arial"/>
        </w:rPr>
        <w:t>).</w:t>
      </w:r>
    </w:p>
    <w:p w14:paraId="7B983090" w14:textId="0A9C7858" w:rsidR="00732504" w:rsidRPr="00846161" w:rsidRDefault="00732504" w:rsidP="00732504">
      <w:pPr>
        <w:rPr>
          <w:rFonts w:ascii="Arial" w:hAnsi="Arial" w:cs="Arial"/>
          <w:color w:val="0070C0"/>
        </w:rPr>
      </w:pPr>
      <w:r w:rsidRPr="00732504">
        <w:rPr>
          <w:rFonts w:ascii="Arial" w:hAnsi="Arial" w:cs="Arial"/>
        </w:rPr>
        <w:t>In addition to its environmental and social initiatives, The Savoy is also committed to supporting the local economy (</w:t>
      </w:r>
      <w:r w:rsidRPr="00732504">
        <w:rPr>
          <w:rFonts w:ascii="Arial" w:hAnsi="Arial" w:cs="Arial"/>
          <w:color w:val="auto"/>
        </w:rPr>
        <w:t>Schmid, 2017</w:t>
      </w:r>
      <w:r w:rsidRPr="00732504">
        <w:rPr>
          <w:rFonts w:ascii="Arial" w:hAnsi="Arial" w:cs="Arial"/>
        </w:rPr>
        <w:t xml:space="preserve">). The hotel sources its food and other products </w:t>
      </w:r>
      <w:r w:rsidRPr="00846161">
        <w:rPr>
          <w:rFonts w:ascii="Arial" w:hAnsi="Arial" w:cs="Arial"/>
          <w:color w:val="auto"/>
        </w:rPr>
        <w:t>from local suppliers, ensuring that its operations contribute to the economic development of the surrounding community (</w:t>
      </w:r>
      <w:r w:rsidR="00846161" w:rsidRPr="00846161">
        <w:rPr>
          <w:rFonts w:ascii="Arial" w:hAnsi="Arial" w:cs="Arial"/>
          <w:color w:val="auto"/>
        </w:rPr>
        <w:t>Molina-Collado et al., 2022</w:t>
      </w:r>
      <w:r w:rsidRPr="00846161">
        <w:rPr>
          <w:rFonts w:ascii="Arial" w:hAnsi="Arial" w:cs="Arial"/>
          <w:color w:val="auto"/>
        </w:rPr>
        <w:t xml:space="preserve">). Prioritising local sourcing, The Savoy reduces the environmental impact associated with transporting goods over long distances and promotes sustainable business practices within the local economy (Batabyal, 2018). The Savoy has actively partnered with local farms and artisans, ensuring that the food served in its restaurants is not only </w:t>
      </w:r>
      <w:r w:rsidRPr="00732504">
        <w:rPr>
          <w:rFonts w:ascii="Arial" w:hAnsi="Arial" w:cs="Arial"/>
        </w:rPr>
        <w:t>fresh but also supports the local food economy. This commitment to local sourcing is a core aspect of the hotel’s broader economic sustainability strategy. Furthermore, by promoting ethical and sustainable supply chains, The Savoy ensures that its economic contributions extend beyond its immediate geographic location, influencing global supply chains (</w:t>
      </w:r>
      <w:r w:rsidRPr="00732504">
        <w:rPr>
          <w:rFonts w:ascii="Arial" w:hAnsi="Arial" w:cs="Arial"/>
          <w:color w:val="auto"/>
        </w:rPr>
        <w:t>Nwosu, 2016</w:t>
      </w:r>
      <w:r w:rsidRPr="00732504">
        <w:rPr>
          <w:rFonts w:ascii="Arial" w:hAnsi="Arial" w:cs="Arial"/>
        </w:rPr>
        <w:t>).</w:t>
      </w:r>
    </w:p>
    <w:p w14:paraId="4E3FD194" w14:textId="7701ED8B" w:rsidR="00732504" w:rsidRPr="00732504" w:rsidRDefault="00732504" w:rsidP="00732504">
      <w:pPr>
        <w:rPr>
          <w:rFonts w:ascii="Arial" w:hAnsi="Arial" w:cs="Arial"/>
          <w:color w:val="auto"/>
        </w:rPr>
      </w:pPr>
      <w:r w:rsidRPr="00732504">
        <w:rPr>
          <w:rFonts w:ascii="Arial" w:hAnsi="Arial" w:cs="Arial"/>
        </w:rPr>
        <w:t>The Savoy’s approach to CSR also includes promoting sustainable tourism. The hotel encourages guests to participate in eco-friendly activities, such as cycling tours and visits to local cultural sites (</w:t>
      </w:r>
      <w:r w:rsidRPr="00732504">
        <w:rPr>
          <w:rFonts w:ascii="Arial" w:hAnsi="Arial" w:cs="Arial"/>
          <w:color w:val="auto"/>
        </w:rPr>
        <w:t>Iyer and Jarvis, 2019</w:t>
      </w:r>
      <w:r w:rsidRPr="00732504">
        <w:rPr>
          <w:rFonts w:ascii="Arial" w:hAnsi="Arial" w:cs="Arial"/>
        </w:rPr>
        <w:t>). Offering guests sustainable travel options, The Savoy helps to reduce the environmental impact of tourism while supporting local businesses (</w:t>
      </w:r>
      <w:r w:rsidRPr="00732504">
        <w:rPr>
          <w:rFonts w:ascii="Arial" w:hAnsi="Arial" w:cs="Arial"/>
          <w:color w:val="auto"/>
        </w:rPr>
        <w:t xml:space="preserve">Arici et </w:t>
      </w:r>
      <w:r w:rsidRPr="00846161">
        <w:rPr>
          <w:rFonts w:ascii="Arial" w:hAnsi="Arial" w:cs="Arial"/>
          <w:i/>
          <w:iCs/>
          <w:color w:val="auto"/>
        </w:rPr>
        <w:t>al</w:t>
      </w:r>
      <w:r w:rsidRPr="00732504">
        <w:rPr>
          <w:rFonts w:ascii="Arial" w:hAnsi="Arial" w:cs="Arial"/>
          <w:color w:val="auto"/>
        </w:rPr>
        <w:t>., 2024</w:t>
      </w:r>
      <w:r w:rsidRPr="00732504">
        <w:rPr>
          <w:rFonts w:ascii="Arial" w:hAnsi="Arial" w:cs="Arial"/>
        </w:rPr>
        <w:t xml:space="preserve">). These efforts contribute to the hotel’s broader goal of fostering a sustainable tourism industry that benefits both the </w:t>
      </w:r>
      <w:r w:rsidRPr="00732504">
        <w:rPr>
          <w:rFonts w:ascii="Arial" w:hAnsi="Arial" w:cs="Arial"/>
        </w:rPr>
        <w:lastRenderedPageBreak/>
        <w:t>environment and local communities (Sloan, Legrand, and Chen, 2017). The Savoy's eco-tourism initiatives serve as a blueprint for other luxury hotels that aim to provide guests with environmentally conscious travel options without sacrificing the quality of the guest experience (</w:t>
      </w:r>
      <w:r w:rsidRPr="00732504">
        <w:rPr>
          <w:rFonts w:ascii="Arial" w:hAnsi="Arial" w:cs="Arial"/>
          <w:color w:val="auto"/>
        </w:rPr>
        <w:t>Boğan, 2021</w:t>
      </w:r>
      <w:r w:rsidRPr="00732504">
        <w:rPr>
          <w:rFonts w:ascii="Arial" w:hAnsi="Arial" w:cs="Arial"/>
        </w:rPr>
        <w:t>).</w:t>
      </w:r>
    </w:p>
    <w:p w14:paraId="0AAA1EE3" w14:textId="430D88E8" w:rsidR="00732504" w:rsidRPr="00732504" w:rsidRDefault="00732504" w:rsidP="00732504">
      <w:pPr>
        <w:rPr>
          <w:rFonts w:ascii="Arial" w:hAnsi="Arial" w:cs="Arial"/>
          <w:color w:val="auto"/>
        </w:rPr>
      </w:pPr>
      <w:r w:rsidRPr="00732504">
        <w:rPr>
          <w:rFonts w:ascii="Arial" w:hAnsi="Arial" w:cs="Arial"/>
        </w:rPr>
        <w:t>Despite its successes, The Savoy faces several challenges in implementing its CSR initiatives. One of the primary challenges is the financial cost associated with adopting sustainable practices (Wickham, Donnelly, and French, 2021). Energy-efficient technologies, waste management systems, and water conservation measures often require significant upfront investment. For luxury hotels like The Savoy, which are expected to maintain high standards of service and comfort, the challenge is finding a balance between providing a premium guest experience and operating sustainably (</w:t>
      </w:r>
      <w:r w:rsidRPr="00732504">
        <w:rPr>
          <w:rFonts w:ascii="Arial" w:hAnsi="Arial" w:cs="Arial"/>
          <w:color w:val="auto"/>
        </w:rPr>
        <w:t>Farrington et al., 2017</w:t>
      </w:r>
      <w:r w:rsidRPr="00732504">
        <w:rPr>
          <w:rFonts w:ascii="Arial" w:hAnsi="Arial" w:cs="Arial"/>
        </w:rPr>
        <w:t>). However, these investments typically result in long-term savings through reduced</w:t>
      </w:r>
      <w:r w:rsidRPr="00732504">
        <w:rPr>
          <w:rFonts w:ascii="Arial" w:hAnsi="Arial" w:cs="Arial"/>
        </w:rPr>
        <w:t xml:space="preserve"> </w:t>
      </w:r>
      <w:r w:rsidRPr="00732504">
        <w:rPr>
          <w:rFonts w:ascii="Arial" w:hAnsi="Arial" w:cs="Arial"/>
        </w:rPr>
        <w:t xml:space="preserve">energy and water consumption, making them economically viable in the long run. For example, Savoy’s CHP plant, while costly to install, generates ongoing energy savings that offset its initial investment. These financial benefits, alongside the environmental and social gains, highlight the long-term viability of investing in CSR initiatives, even when they require a substantial upfront expenditure </w:t>
      </w:r>
      <w:r w:rsidRPr="00732504">
        <w:rPr>
          <w:rFonts w:ascii="Arial" w:hAnsi="Arial" w:cs="Arial"/>
          <w:color w:val="auto"/>
        </w:rPr>
        <w:t>(Moyeen and Mehjabeen, 2024</w:t>
      </w:r>
      <w:r w:rsidRPr="00732504">
        <w:rPr>
          <w:rFonts w:ascii="Arial" w:hAnsi="Arial" w:cs="Arial"/>
        </w:rPr>
        <w:t>).</w:t>
      </w:r>
    </w:p>
    <w:p w14:paraId="474C92B8" w14:textId="4ECC19AE" w:rsidR="00732504" w:rsidRPr="00732504" w:rsidRDefault="00732504" w:rsidP="00732504">
      <w:pPr>
        <w:rPr>
          <w:rFonts w:ascii="Arial" w:hAnsi="Arial" w:cs="Arial"/>
          <w:color w:val="auto"/>
        </w:rPr>
      </w:pPr>
      <w:r w:rsidRPr="00732504">
        <w:rPr>
          <w:rFonts w:ascii="Arial" w:hAnsi="Arial" w:cs="Arial"/>
        </w:rPr>
        <w:t>Another challenge is accurately measuring the impact of CSR initiatives. While The Savoy has set ambitious goals for reducing its carbon footprint, improving waste management, and conserving water, tracking the success of these initiatives requires sophisticated monitoring systems (</w:t>
      </w:r>
      <w:r w:rsidRPr="00732504">
        <w:rPr>
          <w:rFonts w:ascii="Arial" w:hAnsi="Arial" w:cs="Arial"/>
          <w:color w:val="auto"/>
        </w:rPr>
        <w:t>Lyu et al., 2021</w:t>
      </w:r>
      <w:r w:rsidRPr="00732504">
        <w:rPr>
          <w:rFonts w:ascii="Arial" w:hAnsi="Arial" w:cs="Arial"/>
        </w:rPr>
        <w:t>). For example, measuring reductions in water consumption and waste generation involves collecting data from various sources and ensuring that accurate records are maintained. This can be time-consuming and costly, but it is essential for assessing the overall effectiveness of CSR strategies and identifying areas for improvement. The hotel has worked with external sustainability consultants to improve its data tracking and measurement systems, allowing it to publish more transparent reports and meet international sustainability benchmarks. Transparent reporting, in turn, strengthens the hotel's reputation as a leader in corporate responsibility (</w:t>
      </w:r>
      <w:r w:rsidRPr="00732504">
        <w:rPr>
          <w:rFonts w:ascii="Arial" w:hAnsi="Arial" w:cs="Arial"/>
          <w:color w:val="auto"/>
        </w:rPr>
        <w:t>Kim, Lee and Fairhurst, 2017</w:t>
      </w:r>
      <w:r w:rsidRPr="00732504">
        <w:rPr>
          <w:rFonts w:ascii="Arial" w:hAnsi="Arial" w:cs="Arial"/>
        </w:rPr>
        <w:t>).</w:t>
      </w:r>
    </w:p>
    <w:p w14:paraId="68D5741B" w14:textId="60BB9BF0" w:rsidR="00732504" w:rsidRPr="00732504" w:rsidRDefault="00732504" w:rsidP="00732504">
      <w:pPr>
        <w:rPr>
          <w:rFonts w:ascii="Arial" w:hAnsi="Arial" w:cs="Arial"/>
          <w:color w:val="auto"/>
        </w:rPr>
      </w:pPr>
      <w:r w:rsidRPr="00732504">
        <w:rPr>
          <w:rFonts w:ascii="Arial" w:hAnsi="Arial" w:cs="Arial"/>
        </w:rPr>
        <w:t xml:space="preserve">Legislation also plays a significant role in shaping CSR practices in the hospitality industry. In the United Kingdom, laws such as the Climate Change Act 2008 and the </w:t>
      </w:r>
      <w:r w:rsidRPr="00732504">
        <w:rPr>
          <w:rFonts w:ascii="Arial" w:hAnsi="Arial" w:cs="Arial"/>
        </w:rPr>
        <w:lastRenderedPageBreak/>
        <w:t>Waste Regulations 2011 require businesses to take measures to reduce their environmental impact and manage waste responsibly (Batabyal, 2018). These legal requirements have influenced The Savoy’s approach to CSR, with the hotel implementing policies that comply with legislation while also exceeding regulatory standards. The hotel’s decision to install a CHP plant, for example, not only aligns with the UK government’s targets for reducing carbon emissions but also reflects its proactive stance on environmental responsibility. Compliance with these regulations also positions The Savoy as a responsible player in the industry, ensuring it meets current and future legislative requirements, thereby reducing potential legal and financial risks (</w:t>
      </w:r>
      <w:r w:rsidRPr="00732504">
        <w:rPr>
          <w:rFonts w:ascii="Arial" w:hAnsi="Arial" w:cs="Arial"/>
          <w:color w:val="auto"/>
        </w:rPr>
        <w:t>Xu and Gursoy, 2015</w:t>
      </w:r>
      <w:r w:rsidRPr="00732504">
        <w:rPr>
          <w:rFonts w:ascii="Arial" w:hAnsi="Arial" w:cs="Arial"/>
        </w:rPr>
        <w:t>).</w:t>
      </w:r>
    </w:p>
    <w:p w14:paraId="6A53F3FC" w14:textId="505E3D1B" w:rsidR="00732504" w:rsidRPr="00732504" w:rsidRDefault="00732504" w:rsidP="00732504">
      <w:pPr>
        <w:rPr>
          <w:rFonts w:ascii="Arial" w:hAnsi="Arial" w:cs="Arial"/>
          <w:color w:val="auto"/>
        </w:rPr>
      </w:pPr>
      <w:r w:rsidRPr="00732504">
        <w:rPr>
          <w:rFonts w:ascii="Arial" w:hAnsi="Arial" w:cs="Arial"/>
        </w:rPr>
        <w:t>Looking ahead, The Savoy’s commitment to CSR presents several opportunities for future growth and innovation. As consumer demand for environmentally and socially responsible businesses continues to rise, The Savoy is well-positioned to attract a growing market of eco-conscious travellers (Edgell, 2020). The hotel could further enhance its sustainability efforts by exploring renewable energy sources such as solar power, which would reduce its reliance on external energy providers and further decrease its carbon emissions. Expanding partnerships with local charities and organisations would also allow The Savoy to deepen its engagement with the community and address a broader range of social issues, such as unemployment and education</w:t>
      </w:r>
      <w:r w:rsidRPr="00732504">
        <w:rPr>
          <w:rFonts w:ascii="Arial" w:hAnsi="Arial" w:cs="Arial"/>
        </w:rPr>
        <w:t xml:space="preserve">. </w:t>
      </w:r>
      <w:r w:rsidRPr="00732504">
        <w:rPr>
          <w:rFonts w:ascii="Arial" w:hAnsi="Arial" w:cs="Arial"/>
        </w:rPr>
        <w:t>Additionally, the use of renewable energy sources, coupled with energy storage systems, could further reduce operational costs and carbon footprints, cementing The Savoy’s status as a pioneer in sustainable luxury hospitality (</w:t>
      </w:r>
      <w:r w:rsidRPr="00732504">
        <w:rPr>
          <w:rFonts w:ascii="Arial" w:hAnsi="Arial" w:cs="Arial"/>
          <w:color w:val="auto"/>
        </w:rPr>
        <w:t>Nguyen, 2023</w:t>
      </w:r>
      <w:r w:rsidRPr="00732504">
        <w:rPr>
          <w:rFonts w:ascii="Arial" w:hAnsi="Arial" w:cs="Arial"/>
        </w:rPr>
        <w:t>).</w:t>
      </w:r>
    </w:p>
    <w:p w14:paraId="451764E0" w14:textId="52985CA3" w:rsidR="00732504" w:rsidRPr="00732504" w:rsidRDefault="00732504" w:rsidP="00732504">
      <w:pPr>
        <w:rPr>
          <w:rFonts w:ascii="Arial" w:hAnsi="Arial" w:cs="Arial"/>
          <w:color w:val="auto"/>
        </w:rPr>
      </w:pPr>
      <w:r w:rsidRPr="00732504">
        <w:rPr>
          <w:rFonts w:ascii="Arial" w:hAnsi="Arial" w:cs="Arial"/>
        </w:rPr>
        <w:t xml:space="preserve">The broader hospitality industry stands to benefit from the example set by The Savoy. As one of London’s most iconic luxury hotels, The Savoy has the potential to influence industry-wide standards for CSR and sustainability (Batabyal, 2018). Other luxury hotels can look to The Savoy as a model for implementing sustainable practices that benefit both the environment and the community while maintaining a high level of service. By adopting similar CSR initiatives, hotels around the world can contribute to the creation of a more sustainable tourism industry that balances economic growth with environmental and social responsibility. The hospitality sector as a whole can learn from The Savoy’s integration of sustainable practices without compromising </w:t>
      </w:r>
      <w:r w:rsidRPr="00732504">
        <w:rPr>
          <w:rFonts w:ascii="Arial" w:hAnsi="Arial" w:cs="Arial"/>
        </w:rPr>
        <w:lastRenderedPageBreak/>
        <w:t>luxury, showing that sustainability and opulence can coexist (</w:t>
      </w:r>
      <w:r w:rsidRPr="00732504">
        <w:rPr>
          <w:rFonts w:ascii="Arial" w:hAnsi="Arial" w:cs="Arial"/>
          <w:color w:val="auto"/>
        </w:rPr>
        <w:t>Jones, Hillier and Comfort, 2016</w:t>
      </w:r>
      <w:r w:rsidRPr="00732504">
        <w:rPr>
          <w:rFonts w:ascii="Arial" w:hAnsi="Arial" w:cs="Arial"/>
        </w:rPr>
        <w:t>).</w:t>
      </w:r>
    </w:p>
    <w:p w14:paraId="2D85C25D" w14:textId="77777777" w:rsidR="00732504" w:rsidRPr="00732504" w:rsidRDefault="00732504" w:rsidP="00732504">
      <w:pPr>
        <w:rPr>
          <w:rFonts w:ascii="Arial" w:hAnsi="Arial" w:cs="Arial"/>
        </w:rPr>
      </w:pPr>
      <w:r w:rsidRPr="00732504">
        <w:rPr>
          <w:rFonts w:ascii="Arial" w:hAnsi="Arial" w:cs="Arial"/>
        </w:rPr>
        <w:t>In conclusion, The Savoy Hotel’s CSR initiatives demonstrate the critical role that corporate responsibility plays in promoting sustainability within the hospitality industry. Through its efforts to reduce carbon emissions, manage waste, and support local communities, The Savoy has positioned itself as a leader in sustainable hospitality. While challenges such as financial costs and impact measurement remain, the hotel’s commitment to CSR provides numerous opportunities for future growth and innovation. As the hospitality industry continues to evolve, The Savoy’s CSR initiatives will serve as a benchmark for other luxury hotels, helping to drive the sector toward greater sustainability and long-term success. The broader hospitality industry can draw inspiration from The Savoy’s practices, highlighting the importance of integrating environmental, social, and economic responsibilities into everyday operations to ensure that the sector remains sustainable for generations to come. This model of sustainable luxury not only ensures the longevity of businesses but also contributes to global efforts to combat climate change, protect ecosystems, and promote equitable social development.</w:t>
      </w:r>
    </w:p>
    <w:p w14:paraId="7F7E2D38" w14:textId="77777777" w:rsidR="00732504" w:rsidRDefault="00732504" w:rsidP="00732504">
      <w:pPr>
        <w:rPr>
          <w:rFonts w:ascii="Arial" w:hAnsi="Arial" w:cs="Arial"/>
        </w:rPr>
      </w:pPr>
    </w:p>
    <w:p w14:paraId="003F3662" w14:textId="77777777" w:rsidR="00846161" w:rsidRDefault="00846161" w:rsidP="00732504">
      <w:pPr>
        <w:rPr>
          <w:rFonts w:ascii="Arial" w:hAnsi="Arial" w:cs="Arial"/>
        </w:rPr>
      </w:pPr>
    </w:p>
    <w:p w14:paraId="2A8D7571" w14:textId="77777777" w:rsidR="00846161" w:rsidRDefault="00846161" w:rsidP="00732504">
      <w:pPr>
        <w:rPr>
          <w:rFonts w:ascii="Arial" w:hAnsi="Arial" w:cs="Arial"/>
        </w:rPr>
      </w:pPr>
    </w:p>
    <w:p w14:paraId="01CBE474" w14:textId="77777777" w:rsidR="00846161" w:rsidRDefault="00846161" w:rsidP="00732504">
      <w:pPr>
        <w:rPr>
          <w:rFonts w:ascii="Arial" w:hAnsi="Arial" w:cs="Arial"/>
        </w:rPr>
      </w:pPr>
    </w:p>
    <w:p w14:paraId="7AED294D" w14:textId="77777777" w:rsidR="00846161" w:rsidRDefault="00846161" w:rsidP="00732504">
      <w:pPr>
        <w:rPr>
          <w:rFonts w:ascii="Arial" w:hAnsi="Arial" w:cs="Arial"/>
        </w:rPr>
      </w:pPr>
    </w:p>
    <w:p w14:paraId="46393205" w14:textId="77777777" w:rsidR="00846161" w:rsidRDefault="00846161" w:rsidP="00732504">
      <w:pPr>
        <w:rPr>
          <w:rFonts w:ascii="Arial" w:hAnsi="Arial" w:cs="Arial"/>
        </w:rPr>
      </w:pPr>
    </w:p>
    <w:p w14:paraId="1D5CE431" w14:textId="77777777" w:rsidR="00846161" w:rsidRDefault="00846161" w:rsidP="00732504">
      <w:pPr>
        <w:rPr>
          <w:rFonts w:ascii="Arial" w:hAnsi="Arial" w:cs="Arial"/>
        </w:rPr>
      </w:pPr>
    </w:p>
    <w:p w14:paraId="2961372C" w14:textId="77777777" w:rsidR="00846161" w:rsidRDefault="00846161" w:rsidP="00732504">
      <w:pPr>
        <w:rPr>
          <w:rFonts w:ascii="Arial" w:hAnsi="Arial" w:cs="Arial"/>
        </w:rPr>
      </w:pPr>
    </w:p>
    <w:p w14:paraId="1F733204" w14:textId="77777777" w:rsidR="00846161" w:rsidRDefault="00846161" w:rsidP="00732504">
      <w:pPr>
        <w:rPr>
          <w:rFonts w:ascii="Arial" w:hAnsi="Arial" w:cs="Arial"/>
        </w:rPr>
      </w:pPr>
    </w:p>
    <w:p w14:paraId="77C56ACC" w14:textId="77777777" w:rsidR="00846161" w:rsidRDefault="00846161" w:rsidP="00732504">
      <w:pPr>
        <w:rPr>
          <w:rFonts w:ascii="Arial" w:hAnsi="Arial" w:cs="Arial"/>
        </w:rPr>
      </w:pPr>
    </w:p>
    <w:p w14:paraId="4EF82889" w14:textId="77777777" w:rsidR="00846161" w:rsidRDefault="00846161" w:rsidP="00732504">
      <w:pPr>
        <w:rPr>
          <w:rFonts w:ascii="Arial" w:hAnsi="Arial" w:cs="Arial"/>
        </w:rPr>
      </w:pPr>
    </w:p>
    <w:p w14:paraId="7A4BC8DB" w14:textId="77777777" w:rsidR="00846161" w:rsidRPr="00732504" w:rsidRDefault="00846161" w:rsidP="00732504">
      <w:pPr>
        <w:rPr>
          <w:rFonts w:ascii="Arial" w:hAnsi="Arial" w:cs="Arial"/>
        </w:rPr>
      </w:pPr>
    </w:p>
    <w:p w14:paraId="2F61D066" w14:textId="4865781D" w:rsidR="00846161" w:rsidRPr="00846161" w:rsidRDefault="00846161" w:rsidP="00846161">
      <w:pPr>
        <w:rPr>
          <w:rFonts w:ascii="Arial" w:hAnsi="Arial" w:cs="Arial"/>
          <w:b/>
          <w:bCs/>
        </w:rPr>
      </w:pPr>
      <w:r w:rsidRPr="00846161">
        <w:rPr>
          <w:rFonts w:ascii="Arial" w:hAnsi="Arial" w:cs="Arial"/>
          <w:b/>
          <w:bCs/>
        </w:rPr>
        <w:lastRenderedPageBreak/>
        <w:t>References</w:t>
      </w:r>
    </w:p>
    <w:p w14:paraId="0C1936C5" w14:textId="77777777" w:rsidR="00846161" w:rsidRPr="00846161" w:rsidRDefault="00846161" w:rsidP="00846161">
      <w:pPr>
        <w:rPr>
          <w:rFonts w:ascii="Arial" w:hAnsi="Arial" w:cs="Arial"/>
          <w:color w:val="auto"/>
        </w:rPr>
      </w:pPr>
      <w:r w:rsidRPr="00846161">
        <w:rPr>
          <w:rFonts w:ascii="Arial" w:hAnsi="Arial" w:cs="Arial"/>
          <w:color w:val="auto"/>
        </w:rPr>
        <w:t xml:space="preserve">Arici, H.E., Saydam, M.B., Sökmen, A. and Cakmakoglu Arici, N. (2024) 'Corporate social responsibility in hospitality and tourism: a systematic review', </w:t>
      </w:r>
      <w:r w:rsidRPr="00846161">
        <w:rPr>
          <w:rFonts w:ascii="Arial" w:hAnsi="Arial" w:cs="Arial"/>
          <w:i/>
          <w:iCs/>
          <w:color w:val="auto"/>
        </w:rPr>
        <w:t>The Service Industries Journal</w:t>
      </w:r>
      <w:r w:rsidRPr="00846161">
        <w:rPr>
          <w:rFonts w:ascii="Arial" w:hAnsi="Arial" w:cs="Arial"/>
          <w:color w:val="auto"/>
        </w:rPr>
        <w:t xml:space="preserve">, pp. 1-30. </w:t>
      </w:r>
      <w:r w:rsidRPr="00846161">
        <w:rPr>
          <w:rFonts w:ascii="Arial" w:hAnsi="Arial" w:cs="Arial"/>
          <w:color w:val="0070C0"/>
        </w:rPr>
        <w:t>doi: 10.1080/02642069.2024.2345299.</w:t>
      </w:r>
    </w:p>
    <w:p w14:paraId="3E56E32E" w14:textId="77777777" w:rsidR="00846161" w:rsidRPr="00846161" w:rsidRDefault="00846161" w:rsidP="00846161">
      <w:pPr>
        <w:rPr>
          <w:rFonts w:ascii="Arial" w:hAnsi="Arial" w:cs="Arial"/>
        </w:rPr>
      </w:pPr>
      <w:r w:rsidRPr="00846161">
        <w:rPr>
          <w:rFonts w:ascii="Arial" w:hAnsi="Arial" w:cs="Arial"/>
        </w:rPr>
        <w:t xml:space="preserve">Batabyal, D. (2018) </w:t>
      </w:r>
      <w:r w:rsidRPr="00846161">
        <w:rPr>
          <w:rFonts w:ascii="Arial" w:hAnsi="Arial" w:cs="Arial"/>
          <w:i/>
          <w:iCs/>
        </w:rPr>
        <w:t>Managing sustainable tourism resources</w:t>
      </w:r>
      <w:r w:rsidRPr="00846161">
        <w:rPr>
          <w:rFonts w:ascii="Arial" w:hAnsi="Arial" w:cs="Arial"/>
        </w:rPr>
        <w:t xml:space="preserve">. Hershey, PA, United States: IGI Global. </w:t>
      </w:r>
    </w:p>
    <w:p w14:paraId="26563DB8" w14:textId="77777777" w:rsidR="00846161" w:rsidRPr="00846161" w:rsidRDefault="00846161" w:rsidP="00846161">
      <w:pPr>
        <w:rPr>
          <w:rFonts w:ascii="Arial" w:hAnsi="Arial" w:cs="Arial"/>
          <w:color w:val="auto"/>
        </w:rPr>
      </w:pPr>
      <w:r w:rsidRPr="00846161">
        <w:rPr>
          <w:rFonts w:ascii="Arial" w:hAnsi="Arial" w:cs="Arial"/>
          <w:color w:val="auto"/>
        </w:rPr>
        <w:t xml:space="preserve">Boğan, E. (2021) 'A review of prominent theories in perceived CSR-employee outcomes link in hospitality literature', </w:t>
      </w:r>
      <w:r w:rsidRPr="00846161">
        <w:rPr>
          <w:rFonts w:ascii="Arial" w:hAnsi="Arial" w:cs="Arial"/>
          <w:i/>
          <w:iCs/>
          <w:color w:val="auto"/>
        </w:rPr>
        <w:t>Journal of Multidisciplinary Academic Tourism</w:t>
      </w:r>
      <w:r w:rsidRPr="00846161">
        <w:rPr>
          <w:rFonts w:ascii="Arial" w:hAnsi="Arial" w:cs="Arial"/>
          <w:color w:val="auto"/>
        </w:rPr>
        <w:t xml:space="preserve">, 6(2), pp. 99-105. </w:t>
      </w:r>
      <w:r w:rsidRPr="00846161">
        <w:rPr>
          <w:rFonts w:ascii="Arial" w:hAnsi="Arial" w:cs="Arial"/>
          <w:color w:val="0070C0"/>
        </w:rPr>
        <w:t>doi: 10.31822/jomat.2021-6-2-99.</w:t>
      </w:r>
    </w:p>
    <w:p w14:paraId="558A85CC" w14:textId="77777777" w:rsidR="00846161" w:rsidRPr="00846161" w:rsidRDefault="00846161" w:rsidP="00846161">
      <w:pPr>
        <w:rPr>
          <w:rFonts w:ascii="Arial" w:hAnsi="Arial" w:cs="Arial"/>
        </w:rPr>
      </w:pPr>
      <w:r w:rsidRPr="00846161">
        <w:rPr>
          <w:rFonts w:ascii="Arial" w:hAnsi="Arial" w:cs="Arial"/>
        </w:rPr>
        <w:t xml:space="preserve">Cooper, C. (2021) </w:t>
      </w:r>
      <w:r w:rsidRPr="00846161">
        <w:rPr>
          <w:rFonts w:ascii="Arial" w:hAnsi="Arial" w:cs="Arial"/>
          <w:i/>
          <w:iCs/>
        </w:rPr>
        <w:t>Essentials of tourism</w:t>
      </w:r>
      <w:r w:rsidRPr="00846161">
        <w:rPr>
          <w:rFonts w:ascii="Arial" w:hAnsi="Arial" w:cs="Arial"/>
        </w:rPr>
        <w:t>. 3rd edn. London, United Kingdom: SAGE.</w:t>
      </w:r>
    </w:p>
    <w:p w14:paraId="3E3BC7AA" w14:textId="77777777" w:rsidR="00846161" w:rsidRPr="00846161" w:rsidRDefault="00846161" w:rsidP="00846161">
      <w:pPr>
        <w:rPr>
          <w:rFonts w:ascii="Arial" w:hAnsi="Arial" w:cs="Arial"/>
        </w:rPr>
      </w:pPr>
      <w:r w:rsidRPr="00846161">
        <w:rPr>
          <w:rFonts w:ascii="Arial" w:hAnsi="Arial" w:cs="Arial"/>
        </w:rPr>
        <w:t xml:space="preserve">Costa, C. and Costa, C. (Eds.) (2022) </w:t>
      </w:r>
      <w:r w:rsidRPr="00846161">
        <w:rPr>
          <w:rFonts w:ascii="Arial" w:hAnsi="Arial" w:cs="Arial"/>
          <w:i/>
          <w:iCs/>
        </w:rPr>
        <w:t>Sustainability and competitiveness in the hospitality industry</w:t>
      </w:r>
      <w:r w:rsidRPr="00846161">
        <w:rPr>
          <w:rFonts w:ascii="Arial" w:hAnsi="Arial" w:cs="Arial"/>
        </w:rPr>
        <w:t>. Hershey, PA, United States: Business Science Reference.</w:t>
      </w:r>
    </w:p>
    <w:p w14:paraId="16679575" w14:textId="77777777" w:rsidR="00846161" w:rsidRPr="00846161" w:rsidRDefault="00846161" w:rsidP="00846161">
      <w:pPr>
        <w:rPr>
          <w:rFonts w:ascii="Arial" w:hAnsi="Arial" w:cs="Arial"/>
          <w:color w:val="auto"/>
        </w:rPr>
      </w:pPr>
      <w:r w:rsidRPr="00846161">
        <w:rPr>
          <w:rFonts w:ascii="Arial" w:hAnsi="Arial" w:cs="Arial"/>
          <w:color w:val="auto"/>
        </w:rPr>
        <w:t xml:space="preserve">Dehghani, M. and Dangelico, R.M. (2018) 'Smart wearable technologies: state of the art and evolution over time through patent analysis and clustering', </w:t>
      </w:r>
      <w:r w:rsidRPr="00846161">
        <w:rPr>
          <w:rFonts w:ascii="Arial" w:hAnsi="Arial" w:cs="Arial"/>
          <w:i/>
          <w:iCs/>
          <w:color w:val="auto"/>
        </w:rPr>
        <w:t>International Journal of Product Development</w:t>
      </w:r>
      <w:r w:rsidRPr="00846161">
        <w:rPr>
          <w:rFonts w:ascii="Arial" w:hAnsi="Arial" w:cs="Arial"/>
          <w:color w:val="auto"/>
        </w:rPr>
        <w:t xml:space="preserve">, 22(4), pp. 293-313. </w:t>
      </w:r>
      <w:r w:rsidRPr="00846161">
        <w:rPr>
          <w:rFonts w:ascii="Arial" w:hAnsi="Arial" w:cs="Arial"/>
          <w:color w:val="0070C0"/>
        </w:rPr>
        <w:t>doi: 10.1504/IJPD.2018.091148.</w:t>
      </w:r>
    </w:p>
    <w:p w14:paraId="1EDD7509" w14:textId="77777777" w:rsidR="00846161" w:rsidRPr="00846161" w:rsidRDefault="00846161" w:rsidP="00846161">
      <w:pPr>
        <w:rPr>
          <w:rFonts w:ascii="Arial" w:hAnsi="Arial" w:cs="Arial"/>
        </w:rPr>
      </w:pPr>
      <w:r w:rsidRPr="00846161">
        <w:rPr>
          <w:rFonts w:ascii="Arial" w:hAnsi="Arial" w:cs="Arial"/>
        </w:rPr>
        <w:t xml:space="preserve">Edgell, D.L. (2020) </w:t>
      </w:r>
      <w:r w:rsidRPr="00846161">
        <w:rPr>
          <w:rFonts w:ascii="Arial" w:hAnsi="Arial" w:cs="Arial"/>
          <w:i/>
          <w:iCs/>
        </w:rPr>
        <w:t>Managing sustainable tourism: a legacy for the future</w:t>
      </w:r>
      <w:r w:rsidRPr="00846161">
        <w:rPr>
          <w:rFonts w:ascii="Arial" w:hAnsi="Arial" w:cs="Arial"/>
        </w:rPr>
        <w:t>. 3rd edn. New York, United States: Routledge.</w:t>
      </w:r>
    </w:p>
    <w:p w14:paraId="30DF9158" w14:textId="77777777" w:rsidR="00846161" w:rsidRDefault="00846161" w:rsidP="00846161">
      <w:pPr>
        <w:rPr>
          <w:rFonts w:ascii="Arial" w:hAnsi="Arial" w:cs="Arial"/>
          <w:color w:val="0070C0"/>
        </w:rPr>
      </w:pPr>
      <w:r w:rsidRPr="00846161">
        <w:rPr>
          <w:rFonts w:ascii="Arial" w:hAnsi="Arial" w:cs="Arial"/>
        </w:rPr>
        <w:t xml:space="preserve">Elbelehy, C. and Crispim, J. (2024) 'Social sustainability in the hospitality and tourism supply chains: what can we learn from existing research and what remains unexplored?', </w:t>
      </w:r>
      <w:r w:rsidRPr="00846161">
        <w:rPr>
          <w:rFonts w:ascii="Arial" w:hAnsi="Arial" w:cs="Arial"/>
          <w:i/>
          <w:iCs/>
        </w:rPr>
        <w:t>Journal of Hospitality and Tourism Insights</w:t>
      </w:r>
      <w:r w:rsidRPr="00846161">
        <w:rPr>
          <w:rFonts w:ascii="Arial" w:hAnsi="Arial" w:cs="Arial"/>
        </w:rPr>
        <w:t xml:space="preserve">. </w:t>
      </w:r>
      <w:r w:rsidRPr="00846161">
        <w:rPr>
          <w:rFonts w:ascii="Arial" w:hAnsi="Arial" w:cs="Arial"/>
          <w:color w:val="0070C0"/>
        </w:rPr>
        <w:t>doi: 10.1108/JHTI-03-2024-0233.</w:t>
      </w:r>
    </w:p>
    <w:p w14:paraId="0BD7A3DB" w14:textId="77777777" w:rsidR="00846161" w:rsidRPr="00846161" w:rsidRDefault="00846161" w:rsidP="00846161">
      <w:pPr>
        <w:rPr>
          <w:rFonts w:ascii="Arial" w:hAnsi="Arial" w:cs="Arial"/>
          <w:color w:val="auto"/>
        </w:rPr>
      </w:pPr>
      <w:r w:rsidRPr="00846161">
        <w:rPr>
          <w:rFonts w:ascii="Arial" w:hAnsi="Arial" w:cs="Arial"/>
          <w:color w:val="auto"/>
        </w:rPr>
        <w:t xml:space="preserve">Elbert, M. and Schmid, S. (2018) </w:t>
      </w:r>
      <w:r w:rsidRPr="00846161">
        <w:rPr>
          <w:rFonts w:ascii="Arial" w:hAnsi="Arial" w:cs="Arial"/>
          <w:i/>
          <w:iCs/>
          <w:color w:val="auto"/>
        </w:rPr>
        <w:t>Anglo-American Travelers and the Hotel Experience in Nineteenth-Century Literature</w:t>
      </w:r>
      <w:r w:rsidRPr="00846161">
        <w:rPr>
          <w:rFonts w:ascii="Arial" w:hAnsi="Arial" w:cs="Arial"/>
          <w:color w:val="auto"/>
        </w:rPr>
        <w:t xml:space="preserve">. London, United Kingdom: Routledge. </w:t>
      </w:r>
    </w:p>
    <w:p w14:paraId="6AB5B597" w14:textId="77777777" w:rsidR="00846161" w:rsidRPr="00846161" w:rsidRDefault="00846161" w:rsidP="00846161">
      <w:pPr>
        <w:rPr>
          <w:rFonts w:ascii="Arial" w:hAnsi="Arial" w:cs="Arial"/>
          <w:color w:val="auto"/>
        </w:rPr>
      </w:pPr>
      <w:r w:rsidRPr="00846161">
        <w:rPr>
          <w:rFonts w:ascii="Arial" w:hAnsi="Arial" w:cs="Arial"/>
          <w:color w:val="auto"/>
        </w:rPr>
        <w:t xml:space="preserve">Epstein, M.J. (2018) </w:t>
      </w:r>
      <w:r w:rsidRPr="00846161">
        <w:rPr>
          <w:rFonts w:ascii="Arial" w:hAnsi="Arial" w:cs="Arial"/>
          <w:i/>
          <w:iCs/>
          <w:color w:val="auto"/>
        </w:rPr>
        <w:t>Making Sustainability Work: Best Practices in Managing and Measuring Corporate Social, Environmental and Economic Impacts</w:t>
      </w:r>
      <w:r w:rsidRPr="00846161">
        <w:rPr>
          <w:rFonts w:ascii="Arial" w:hAnsi="Arial" w:cs="Arial"/>
          <w:color w:val="auto"/>
        </w:rPr>
        <w:t>. New York, United States: Routledge.</w:t>
      </w:r>
    </w:p>
    <w:p w14:paraId="58044210" w14:textId="77777777" w:rsidR="00846161" w:rsidRPr="00846161" w:rsidRDefault="00846161" w:rsidP="00846161">
      <w:pPr>
        <w:rPr>
          <w:rFonts w:ascii="Arial" w:hAnsi="Arial" w:cs="Arial"/>
          <w:color w:val="auto"/>
        </w:rPr>
      </w:pPr>
      <w:r w:rsidRPr="00846161">
        <w:rPr>
          <w:rFonts w:ascii="Arial" w:hAnsi="Arial" w:cs="Arial"/>
          <w:color w:val="auto"/>
        </w:rPr>
        <w:t xml:space="preserve">Ertz, M. and Leblanc-Proulx, S. (2018) 'Sustainability in the collaborative economy: A bibliometric analysis reveals emerging interest', </w:t>
      </w:r>
      <w:r w:rsidRPr="00846161">
        <w:rPr>
          <w:rFonts w:ascii="Arial" w:hAnsi="Arial" w:cs="Arial"/>
          <w:i/>
          <w:iCs/>
          <w:color w:val="auto"/>
        </w:rPr>
        <w:t>Journal of Cleaner Production</w:t>
      </w:r>
      <w:r w:rsidRPr="00846161">
        <w:rPr>
          <w:rFonts w:ascii="Arial" w:hAnsi="Arial" w:cs="Arial"/>
          <w:color w:val="auto"/>
        </w:rPr>
        <w:t xml:space="preserve">, 196, pp. 1073-1085. </w:t>
      </w:r>
      <w:r w:rsidRPr="00846161">
        <w:rPr>
          <w:rFonts w:ascii="Arial" w:hAnsi="Arial" w:cs="Arial"/>
          <w:color w:val="0070C0"/>
        </w:rPr>
        <w:t>doi: 10.1016/j.jclepro.2018.06.095</w:t>
      </w:r>
      <w:r w:rsidRPr="00846161">
        <w:rPr>
          <w:rFonts w:ascii="Arial" w:hAnsi="Arial" w:cs="Arial"/>
          <w:color w:val="auto"/>
        </w:rPr>
        <w:t>.</w:t>
      </w:r>
    </w:p>
    <w:p w14:paraId="36674258" w14:textId="77777777" w:rsidR="00846161" w:rsidRPr="00846161" w:rsidRDefault="00846161" w:rsidP="00846161">
      <w:pPr>
        <w:rPr>
          <w:rFonts w:ascii="Arial" w:hAnsi="Arial" w:cs="Arial"/>
          <w:color w:val="auto"/>
        </w:rPr>
      </w:pPr>
      <w:r w:rsidRPr="00846161">
        <w:rPr>
          <w:rFonts w:ascii="Arial" w:hAnsi="Arial" w:cs="Arial"/>
          <w:color w:val="auto"/>
        </w:rPr>
        <w:lastRenderedPageBreak/>
        <w:t xml:space="preserve">Farrington, T., Curran, R., Gori, K., O’Gorman, K.D., and Queenan, C.J. (2017) 'Corporate social responsibility: reviewed, rated, revised', </w:t>
      </w:r>
      <w:r w:rsidRPr="00846161">
        <w:rPr>
          <w:rFonts w:ascii="Arial" w:hAnsi="Arial" w:cs="Arial"/>
          <w:i/>
          <w:iCs/>
          <w:color w:val="auto"/>
        </w:rPr>
        <w:t>International Journal of Contemporary Hospitality Management</w:t>
      </w:r>
      <w:r w:rsidRPr="00846161">
        <w:rPr>
          <w:rFonts w:ascii="Arial" w:hAnsi="Arial" w:cs="Arial"/>
          <w:color w:val="auto"/>
        </w:rPr>
        <w:t xml:space="preserve">, 29(1), pp. 30-47. </w:t>
      </w:r>
      <w:r w:rsidRPr="00846161">
        <w:rPr>
          <w:rFonts w:ascii="Arial" w:hAnsi="Arial" w:cs="Arial"/>
          <w:color w:val="0070C0"/>
        </w:rPr>
        <w:t>doi: 10.1108/IJCHM-05-2015-0236.</w:t>
      </w:r>
    </w:p>
    <w:p w14:paraId="3268FE57" w14:textId="77777777" w:rsidR="00846161" w:rsidRPr="00846161" w:rsidRDefault="00846161" w:rsidP="00846161">
      <w:pPr>
        <w:rPr>
          <w:rFonts w:ascii="Arial" w:hAnsi="Arial" w:cs="Arial"/>
          <w:color w:val="auto"/>
        </w:rPr>
      </w:pPr>
      <w:r w:rsidRPr="00846161">
        <w:rPr>
          <w:rFonts w:ascii="Arial" w:hAnsi="Arial" w:cs="Arial"/>
          <w:color w:val="auto"/>
        </w:rPr>
        <w:t>For citing the webpage from Statista in Harvard style, you can format it as follows:</w:t>
      </w:r>
    </w:p>
    <w:p w14:paraId="00F21751" w14:textId="77777777" w:rsidR="00846161" w:rsidRPr="00846161" w:rsidRDefault="00846161" w:rsidP="00846161">
      <w:pPr>
        <w:rPr>
          <w:rFonts w:ascii="Arial" w:hAnsi="Arial" w:cs="Arial"/>
          <w:color w:val="0070C0"/>
        </w:rPr>
      </w:pPr>
      <w:r w:rsidRPr="00846161">
        <w:rPr>
          <w:rFonts w:ascii="Arial" w:hAnsi="Arial" w:cs="Arial"/>
        </w:rPr>
        <w:t xml:space="preserve">Frynas, J.G. and Yamahaki, C. (2016) 'Corporate social responsibility: review and roadmap of theoretical perspectives', </w:t>
      </w:r>
      <w:r w:rsidRPr="00846161">
        <w:rPr>
          <w:rFonts w:ascii="Arial" w:hAnsi="Arial" w:cs="Arial"/>
          <w:i/>
          <w:iCs/>
        </w:rPr>
        <w:t>Business Ethics: A European Review</w:t>
      </w:r>
      <w:r w:rsidRPr="00846161">
        <w:rPr>
          <w:rFonts w:ascii="Arial" w:hAnsi="Arial" w:cs="Arial"/>
        </w:rPr>
        <w:t xml:space="preserve">, 25(3), pp. 258-285. </w:t>
      </w:r>
      <w:r w:rsidRPr="00846161">
        <w:rPr>
          <w:rFonts w:ascii="Arial" w:hAnsi="Arial" w:cs="Arial"/>
          <w:color w:val="0070C0"/>
        </w:rPr>
        <w:t>doi: 10.1111/beer.12115.</w:t>
      </w:r>
    </w:p>
    <w:p w14:paraId="62752B62" w14:textId="77777777" w:rsidR="00846161" w:rsidRPr="00846161" w:rsidRDefault="00846161" w:rsidP="00846161">
      <w:pPr>
        <w:rPr>
          <w:rFonts w:ascii="Arial" w:hAnsi="Arial" w:cs="Arial"/>
          <w:color w:val="0070C0"/>
        </w:rPr>
      </w:pPr>
      <w:r w:rsidRPr="00846161">
        <w:rPr>
          <w:rFonts w:ascii="Arial" w:hAnsi="Arial" w:cs="Arial"/>
        </w:rPr>
        <w:t xml:space="preserve">Guzzo, R.F., Abbott, J., and Madera, J.M. (2020) 'A micro-level view of CSR: A hospitality management systematic literature review', </w:t>
      </w:r>
      <w:r w:rsidRPr="00846161">
        <w:rPr>
          <w:rFonts w:ascii="Arial" w:hAnsi="Arial" w:cs="Arial"/>
          <w:i/>
          <w:iCs/>
        </w:rPr>
        <w:t>Cornell Hospitality Quarterly</w:t>
      </w:r>
      <w:r w:rsidRPr="00846161">
        <w:rPr>
          <w:rFonts w:ascii="Arial" w:hAnsi="Arial" w:cs="Arial"/>
        </w:rPr>
        <w:t xml:space="preserve">, 61(3), pp. 332-352. </w:t>
      </w:r>
      <w:r w:rsidRPr="00846161">
        <w:rPr>
          <w:rFonts w:ascii="Arial" w:hAnsi="Arial" w:cs="Arial"/>
          <w:color w:val="0070C0"/>
        </w:rPr>
        <w:t>doi: 10.1177/19389655198929.</w:t>
      </w:r>
    </w:p>
    <w:p w14:paraId="440E27D8" w14:textId="77777777" w:rsidR="00846161" w:rsidRPr="00846161" w:rsidRDefault="00846161" w:rsidP="00846161">
      <w:pPr>
        <w:rPr>
          <w:rFonts w:ascii="Arial" w:hAnsi="Arial" w:cs="Arial"/>
        </w:rPr>
      </w:pPr>
      <w:r w:rsidRPr="00846161">
        <w:rPr>
          <w:rFonts w:ascii="Arial" w:hAnsi="Arial" w:cs="Arial"/>
        </w:rPr>
        <w:t xml:space="preserve">Haski-Leventhal, D. (2018) </w:t>
      </w:r>
      <w:r w:rsidRPr="00846161">
        <w:rPr>
          <w:rFonts w:ascii="Arial" w:hAnsi="Arial" w:cs="Arial"/>
          <w:i/>
          <w:iCs/>
        </w:rPr>
        <w:t>Strategic corporate social responsibility: tools &amp; theories for responsible management</w:t>
      </w:r>
      <w:r w:rsidRPr="00846161">
        <w:rPr>
          <w:rFonts w:ascii="Arial" w:hAnsi="Arial" w:cs="Arial"/>
        </w:rPr>
        <w:t>. London, United Kingdom: SAGE.</w:t>
      </w:r>
    </w:p>
    <w:p w14:paraId="6E1B5538" w14:textId="77777777" w:rsidR="00846161" w:rsidRPr="00846161" w:rsidRDefault="00846161" w:rsidP="00846161">
      <w:pPr>
        <w:rPr>
          <w:rFonts w:ascii="Arial" w:hAnsi="Arial" w:cs="Arial"/>
        </w:rPr>
      </w:pPr>
      <w:r w:rsidRPr="00846161">
        <w:rPr>
          <w:rFonts w:ascii="Arial" w:hAnsi="Arial" w:cs="Arial"/>
        </w:rPr>
        <w:t xml:space="preserve">Inkson, C. and Minnaert, L. (2018) </w:t>
      </w:r>
      <w:r w:rsidRPr="00846161">
        <w:rPr>
          <w:rFonts w:ascii="Arial" w:hAnsi="Arial" w:cs="Arial"/>
          <w:i/>
          <w:iCs/>
        </w:rPr>
        <w:t>Tourism management: an introduction</w:t>
      </w:r>
      <w:r w:rsidRPr="00846161">
        <w:rPr>
          <w:rFonts w:ascii="Arial" w:hAnsi="Arial" w:cs="Arial"/>
        </w:rPr>
        <w:t>. 2nd edn. London, United Kingdom: SAGE.</w:t>
      </w:r>
    </w:p>
    <w:p w14:paraId="29A137B0" w14:textId="77777777" w:rsidR="00846161" w:rsidRPr="00846161" w:rsidRDefault="00846161" w:rsidP="00846161">
      <w:pPr>
        <w:rPr>
          <w:rFonts w:ascii="Arial" w:hAnsi="Arial" w:cs="Arial"/>
          <w:color w:val="auto"/>
        </w:rPr>
      </w:pPr>
      <w:r w:rsidRPr="00846161">
        <w:rPr>
          <w:rFonts w:ascii="Arial" w:hAnsi="Arial" w:cs="Arial"/>
          <w:color w:val="auto"/>
        </w:rPr>
        <w:t xml:space="preserve">Iqbal, T. (2021) </w:t>
      </w:r>
      <w:r w:rsidRPr="00846161">
        <w:rPr>
          <w:rFonts w:ascii="Arial" w:hAnsi="Arial" w:cs="Arial"/>
          <w:i/>
          <w:iCs/>
          <w:color w:val="auto"/>
        </w:rPr>
        <w:t>The Enlightened Shareholder Value Principle and Corporate Social Responsibility: A Theoretical and Qualitative Analysis</w:t>
      </w:r>
      <w:r w:rsidRPr="00846161">
        <w:rPr>
          <w:rFonts w:ascii="Arial" w:hAnsi="Arial" w:cs="Arial"/>
          <w:color w:val="auto"/>
        </w:rPr>
        <w:t xml:space="preserve">. London, United Kingdom: Routledge. </w:t>
      </w:r>
    </w:p>
    <w:p w14:paraId="28E2159C" w14:textId="77777777" w:rsidR="00846161" w:rsidRPr="00846161" w:rsidRDefault="00846161" w:rsidP="00846161">
      <w:pPr>
        <w:rPr>
          <w:rFonts w:ascii="Arial" w:hAnsi="Arial" w:cs="Arial"/>
          <w:color w:val="0070C0"/>
        </w:rPr>
      </w:pPr>
      <w:r w:rsidRPr="00846161">
        <w:rPr>
          <w:rFonts w:ascii="Arial" w:hAnsi="Arial" w:cs="Arial"/>
          <w:color w:val="auto"/>
        </w:rPr>
        <w:t xml:space="preserve">Iyer, G.R. and Jarvis, L. (2019) 'CSR adoption in the multinational hospitality context: A review of representative research and avenues for future research', </w:t>
      </w:r>
      <w:r w:rsidRPr="00846161">
        <w:rPr>
          <w:rFonts w:ascii="Arial" w:hAnsi="Arial" w:cs="Arial"/>
          <w:i/>
          <w:iCs/>
          <w:color w:val="auto"/>
        </w:rPr>
        <w:t>International Journal of Contemporary Hospitality Management</w:t>
      </w:r>
      <w:r w:rsidRPr="00846161">
        <w:rPr>
          <w:rFonts w:ascii="Arial" w:hAnsi="Arial" w:cs="Arial"/>
          <w:color w:val="auto"/>
        </w:rPr>
        <w:t xml:space="preserve">, 31(6), pp. 2376-2393. </w:t>
      </w:r>
      <w:r w:rsidRPr="00846161">
        <w:rPr>
          <w:rFonts w:ascii="Arial" w:hAnsi="Arial" w:cs="Arial"/>
          <w:color w:val="0070C0"/>
        </w:rPr>
        <w:t>doi: 10.1108/IJCHM-06-2018-0451.</w:t>
      </w:r>
    </w:p>
    <w:p w14:paraId="0463BDC5" w14:textId="77777777" w:rsidR="00846161" w:rsidRPr="00846161" w:rsidRDefault="00846161" w:rsidP="00846161">
      <w:pPr>
        <w:rPr>
          <w:rFonts w:ascii="Arial" w:hAnsi="Arial" w:cs="Arial"/>
        </w:rPr>
      </w:pPr>
      <w:r w:rsidRPr="00846161">
        <w:rPr>
          <w:rFonts w:ascii="Arial" w:hAnsi="Arial" w:cs="Arial"/>
        </w:rPr>
        <w:t xml:space="preserve">Jauhari, V. (2021) </w:t>
      </w:r>
      <w:r w:rsidRPr="00846161">
        <w:rPr>
          <w:rFonts w:ascii="Arial" w:hAnsi="Arial" w:cs="Arial"/>
          <w:i/>
          <w:iCs/>
        </w:rPr>
        <w:t>Managing sustainability in the hospitality and tourism industry: paradigms and directions for the future</w:t>
      </w:r>
      <w:r w:rsidRPr="00846161">
        <w:rPr>
          <w:rFonts w:ascii="Arial" w:hAnsi="Arial" w:cs="Arial"/>
        </w:rPr>
        <w:t>. 9th edn. Oakville, Canada: Apple Academic Press, Inc.</w:t>
      </w:r>
    </w:p>
    <w:p w14:paraId="0173D59C" w14:textId="77777777" w:rsidR="00846161" w:rsidRPr="00846161" w:rsidRDefault="00846161" w:rsidP="00846161">
      <w:pPr>
        <w:rPr>
          <w:rFonts w:ascii="Arial" w:hAnsi="Arial" w:cs="Arial"/>
          <w:color w:val="auto"/>
        </w:rPr>
      </w:pPr>
      <w:r w:rsidRPr="00846161">
        <w:rPr>
          <w:rFonts w:ascii="Arial" w:hAnsi="Arial" w:cs="Arial"/>
          <w:color w:val="auto"/>
        </w:rPr>
        <w:t xml:space="preserve">Jones., Hillier, D. and Comfort, D. (2016) 'Sustainability in the hospitality industry: Some personal reflections on corporate challenges and research agendas', </w:t>
      </w:r>
      <w:r w:rsidRPr="00846161">
        <w:rPr>
          <w:rFonts w:ascii="Arial" w:hAnsi="Arial" w:cs="Arial"/>
          <w:i/>
          <w:iCs/>
          <w:color w:val="auto"/>
        </w:rPr>
        <w:t>International Journal of Contemporary Hospitality Management</w:t>
      </w:r>
      <w:r w:rsidRPr="00846161">
        <w:rPr>
          <w:rFonts w:ascii="Arial" w:hAnsi="Arial" w:cs="Arial"/>
          <w:color w:val="auto"/>
        </w:rPr>
        <w:t xml:space="preserve">, 28(1), pp. 36-67. </w:t>
      </w:r>
      <w:r w:rsidRPr="00846161">
        <w:rPr>
          <w:rFonts w:ascii="Arial" w:hAnsi="Arial" w:cs="Arial"/>
          <w:color w:val="0070C0"/>
        </w:rPr>
        <w:t>doi: 10.1108/IJCHM-11-2014-0572</w:t>
      </w:r>
      <w:r w:rsidRPr="00846161">
        <w:rPr>
          <w:rFonts w:ascii="Arial" w:hAnsi="Arial" w:cs="Arial"/>
          <w:color w:val="auto"/>
        </w:rPr>
        <w:t>.</w:t>
      </w:r>
    </w:p>
    <w:p w14:paraId="53D66723" w14:textId="77777777" w:rsidR="00846161" w:rsidRPr="00846161" w:rsidRDefault="00846161" w:rsidP="00846161">
      <w:pPr>
        <w:rPr>
          <w:rFonts w:ascii="Arial" w:hAnsi="Arial" w:cs="Arial"/>
          <w:color w:val="auto"/>
        </w:rPr>
      </w:pPr>
      <w:r w:rsidRPr="00846161">
        <w:rPr>
          <w:rFonts w:ascii="Arial" w:hAnsi="Arial" w:cs="Arial"/>
          <w:color w:val="auto"/>
        </w:rPr>
        <w:lastRenderedPageBreak/>
        <w:t xml:space="preserve">Kacmar, D. (2023) </w:t>
      </w:r>
      <w:r w:rsidRPr="00846161">
        <w:rPr>
          <w:rFonts w:ascii="Arial" w:hAnsi="Arial" w:cs="Arial"/>
          <w:i/>
          <w:iCs/>
          <w:color w:val="auto"/>
        </w:rPr>
        <w:t>Big Little Hotel: Small Hotels Designed by Architects</w:t>
      </w:r>
      <w:r w:rsidRPr="00846161">
        <w:rPr>
          <w:rFonts w:ascii="Arial" w:hAnsi="Arial" w:cs="Arial"/>
          <w:color w:val="auto"/>
        </w:rPr>
        <w:t>. London, United Kingdom: Taylor &amp; Francis.</w:t>
      </w:r>
    </w:p>
    <w:p w14:paraId="633F7CA9" w14:textId="77777777" w:rsidR="00846161" w:rsidRPr="00846161" w:rsidRDefault="00846161" w:rsidP="00846161">
      <w:pPr>
        <w:rPr>
          <w:rFonts w:ascii="Arial" w:hAnsi="Arial" w:cs="Arial"/>
          <w:color w:val="0070C0"/>
        </w:rPr>
      </w:pPr>
      <w:r w:rsidRPr="00846161">
        <w:rPr>
          <w:rFonts w:ascii="Arial" w:hAnsi="Arial" w:cs="Arial"/>
          <w:color w:val="auto"/>
        </w:rPr>
        <w:t xml:space="preserve">Kim, S.H., Lee, K. and Fairhurst, A. (2017) 'The review of “green” research in hospitality, 2000-2014: Current trends and future research directions', </w:t>
      </w:r>
      <w:r w:rsidRPr="00846161">
        <w:rPr>
          <w:rFonts w:ascii="Arial" w:hAnsi="Arial" w:cs="Arial"/>
          <w:i/>
          <w:iCs/>
          <w:color w:val="auto"/>
        </w:rPr>
        <w:t>International Journal of Contemporary Hospitality Management</w:t>
      </w:r>
      <w:r w:rsidRPr="00846161">
        <w:rPr>
          <w:rFonts w:ascii="Arial" w:hAnsi="Arial" w:cs="Arial"/>
          <w:color w:val="auto"/>
        </w:rPr>
        <w:t xml:space="preserve">, 29(1), pp. 226-247. </w:t>
      </w:r>
      <w:r w:rsidRPr="00846161">
        <w:rPr>
          <w:rFonts w:ascii="Arial" w:hAnsi="Arial" w:cs="Arial"/>
          <w:color w:val="0070C0"/>
        </w:rPr>
        <w:t>doi: 10.1108/IJCHM-11-2014-0562.</w:t>
      </w:r>
    </w:p>
    <w:p w14:paraId="159E479F" w14:textId="77777777" w:rsidR="00846161" w:rsidRPr="00846161" w:rsidRDefault="00846161" w:rsidP="00846161">
      <w:pPr>
        <w:rPr>
          <w:rFonts w:ascii="Arial" w:hAnsi="Arial" w:cs="Arial"/>
        </w:rPr>
      </w:pPr>
      <w:r w:rsidRPr="00846161">
        <w:rPr>
          <w:rFonts w:ascii="Arial" w:hAnsi="Arial" w:cs="Arial"/>
        </w:rPr>
        <w:t xml:space="preserve">Korstanje, G.B. and Nedelea, A. (2020) </w:t>
      </w:r>
      <w:r w:rsidRPr="00846161">
        <w:rPr>
          <w:rFonts w:ascii="Arial" w:hAnsi="Arial" w:cs="Arial"/>
          <w:i/>
          <w:iCs/>
        </w:rPr>
        <w:t>Strategies for promoting sustainable hospitality and tourism services</w:t>
      </w:r>
      <w:r w:rsidRPr="00846161">
        <w:rPr>
          <w:rFonts w:ascii="Arial" w:hAnsi="Arial" w:cs="Arial"/>
        </w:rPr>
        <w:t>. Hershey, PA, United States: IGI Global.</w:t>
      </w:r>
    </w:p>
    <w:p w14:paraId="742E6BA3" w14:textId="77777777" w:rsidR="00846161" w:rsidRPr="00846161" w:rsidRDefault="00846161" w:rsidP="00846161">
      <w:pPr>
        <w:rPr>
          <w:rFonts w:ascii="Arial" w:hAnsi="Arial" w:cs="Arial"/>
          <w:color w:val="auto"/>
        </w:rPr>
      </w:pPr>
      <w:r w:rsidRPr="00846161">
        <w:rPr>
          <w:rFonts w:ascii="Arial" w:hAnsi="Arial" w:cs="Arial"/>
          <w:color w:val="auto"/>
        </w:rPr>
        <w:t xml:space="preserve">Kumar, P. and Chansoria, M. (2021) 'Assessment of hospitality education in terms of lacking skill development in meeting the demand of industry: An integrative review', </w:t>
      </w:r>
      <w:r w:rsidRPr="00846161">
        <w:rPr>
          <w:rFonts w:ascii="Arial" w:hAnsi="Arial" w:cs="Arial"/>
          <w:i/>
          <w:iCs/>
          <w:color w:val="auto"/>
        </w:rPr>
        <w:t>Revista de Turism: Studii si Cercetari in Turism</w:t>
      </w:r>
      <w:r w:rsidRPr="00846161">
        <w:rPr>
          <w:rFonts w:ascii="Arial" w:hAnsi="Arial" w:cs="Arial"/>
          <w:color w:val="auto"/>
        </w:rPr>
        <w:t xml:space="preserve">, (31). Available at: </w:t>
      </w:r>
      <w:r w:rsidRPr="00846161">
        <w:rPr>
          <w:rFonts w:ascii="Arial" w:hAnsi="Arial" w:cs="Arial"/>
          <w:color w:val="0070C0"/>
        </w:rPr>
        <w:t xml:space="preserve">http://www.revistadeturism.ro/rdt/article/view/493 </w:t>
      </w:r>
      <w:r w:rsidRPr="00846161">
        <w:rPr>
          <w:rFonts w:ascii="Arial" w:hAnsi="Arial" w:cs="Arial"/>
          <w:color w:val="auto"/>
        </w:rPr>
        <w:t>(Accessed: 15 October 2024).</w:t>
      </w:r>
    </w:p>
    <w:p w14:paraId="33E433FE" w14:textId="77777777" w:rsidR="00846161" w:rsidRPr="00846161" w:rsidRDefault="00846161" w:rsidP="00846161">
      <w:pPr>
        <w:rPr>
          <w:rFonts w:ascii="Arial" w:hAnsi="Arial" w:cs="Arial"/>
          <w:color w:val="auto"/>
        </w:rPr>
      </w:pPr>
      <w:r w:rsidRPr="00846161">
        <w:rPr>
          <w:rFonts w:ascii="Arial" w:hAnsi="Arial" w:cs="Arial"/>
          <w:color w:val="auto"/>
        </w:rPr>
        <w:t xml:space="preserve">Leong, J.Y.C., Oh, K.S., Poh, P.E. and Chong, M.N. (2017) 'Prospects of hybrid rainwater-greywater decentralised system for water recycling and reuse: A review', </w:t>
      </w:r>
      <w:r w:rsidRPr="00846161">
        <w:rPr>
          <w:rFonts w:ascii="Arial" w:hAnsi="Arial" w:cs="Arial"/>
          <w:i/>
          <w:iCs/>
          <w:color w:val="auto"/>
        </w:rPr>
        <w:t>Journal of Cleaner Production,</w:t>
      </w:r>
      <w:r w:rsidRPr="00846161">
        <w:rPr>
          <w:rFonts w:ascii="Arial" w:hAnsi="Arial" w:cs="Arial"/>
          <w:color w:val="auto"/>
        </w:rPr>
        <w:t xml:space="preserve"> 142, pp. 3014-3027. </w:t>
      </w:r>
      <w:r w:rsidRPr="00846161">
        <w:rPr>
          <w:rFonts w:ascii="Arial" w:hAnsi="Arial" w:cs="Arial"/>
          <w:color w:val="0070C0"/>
        </w:rPr>
        <w:t>doi: 10.1016/j.jclepro.2016.10.167.</w:t>
      </w:r>
    </w:p>
    <w:p w14:paraId="54AB60C7" w14:textId="77777777" w:rsidR="00846161" w:rsidRPr="00846161" w:rsidRDefault="00846161" w:rsidP="00846161">
      <w:pPr>
        <w:rPr>
          <w:rFonts w:ascii="Arial" w:hAnsi="Arial" w:cs="Arial"/>
          <w:color w:val="auto"/>
        </w:rPr>
      </w:pPr>
      <w:r w:rsidRPr="00846161">
        <w:rPr>
          <w:rFonts w:ascii="Arial" w:hAnsi="Arial" w:cs="Arial"/>
          <w:color w:val="auto"/>
        </w:rPr>
        <w:t xml:space="preserve">Lyu, C., Wang, M., Zhang, R. and Ng, Y.N. (2021, November) 'Corporate social responsibility and financial performance in </w:t>
      </w:r>
      <w:r w:rsidRPr="00846161">
        <w:rPr>
          <w:rFonts w:ascii="Arial" w:hAnsi="Arial" w:cs="Arial"/>
          <w:color w:val="auto"/>
        </w:rPr>
        <w:t xml:space="preserve">the </w:t>
      </w:r>
      <w:r w:rsidRPr="00846161">
        <w:rPr>
          <w:rFonts w:ascii="Arial" w:hAnsi="Arial" w:cs="Arial"/>
          <w:color w:val="auto"/>
        </w:rPr>
        <w:t xml:space="preserve">hospitality industry: a critical review', in </w:t>
      </w:r>
      <w:r w:rsidRPr="00846161">
        <w:rPr>
          <w:rFonts w:ascii="Arial" w:hAnsi="Arial" w:cs="Arial"/>
          <w:i/>
          <w:iCs/>
          <w:color w:val="auto"/>
        </w:rPr>
        <w:t xml:space="preserve">7th International Conference on Social Science and Higher Education (ICSSHE 2021), </w:t>
      </w:r>
      <w:r w:rsidRPr="00846161">
        <w:rPr>
          <w:rFonts w:ascii="Arial" w:hAnsi="Arial" w:cs="Arial"/>
          <w:color w:val="auto"/>
        </w:rPr>
        <w:t xml:space="preserve">pp. 135-139. Atlantis Press. </w:t>
      </w:r>
      <w:r w:rsidRPr="00846161">
        <w:rPr>
          <w:rFonts w:ascii="Arial" w:hAnsi="Arial" w:cs="Arial"/>
          <w:color w:val="0070C0"/>
        </w:rPr>
        <w:t>doi: 10.2991/assehr.k.211122.072.</w:t>
      </w:r>
    </w:p>
    <w:p w14:paraId="4DAC9366" w14:textId="77777777" w:rsidR="00846161" w:rsidRPr="00846161" w:rsidRDefault="00846161" w:rsidP="00846161">
      <w:pPr>
        <w:rPr>
          <w:rFonts w:ascii="Arial" w:hAnsi="Arial" w:cs="Arial"/>
        </w:rPr>
      </w:pPr>
      <w:r w:rsidRPr="00846161">
        <w:rPr>
          <w:rFonts w:ascii="Arial" w:hAnsi="Arial" w:cs="Arial"/>
        </w:rPr>
        <w:t xml:space="preserve">Management Association (2018) </w:t>
      </w:r>
      <w:r w:rsidRPr="00846161">
        <w:rPr>
          <w:rFonts w:ascii="Arial" w:hAnsi="Arial" w:cs="Arial"/>
          <w:i/>
          <w:iCs/>
        </w:rPr>
        <w:t>Sustainable tourism</w:t>
      </w:r>
      <w:r w:rsidRPr="00846161">
        <w:rPr>
          <w:rFonts w:ascii="Arial" w:hAnsi="Arial" w:cs="Arial"/>
        </w:rPr>
        <w:t>. Hershey, PA, United States: IGI Global.</w:t>
      </w:r>
    </w:p>
    <w:p w14:paraId="709F997A" w14:textId="77777777" w:rsidR="00846161" w:rsidRPr="00846161" w:rsidRDefault="00846161" w:rsidP="00846161">
      <w:pPr>
        <w:rPr>
          <w:rFonts w:ascii="Arial" w:hAnsi="Arial" w:cs="Arial"/>
          <w:color w:val="0070C0"/>
        </w:rPr>
      </w:pPr>
      <w:r w:rsidRPr="00846161">
        <w:rPr>
          <w:rFonts w:ascii="Arial" w:hAnsi="Arial" w:cs="Arial"/>
          <w:color w:val="auto"/>
        </w:rPr>
        <w:t xml:space="preserve">Molina-Collado, A., Santos-Vijande, M.L., Gómez-Rico, M. and Madera, J.M. (2022) 'Sustainability in hospitality and tourism: a review of key research topics from 1994 to 2020', </w:t>
      </w:r>
      <w:r w:rsidRPr="00846161">
        <w:rPr>
          <w:rFonts w:ascii="Arial" w:hAnsi="Arial" w:cs="Arial"/>
          <w:i/>
          <w:iCs/>
          <w:color w:val="auto"/>
        </w:rPr>
        <w:t>International Journal of Contemporary Hospitality Management</w:t>
      </w:r>
      <w:r w:rsidRPr="00846161">
        <w:rPr>
          <w:rFonts w:ascii="Arial" w:hAnsi="Arial" w:cs="Arial"/>
          <w:color w:val="auto"/>
        </w:rPr>
        <w:t xml:space="preserve">, 34(8), pp. 3029-3064. </w:t>
      </w:r>
      <w:r w:rsidRPr="00846161">
        <w:rPr>
          <w:rFonts w:ascii="Arial" w:hAnsi="Arial" w:cs="Arial"/>
          <w:color w:val="0070C0"/>
        </w:rPr>
        <w:t>doi: 10.1108/IJCHM-10-2021-1305.</w:t>
      </w:r>
    </w:p>
    <w:p w14:paraId="35CFCCF7" w14:textId="77777777" w:rsidR="00846161" w:rsidRPr="00846161" w:rsidRDefault="00846161" w:rsidP="00846161">
      <w:pPr>
        <w:rPr>
          <w:rFonts w:ascii="Arial" w:hAnsi="Arial" w:cs="Arial"/>
          <w:color w:val="0070C0"/>
        </w:rPr>
      </w:pPr>
      <w:r w:rsidRPr="00846161">
        <w:rPr>
          <w:rFonts w:ascii="Arial" w:hAnsi="Arial" w:cs="Arial"/>
          <w:color w:val="auto"/>
        </w:rPr>
        <w:t xml:space="preserve">Moyeen, A. and Mehjabeen, M. (2024) 'CSR research in the hotel industry: how it relates to promoting the SDGs', </w:t>
      </w:r>
      <w:r w:rsidRPr="00846161">
        <w:rPr>
          <w:rFonts w:ascii="Arial" w:hAnsi="Arial" w:cs="Arial"/>
          <w:i/>
          <w:iCs/>
          <w:color w:val="auto"/>
        </w:rPr>
        <w:t>Social Responsibility Journal</w:t>
      </w:r>
      <w:r w:rsidRPr="00846161">
        <w:rPr>
          <w:rFonts w:ascii="Arial" w:hAnsi="Arial" w:cs="Arial"/>
          <w:color w:val="auto"/>
        </w:rPr>
        <w:t xml:space="preserve">, 20(9), pp. 1770-1786. </w:t>
      </w:r>
      <w:r w:rsidRPr="00846161">
        <w:rPr>
          <w:rFonts w:ascii="Arial" w:hAnsi="Arial" w:cs="Arial"/>
          <w:color w:val="0070C0"/>
        </w:rPr>
        <w:t>doi: 10.1108/SRJ-01-2024-0032.</w:t>
      </w:r>
    </w:p>
    <w:p w14:paraId="7FF6EC14" w14:textId="77777777" w:rsidR="00846161" w:rsidRPr="00846161" w:rsidRDefault="00846161" w:rsidP="00846161">
      <w:pPr>
        <w:rPr>
          <w:rFonts w:ascii="Arial" w:hAnsi="Arial" w:cs="Arial"/>
          <w:color w:val="0070C0"/>
        </w:rPr>
      </w:pPr>
      <w:r w:rsidRPr="00846161">
        <w:rPr>
          <w:rFonts w:ascii="Arial" w:hAnsi="Arial" w:cs="Arial"/>
          <w:color w:val="auto"/>
        </w:rPr>
        <w:lastRenderedPageBreak/>
        <w:t xml:space="preserve">Nguyen, D.N. (2023) 'CSR theory and practice in Vietnam hospitality and tourism sector: A literature review', </w:t>
      </w:r>
      <w:r w:rsidRPr="00846161">
        <w:rPr>
          <w:rFonts w:ascii="Arial" w:hAnsi="Arial" w:cs="Arial"/>
          <w:i/>
          <w:iCs/>
          <w:color w:val="auto"/>
        </w:rPr>
        <w:t>Journal of Organizational Behavior Research</w:t>
      </w:r>
      <w:r w:rsidRPr="00846161">
        <w:rPr>
          <w:rFonts w:ascii="Arial" w:hAnsi="Arial" w:cs="Arial"/>
          <w:color w:val="auto"/>
        </w:rPr>
        <w:t>, 8(1), pp. 197-213</w:t>
      </w:r>
      <w:r w:rsidRPr="00846161">
        <w:rPr>
          <w:rFonts w:ascii="Arial" w:hAnsi="Arial" w:cs="Arial"/>
          <w:color w:val="0070C0"/>
        </w:rPr>
        <w:t>. doi: 10.51847/6xeoexvF6T.</w:t>
      </w:r>
    </w:p>
    <w:p w14:paraId="3ECBBEFD" w14:textId="77777777" w:rsidR="00846161" w:rsidRPr="00846161" w:rsidRDefault="00846161" w:rsidP="00846161">
      <w:pPr>
        <w:rPr>
          <w:rFonts w:ascii="Arial" w:hAnsi="Arial" w:cs="Arial"/>
          <w:color w:val="0070C0"/>
        </w:rPr>
      </w:pPr>
      <w:r w:rsidRPr="00846161">
        <w:rPr>
          <w:rFonts w:ascii="Arial" w:hAnsi="Arial" w:cs="Arial"/>
          <w:color w:val="auto"/>
        </w:rPr>
        <w:t xml:space="preserve">Nwosu, B. (2016) 'A review of the hotel industry in Nigeria: size, structure and issues', </w:t>
      </w:r>
      <w:r w:rsidRPr="00846161">
        <w:rPr>
          <w:rFonts w:ascii="Arial" w:hAnsi="Arial" w:cs="Arial"/>
          <w:i/>
          <w:iCs/>
          <w:color w:val="auto"/>
        </w:rPr>
        <w:t>Worldwide Hospitality and Tourism Themes</w:t>
      </w:r>
      <w:r w:rsidRPr="00846161">
        <w:rPr>
          <w:rFonts w:ascii="Arial" w:hAnsi="Arial" w:cs="Arial"/>
          <w:color w:val="auto"/>
        </w:rPr>
        <w:t xml:space="preserve">, 8(2), pp. 117-133. </w:t>
      </w:r>
      <w:r w:rsidRPr="00846161">
        <w:rPr>
          <w:rFonts w:ascii="Arial" w:hAnsi="Arial" w:cs="Arial"/>
          <w:color w:val="0070C0"/>
        </w:rPr>
        <w:t>doi: 10.1108/WHATT-10-2015-0042.</w:t>
      </w:r>
    </w:p>
    <w:p w14:paraId="296AD657" w14:textId="77777777" w:rsidR="00846161" w:rsidRPr="00846161" w:rsidRDefault="00846161" w:rsidP="00846161">
      <w:pPr>
        <w:rPr>
          <w:rFonts w:ascii="Arial" w:hAnsi="Arial" w:cs="Arial"/>
          <w:color w:val="auto"/>
        </w:rPr>
      </w:pPr>
      <w:r w:rsidRPr="00846161">
        <w:rPr>
          <w:rFonts w:ascii="Arial" w:hAnsi="Arial" w:cs="Arial"/>
          <w:color w:val="auto"/>
        </w:rPr>
        <w:t xml:space="preserve">Savoy, C.M. and Rice, C.F. (eds.) (2018) </w:t>
      </w:r>
      <w:r w:rsidRPr="00846161">
        <w:rPr>
          <w:rFonts w:ascii="Arial" w:hAnsi="Arial" w:cs="Arial"/>
          <w:i/>
          <w:iCs/>
          <w:color w:val="auto"/>
        </w:rPr>
        <w:t>Global Development Monitor 2017</w:t>
      </w:r>
      <w:r w:rsidRPr="00846161">
        <w:rPr>
          <w:rFonts w:ascii="Arial" w:hAnsi="Arial" w:cs="Arial"/>
          <w:color w:val="auto"/>
        </w:rPr>
        <w:t xml:space="preserve">. Lanham, MD, United States: Rowman &amp; Littlefield. </w:t>
      </w:r>
    </w:p>
    <w:p w14:paraId="02AD86B3" w14:textId="77777777" w:rsidR="00846161" w:rsidRPr="00846161" w:rsidRDefault="00846161" w:rsidP="00846161">
      <w:pPr>
        <w:jc w:val="left"/>
        <w:rPr>
          <w:rFonts w:ascii="Arial" w:hAnsi="Arial" w:cs="Arial"/>
          <w:color w:val="auto"/>
        </w:rPr>
      </w:pPr>
      <w:r w:rsidRPr="00846161">
        <w:rPr>
          <w:rFonts w:ascii="Arial" w:hAnsi="Arial" w:cs="Arial"/>
          <w:color w:val="auto"/>
        </w:rPr>
        <w:t xml:space="preserve">Schmid, S. (2017) 'English inns and hotels in nineteenth-century fiction', in </w:t>
      </w:r>
      <w:r w:rsidRPr="00846161">
        <w:rPr>
          <w:rFonts w:ascii="Arial" w:hAnsi="Arial" w:cs="Arial"/>
          <w:i/>
          <w:iCs/>
          <w:color w:val="auto"/>
        </w:rPr>
        <w:t>Anglo-American Travelers and the Hotel Experience in Nineteenth-Century Literature</w:t>
      </w:r>
      <w:r w:rsidRPr="00846161">
        <w:rPr>
          <w:rFonts w:ascii="Arial" w:hAnsi="Arial" w:cs="Arial"/>
          <w:color w:val="auto"/>
        </w:rPr>
        <w:t xml:space="preserve">, pp. 38-57. London, United Kingdom: Routledge. Available at: </w:t>
      </w:r>
      <w:r w:rsidRPr="00846161">
        <w:rPr>
          <w:rFonts w:ascii="Arial" w:hAnsi="Arial" w:cs="Arial"/>
          <w:color w:val="0070C0"/>
        </w:rPr>
        <w:t xml:space="preserve">https://www.taylorfrancis.com/chapters/edit/10.4324/9781315560366-3/english-inns-hotels-nineteenth-century-fiction-susanne-schmid </w:t>
      </w:r>
      <w:r w:rsidRPr="00846161">
        <w:rPr>
          <w:rFonts w:ascii="Arial" w:hAnsi="Arial" w:cs="Arial"/>
          <w:color w:val="auto"/>
        </w:rPr>
        <w:t>(Accessed: 15 October 2024).</w:t>
      </w:r>
    </w:p>
    <w:p w14:paraId="56153241" w14:textId="77777777" w:rsidR="00846161" w:rsidRPr="00846161" w:rsidRDefault="00846161" w:rsidP="00846161">
      <w:pPr>
        <w:rPr>
          <w:rFonts w:ascii="Arial" w:hAnsi="Arial" w:cs="Arial"/>
        </w:rPr>
      </w:pPr>
      <w:r w:rsidRPr="00846161">
        <w:rPr>
          <w:rFonts w:ascii="Arial" w:hAnsi="Arial" w:cs="Arial"/>
        </w:rPr>
        <w:t xml:space="preserve">Sezerel, H. and Christiansen, B. (eds.) (2022) </w:t>
      </w:r>
      <w:r w:rsidRPr="00846161">
        <w:rPr>
          <w:rFonts w:ascii="Arial" w:hAnsi="Arial" w:cs="Arial"/>
          <w:i/>
          <w:iCs/>
        </w:rPr>
        <w:t>Handbook of research on sustainable tourism and hotel operations in global hypercompetition</w:t>
      </w:r>
      <w:r w:rsidRPr="00846161">
        <w:rPr>
          <w:rFonts w:ascii="Arial" w:hAnsi="Arial" w:cs="Arial"/>
        </w:rPr>
        <w:t>. Hershey, PA, United States: IGI Global.</w:t>
      </w:r>
    </w:p>
    <w:p w14:paraId="0635CE6C" w14:textId="77777777" w:rsidR="00846161" w:rsidRPr="00846161" w:rsidRDefault="00846161" w:rsidP="00846161">
      <w:pPr>
        <w:rPr>
          <w:rFonts w:ascii="Arial" w:hAnsi="Arial" w:cs="Arial"/>
        </w:rPr>
      </w:pPr>
      <w:r w:rsidRPr="00846161">
        <w:rPr>
          <w:rFonts w:ascii="Arial" w:hAnsi="Arial" w:cs="Arial"/>
        </w:rPr>
        <w:t xml:space="preserve">Sharma, T., Chen, J. and Liu, W.Y. (2020) 'Eco-innovation in hospitality research (1998-2018): a systematic review', </w:t>
      </w:r>
      <w:r w:rsidRPr="00846161">
        <w:rPr>
          <w:rFonts w:ascii="Arial" w:hAnsi="Arial" w:cs="Arial"/>
          <w:i/>
          <w:iCs/>
        </w:rPr>
        <w:t>International Journal of Contemporary Hospitality Management</w:t>
      </w:r>
      <w:r w:rsidRPr="00846161">
        <w:rPr>
          <w:rFonts w:ascii="Arial" w:hAnsi="Arial" w:cs="Arial"/>
        </w:rPr>
        <w:t xml:space="preserve">, 32(2), pp. 913-933. </w:t>
      </w:r>
      <w:r w:rsidRPr="00846161">
        <w:rPr>
          <w:rFonts w:ascii="Arial" w:hAnsi="Arial" w:cs="Arial"/>
          <w:color w:val="0070C0"/>
        </w:rPr>
        <w:t>doi: 10.1108/IJCHM-01-2019-0002.</w:t>
      </w:r>
    </w:p>
    <w:p w14:paraId="593CB171" w14:textId="77777777" w:rsidR="00846161" w:rsidRPr="00846161" w:rsidRDefault="00846161" w:rsidP="00846161">
      <w:pPr>
        <w:rPr>
          <w:rFonts w:ascii="Arial" w:hAnsi="Arial" w:cs="Arial"/>
        </w:rPr>
      </w:pPr>
      <w:r w:rsidRPr="00846161">
        <w:rPr>
          <w:rFonts w:ascii="Arial" w:hAnsi="Arial" w:cs="Arial"/>
        </w:rPr>
        <w:t xml:space="preserve">Sloan, P., Legrand, W. and Chen, J.S. (2017) </w:t>
      </w:r>
      <w:r w:rsidRPr="00846161">
        <w:rPr>
          <w:rFonts w:ascii="Arial" w:hAnsi="Arial" w:cs="Arial"/>
          <w:i/>
          <w:iCs/>
        </w:rPr>
        <w:t>Sustainability in the hospitality industry: principles of sustainable operations</w:t>
      </w:r>
      <w:r w:rsidRPr="00846161">
        <w:rPr>
          <w:rFonts w:ascii="Arial" w:hAnsi="Arial" w:cs="Arial"/>
        </w:rPr>
        <w:t>. 3rd edn. London, United Kingdom: Butterworth-Heinemann.</w:t>
      </w:r>
    </w:p>
    <w:p w14:paraId="08701C56" w14:textId="77777777" w:rsidR="00846161" w:rsidRPr="00846161" w:rsidRDefault="00846161" w:rsidP="00846161">
      <w:pPr>
        <w:rPr>
          <w:rFonts w:ascii="Arial" w:hAnsi="Arial" w:cs="Arial"/>
          <w:color w:val="auto"/>
        </w:rPr>
      </w:pPr>
      <w:r w:rsidRPr="00846161">
        <w:rPr>
          <w:rFonts w:ascii="Arial" w:hAnsi="Arial" w:cs="Arial"/>
          <w:color w:val="auto"/>
        </w:rPr>
        <w:t xml:space="preserve">Smith, N. (2019) 'Planet Ocean: the last frontier', </w:t>
      </w:r>
      <w:r w:rsidRPr="00846161">
        <w:rPr>
          <w:rFonts w:ascii="Arial" w:hAnsi="Arial" w:cs="Arial"/>
          <w:i/>
          <w:iCs/>
          <w:color w:val="auto"/>
        </w:rPr>
        <w:t>Engineering &amp; Technology</w:t>
      </w:r>
      <w:r w:rsidRPr="00846161">
        <w:rPr>
          <w:rFonts w:ascii="Arial" w:hAnsi="Arial" w:cs="Arial"/>
          <w:color w:val="auto"/>
        </w:rPr>
        <w:t xml:space="preserve">, 14(7), pp. 58-63. </w:t>
      </w:r>
      <w:r w:rsidRPr="00846161">
        <w:rPr>
          <w:rFonts w:ascii="Arial" w:hAnsi="Arial" w:cs="Arial"/>
          <w:color w:val="0070C0"/>
        </w:rPr>
        <w:t>doi: 10.1049/et.2019.0706.</w:t>
      </w:r>
    </w:p>
    <w:p w14:paraId="4FFBD261" w14:textId="77777777" w:rsidR="00846161" w:rsidRPr="00846161" w:rsidRDefault="00846161" w:rsidP="00846161">
      <w:pPr>
        <w:rPr>
          <w:rFonts w:ascii="Arial" w:hAnsi="Arial" w:cs="Arial"/>
          <w:color w:val="auto"/>
        </w:rPr>
      </w:pPr>
      <w:r w:rsidRPr="00846161">
        <w:rPr>
          <w:rFonts w:ascii="Arial" w:hAnsi="Arial" w:cs="Arial"/>
          <w:color w:val="auto"/>
        </w:rPr>
        <w:t xml:space="preserve">Statista (2024) 'Savoy Hotel: Hotels brand profile in the UK'. Available at: </w:t>
      </w:r>
      <w:r w:rsidRPr="00846161">
        <w:rPr>
          <w:rFonts w:ascii="Arial" w:hAnsi="Arial" w:cs="Arial"/>
          <w:color w:val="0070C0"/>
        </w:rPr>
        <w:t xml:space="preserve">https://www.statista.com/forecasts/1335571/savoy-hotel-hotels-brand-profile-in-the-uk </w:t>
      </w:r>
      <w:r w:rsidRPr="00846161">
        <w:rPr>
          <w:rFonts w:ascii="Arial" w:hAnsi="Arial" w:cs="Arial"/>
          <w:color w:val="auto"/>
        </w:rPr>
        <w:t>(Accessed: 15 October 2024).</w:t>
      </w:r>
    </w:p>
    <w:p w14:paraId="0AC2A37D" w14:textId="77777777" w:rsidR="00846161" w:rsidRPr="00846161" w:rsidRDefault="00846161" w:rsidP="00846161">
      <w:pPr>
        <w:rPr>
          <w:rFonts w:ascii="Arial" w:hAnsi="Arial" w:cs="Arial"/>
        </w:rPr>
      </w:pPr>
      <w:r w:rsidRPr="00846161">
        <w:rPr>
          <w:rFonts w:ascii="Arial" w:hAnsi="Arial" w:cs="Arial"/>
          <w:shd w:val="clear" w:color="auto" w:fill="FFFFFF"/>
        </w:rPr>
        <w:t xml:space="preserve">Valeri, M. (ed.) (2021) </w:t>
      </w:r>
      <w:r w:rsidRPr="00846161">
        <w:rPr>
          <w:rFonts w:ascii="Arial" w:hAnsi="Arial" w:cs="Arial"/>
          <w:i/>
          <w:iCs/>
          <w:shd w:val="clear" w:color="auto" w:fill="FFFFFF"/>
        </w:rPr>
        <w:t>New governance and management in touristic destinations</w:t>
      </w:r>
      <w:r w:rsidRPr="00846161">
        <w:rPr>
          <w:rFonts w:ascii="Arial" w:hAnsi="Arial" w:cs="Arial"/>
          <w:shd w:val="clear" w:color="auto" w:fill="FFFFFF"/>
        </w:rPr>
        <w:t>. Hershey, PA, United States: IGI Global</w:t>
      </w:r>
      <w:r w:rsidRPr="00846161">
        <w:rPr>
          <w:rFonts w:ascii="Arial" w:hAnsi="Arial" w:cs="Arial"/>
        </w:rPr>
        <w:t>.</w:t>
      </w:r>
    </w:p>
    <w:p w14:paraId="6806BA7D" w14:textId="77777777" w:rsidR="00846161" w:rsidRDefault="00846161" w:rsidP="00846161">
      <w:pPr>
        <w:rPr>
          <w:rFonts w:ascii="Arial" w:hAnsi="Arial" w:cs="Arial"/>
          <w:color w:val="0070C0"/>
        </w:rPr>
      </w:pPr>
      <w:r w:rsidRPr="00846161">
        <w:rPr>
          <w:rFonts w:ascii="Arial" w:hAnsi="Arial" w:cs="Arial"/>
        </w:rPr>
        <w:lastRenderedPageBreak/>
        <w:t xml:space="preserve">Wang, C., Hu, R. and Zhang, T.C. (2020) 'Corporate social responsibility in international hotel chains and its effects on local employees: Scale development and empirical testing in China', </w:t>
      </w:r>
      <w:r w:rsidRPr="00846161">
        <w:rPr>
          <w:rFonts w:ascii="Arial" w:hAnsi="Arial" w:cs="Arial"/>
          <w:i/>
          <w:iCs/>
        </w:rPr>
        <w:t>International Journal of Hospitality Management</w:t>
      </w:r>
      <w:r w:rsidRPr="00846161">
        <w:rPr>
          <w:rFonts w:ascii="Arial" w:hAnsi="Arial" w:cs="Arial"/>
        </w:rPr>
        <w:t xml:space="preserve">, 90, p. 102598. </w:t>
      </w:r>
      <w:r w:rsidRPr="00846161">
        <w:rPr>
          <w:rFonts w:ascii="Arial" w:hAnsi="Arial" w:cs="Arial"/>
          <w:color w:val="0070C0"/>
        </w:rPr>
        <w:t>doi: 10.1016/j.ijhm.2020.102598.</w:t>
      </w:r>
    </w:p>
    <w:p w14:paraId="652D4392" w14:textId="77777777" w:rsidR="00846161" w:rsidRPr="00846161" w:rsidRDefault="00846161" w:rsidP="00846161">
      <w:pPr>
        <w:rPr>
          <w:rFonts w:ascii="Arial" w:hAnsi="Arial" w:cs="Arial"/>
        </w:rPr>
      </w:pPr>
      <w:r w:rsidRPr="00846161">
        <w:rPr>
          <w:rFonts w:ascii="Arial" w:hAnsi="Arial" w:cs="Arial"/>
        </w:rPr>
        <w:t xml:space="preserve">Wickham, D., Donnelly, T. and French, L. (2021) 'Strategic sustainability management in the event sector', </w:t>
      </w:r>
      <w:r w:rsidRPr="00846161">
        <w:rPr>
          <w:rFonts w:ascii="Arial" w:hAnsi="Arial" w:cs="Arial"/>
          <w:i/>
          <w:iCs/>
        </w:rPr>
        <w:t>Event Management</w:t>
      </w:r>
      <w:r w:rsidRPr="00846161">
        <w:rPr>
          <w:rFonts w:ascii="Arial" w:hAnsi="Arial" w:cs="Arial"/>
        </w:rPr>
        <w:t>, 25(3), pp. 279–296.</w:t>
      </w:r>
    </w:p>
    <w:p w14:paraId="1486230A" w14:textId="77777777" w:rsidR="00846161" w:rsidRPr="00846161" w:rsidRDefault="00846161" w:rsidP="00846161">
      <w:pPr>
        <w:rPr>
          <w:rFonts w:ascii="Arial" w:hAnsi="Arial" w:cs="Arial"/>
          <w:color w:val="auto"/>
        </w:rPr>
      </w:pPr>
      <w:r w:rsidRPr="00846161">
        <w:rPr>
          <w:rFonts w:ascii="Arial" w:hAnsi="Arial" w:cs="Arial"/>
          <w:color w:val="auto"/>
        </w:rPr>
        <w:t xml:space="preserve">Williams. (2020) </w:t>
      </w:r>
      <w:r w:rsidRPr="00846161">
        <w:rPr>
          <w:rFonts w:ascii="Arial" w:hAnsi="Arial" w:cs="Arial"/>
          <w:i/>
          <w:iCs/>
          <w:color w:val="auto"/>
        </w:rPr>
        <w:t>The Secret Life of the Savoy: And the D'Oyly Carte Family</w:t>
      </w:r>
      <w:r w:rsidRPr="00846161">
        <w:rPr>
          <w:rFonts w:ascii="Arial" w:hAnsi="Arial" w:cs="Arial"/>
          <w:color w:val="auto"/>
        </w:rPr>
        <w:t>. London, United Kingdom: Hachette UK.</w:t>
      </w:r>
    </w:p>
    <w:p w14:paraId="78FAF8CB" w14:textId="77777777" w:rsidR="00846161" w:rsidRPr="00846161" w:rsidRDefault="00846161" w:rsidP="00846161">
      <w:pPr>
        <w:rPr>
          <w:rFonts w:ascii="Arial" w:hAnsi="Arial" w:cs="Arial"/>
          <w:color w:val="auto"/>
        </w:rPr>
      </w:pPr>
      <w:r w:rsidRPr="00846161">
        <w:rPr>
          <w:rFonts w:ascii="Arial" w:hAnsi="Arial" w:cs="Arial"/>
          <w:color w:val="auto"/>
        </w:rPr>
        <w:t xml:space="preserve">Xu, X. and Gursoy, D. (2015) 'A conceptual framework of sustainable hospitality supply chain management', </w:t>
      </w:r>
      <w:r w:rsidRPr="00846161">
        <w:rPr>
          <w:rFonts w:ascii="Arial" w:hAnsi="Arial" w:cs="Arial"/>
          <w:i/>
          <w:iCs/>
          <w:color w:val="auto"/>
        </w:rPr>
        <w:t>Journal of Hospitality Marketing &amp; Management</w:t>
      </w:r>
      <w:r w:rsidRPr="00846161">
        <w:rPr>
          <w:rFonts w:ascii="Arial" w:hAnsi="Arial" w:cs="Arial"/>
          <w:color w:val="auto"/>
        </w:rPr>
        <w:t xml:space="preserve">, 24(3), pp. 229-259. </w:t>
      </w:r>
      <w:r w:rsidRPr="00846161">
        <w:rPr>
          <w:rFonts w:ascii="Arial" w:hAnsi="Arial" w:cs="Arial"/>
          <w:color w:val="0070C0"/>
        </w:rPr>
        <w:t>doi: 10.1080/19368623.2014.909691.</w:t>
      </w:r>
    </w:p>
    <w:p w14:paraId="098D5BFD" w14:textId="77777777" w:rsidR="00846161" w:rsidRPr="00846161" w:rsidRDefault="00846161" w:rsidP="00846161">
      <w:pPr>
        <w:rPr>
          <w:rFonts w:ascii="Arial" w:hAnsi="Arial" w:cs="Arial"/>
          <w:color w:val="0070C0"/>
        </w:rPr>
      </w:pPr>
    </w:p>
    <w:p w14:paraId="593242D8" w14:textId="77777777" w:rsidR="00846161" w:rsidRPr="00846161" w:rsidRDefault="00846161" w:rsidP="00846161">
      <w:pPr>
        <w:rPr>
          <w:rFonts w:ascii="Arial" w:hAnsi="Arial" w:cs="Arial"/>
        </w:rPr>
      </w:pPr>
    </w:p>
    <w:p w14:paraId="2E620E99" w14:textId="77777777" w:rsidR="00846161" w:rsidRPr="00846161" w:rsidRDefault="00846161" w:rsidP="00846161">
      <w:pPr>
        <w:rPr>
          <w:rFonts w:ascii="Arial" w:hAnsi="Arial" w:cs="Arial"/>
        </w:rPr>
      </w:pPr>
    </w:p>
    <w:sectPr w:rsidR="00846161" w:rsidRPr="00846161" w:rsidSect="00732504">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0AAA5A" w14:textId="77777777" w:rsidR="00846161" w:rsidRDefault="00846161" w:rsidP="00846161">
      <w:pPr>
        <w:spacing w:after="0" w:line="240" w:lineRule="auto"/>
      </w:pPr>
      <w:r>
        <w:separator/>
      </w:r>
    </w:p>
  </w:endnote>
  <w:endnote w:type="continuationSeparator" w:id="0">
    <w:p w14:paraId="7B9D1435" w14:textId="77777777" w:rsidR="00846161" w:rsidRDefault="00846161" w:rsidP="008461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25821208"/>
      <w:docPartObj>
        <w:docPartGallery w:val="Page Numbers (Bottom of Page)"/>
        <w:docPartUnique/>
      </w:docPartObj>
    </w:sdtPr>
    <w:sdtEndPr>
      <w:rPr>
        <w:noProof/>
      </w:rPr>
    </w:sdtEndPr>
    <w:sdtContent>
      <w:p w14:paraId="3C3D9A14" w14:textId="6D656F18" w:rsidR="00846161" w:rsidRDefault="0084616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5A4820" w14:textId="77777777" w:rsidR="00846161" w:rsidRDefault="008461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7DFF190" w14:textId="77777777" w:rsidR="00846161" w:rsidRDefault="00846161" w:rsidP="00846161">
      <w:pPr>
        <w:spacing w:after="0" w:line="240" w:lineRule="auto"/>
      </w:pPr>
      <w:r>
        <w:separator/>
      </w:r>
    </w:p>
  </w:footnote>
  <w:footnote w:type="continuationSeparator" w:id="0">
    <w:p w14:paraId="5040CDFB" w14:textId="77777777" w:rsidR="00846161" w:rsidRDefault="00846161" w:rsidP="008461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AA29A4"/>
    <w:multiLevelType w:val="multilevel"/>
    <w:tmpl w:val="40CC2226"/>
    <w:lvl w:ilvl="0">
      <w:start w:val="1"/>
      <w:numFmt w:val="decimal"/>
      <w:pStyle w:val="Heading1"/>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23FC2901"/>
    <w:multiLevelType w:val="hybridMultilevel"/>
    <w:tmpl w:val="06FAF900"/>
    <w:lvl w:ilvl="0" w:tplc="564AEED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2C6A7F"/>
    <w:multiLevelType w:val="hybridMultilevel"/>
    <w:tmpl w:val="CDDE4F60"/>
    <w:lvl w:ilvl="0" w:tplc="780CE8F6">
      <w:start w:val="1"/>
      <w:numFmt w:val="bullet"/>
      <w:lvlText w:val="•"/>
      <w:lvlJc w:val="left"/>
      <w:pPr>
        <w:ind w:left="720" w:firstLine="0"/>
      </w:pPr>
      <w:rPr>
        <w:rFonts w:ascii="Arial" w:eastAsia="Arial" w:hAnsi="Arial" w:cs="Arial"/>
        <w:b w:val="0"/>
        <w:i w:val="0"/>
        <w:strike w:val="0"/>
        <w:dstrike w:val="0"/>
        <w:color w:val="000000"/>
        <w:sz w:val="20"/>
        <w:szCs w:val="20"/>
        <w:u w:val="none" w:color="000000"/>
        <w:effect w:val="none"/>
        <w:bdr w:val="none" w:sz="0" w:space="0" w:color="auto" w:frame="1"/>
        <w:vertAlign w:val="baseline"/>
      </w:rPr>
    </w:lvl>
    <w:lvl w:ilvl="1" w:tplc="CF1A8EA6">
      <w:start w:val="1"/>
      <w:numFmt w:val="bullet"/>
      <w:lvlText w:val="o"/>
      <w:lvlJc w:val="left"/>
      <w:pPr>
        <w:ind w:left="1440" w:firstLine="0"/>
      </w:pPr>
      <w:rPr>
        <w:rFonts w:ascii="Times New Roman" w:eastAsia="Times New Roman" w:hAnsi="Times New Roman" w:cs="Times New Roman"/>
        <w:b w:val="0"/>
        <w:i w:val="0"/>
        <w:strike w:val="0"/>
        <w:dstrike w:val="0"/>
        <w:color w:val="000000"/>
        <w:sz w:val="20"/>
        <w:szCs w:val="20"/>
        <w:u w:val="none" w:color="000000"/>
        <w:effect w:val="none"/>
        <w:bdr w:val="none" w:sz="0" w:space="0" w:color="auto" w:frame="1"/>
        <w:vertAlign w:val="baseline"/>
      </w:rPr>
    </w:lvl>
    <w:lvl w:ilvl="2" w:tplc="1CC05196">
      <w:start w:val="1"/>
      <w:numFmt w:val="bullet"/>
      <w:lvlText w:val="▪"/>
      <w:lvlJc w:val="left"/>
      <w:pPr>
        <w:ind w:left="2160" w:firstLine="0"/>
      </w:pPr>
      <w:rPr>
        <w:rFonts w:ascii="Times New Roman" w:eastAsia="Times New Roman" w:hAnsi="Times New Roman" w:cs="Times New Roman"/>
        <w:b w:val="0"/>
        <w:i w:val="0"/>
        <w:strike w:val="0"/>
        <w:dstrike w:val="0"/>
        <w:color w:val="000000"/>
        <w:sz w:val="20"/>
        <w:szCs w:val="20"/>
        <w:u w:val="none" w:color="000000"/>
        <w:effect w:val="none"/>
        <w:bdr w:val="none" w:sz="0" w:space="0" w:color="auto" w:frame="1"/>
        <w:vertAlign w:val="baseline"/>
      </w:rPr>
    </w:lvl>
    <w:lvl w:ilvl="3" w:tplc="5614C5D8">
      <w:start w:val="1"/>
      <w:numFmt w:val="bullet"/>
      <w:lvlText w:val="•"/>
      <w:lvlJc w:val="left"/>
      <w:pPr>
        <w:ind w:left="2880" w:firstLine="0"/>
      </w:pPr>
      <w:rPr>
        <w:rFonts w:ascii="Times New Roman" w:eastAsia="Times New Roman" w:hAnsi="Times New Roman" w:cs="Times New Roman"/>
        <w:b w:val="0"/>
        <w:i w:val="0"/>
        <w:strike w:val="0"/>
        <w:dstrike w:val="0"/>
        <w:color w:val="000000"/>
        <w:sz w:val="20"/>
        <w:szCs w:val="20"/>
        <w:u w:val="none" w:color="000000"/>
        <w:effect w:val="none"/>
        <w:bdr w:val="none" w:sz="0" w:space="0" w:color="auto" w:frame="1"/>
        <w:vertAlign w:val="baseline"/>
      </w:rPr>
    </w:lvl>
    <w:lvl w:ilvl="4" w:tplc="93C0D9E2">
      <w:start w:val="1"/>
      <w:numFmt w:val="bullet"/>
      <w:lvlText w:val="o"/>
      <w:lvlJc w:val="left"/>
      <w:pPr>
        <w:ind w:left="3600" w:firstLine="0"/>
      </w:pPr>
      <w:rPr>
        <w:rFonts w:ascii="Times New Roman" w:eastAsia="Times New Roman" w:hAnsi="Times New Roman" w:cs="Times New Roman"/>
        <w:b w:val="0"/>
        <w:i w:val="0"/>
        <w:strike w:val="0"/>
        <w:dstrike w:val="0"/>
        <w:color w:val="000000"/>
        <w:sz w:val="20"/>
        <w:szCs w:val="20"/>
        <w:u w:val="none" w:color="000000"/>
        <w:effect w:val="none"/>
        <w:bdr w:val="none" w:sz="0" w:space="0" w:color="auto" w:frame="1"/>
        <w:vertAlign w:val="baseline"/>
      </w:rPr>
    </w:lvl>
    <w:lvl w:ilvl="5" w:tplc="63CE5F92">
      <w:start w:val="1"/>
      <w:numFmt w:val="bullet"/>
      <w:lvlText w:val="▪"/>
      <w:lvlJc w:val="left"/>
      <w:pPr>
        <w:ind w:left="4320" w:firstLine="0"/>
      </w:pPr>
      <w:rPr>
        <w:rFonts w:ascii="Times New Roman" w:eastAsia="Times New Roman" w:hAnsi="Times New Roman" w:cs="Times New Roman"/>
        <w:b w:val="0"/>
        <w:i w:val="0"/>
        <w:strike w:val="0"/>
        <w:dstrike w:val="0"/>
        <w:color w:val="000000"/>
        <w:sz w:val="20"/>
        <w:szCs w:val="20"/>
        <w:u w:val="none" w:color="000000"/>
        <w:effect w:val="none"/>
        <w:bdr w:val="none" w:sz="0" w:space="0" w:color="auto" w:frame="1"/>
        <w:vertAlign w:val="baseline"/>
      </w:rPr>
    </w:lvl>
    <w:lvl w:ilvl="6" w:tplc="D8781776">
      <w:start w:val="1"/>
      <w:numFmt w:val="bullet"/>
      <w:lvlText w:val="•"/>
      <w:lvlJc w:val="left"/>
      <w:pPr>
        <w:ind w:left="5040" w:firstLine="0"/>
      </w:pPr>
      <w:rPr>
        <w:rFonts w:ascii="Times New Roman" w:eastAsia="Times New Roman" w:hAnsi="Times New Roman" w:cs="Times New Roman"/>
        <w:b w:val="0"/>
        <w:i w:val="0"/>
        <w:strike w:val="0"/>
        <w:dstrike w:val="0"/>
        <w:color w:val="000000"/>
        <w:sz w:val="20"/>
        <w:szCs w:val="20"/>
        <w:u w:val="none" w:color="000000"/>
        <w:effect w:val="none"/>
        <w:bdr w:val="none" w:sz="0" w:space="0" w:color="auto" w:frame="1"/>
        <w:vertAlign w:val="baseline"/>
      </w:rPr>
    </w:lvl>
    <w:lvl w:ilvl="7" w:tplc="7BA601BC">
      <w:start w:val="1"/>
      <w:numFmt w:val="bullet"/>
      <w:lvlText w:val="o"/>
      <w:lvlJc w:val="left"/>
      <w:pPr>
        <w:ind w:left="5760" w:firstLine="0"/>
      </w:pPr>
      <w:rPr>
        <w:rFonts w:ascii="Times New Roman" w:eastAsia="Times New Roman" w:hAnsi="Times New Roman" w:cs="Times New Roman"/>
        <w:b w:val="0"/>
        <w:i w:val="0"/>
        <w:strike w:val="0"/>
        <w:dstrike w:val="0"/>
        <w:color w:val="000000"/>
        <w:sz w:val="20"/>
        <w:szCs w:val="20"/>
        <w:u w:val="none" w:color="000000"/>
        <w:effect w:val="none"/>
        <w:bdr w:val="none" w:sz="0" w:space="0" w:color="auto" w:frame="1"/>
        <w:vertAlign w:val="baseline"/>
      </w:rPr>
    </w:lvl>
    <w:lvl w:ilvl="8" w:tplc="EF88CBDE">
      <w:start w:val="1"/>
      <w:numFmt w:val="bullet"/>
      <w:lvlText w:val="▪"/>
      <w:lvlJc w:val="left"/>
      <w:pPr>
        <w:ind w:left="6480" w:firstLine="0"/>
      </w:pPr>
      <w:rPr>
        <w:rFonts w:ascii="Times New Roman" w:eastAsia="Times New Roman" w:hAnsi="Times New Roman" w:cs="Times New Roman"/>
        <w:b w:val="0"/>
        <w:i w:val="0"/>
        <w:strike w:val="0"/>
        <w:dstrike w:val="0"/>
        <w:color w:val="000000"/>
        <w:sz w:val="20"/>
        <w:szCs w:val="20"/>
        <w:u w:val="none" w:color="000000"/>
        <w:effect w:val="none"/>
        <w:bdr w:val="none" w:sz="0" w:space="0" w:color="auto" w:frame="1"/>
        <w:vertAlign w:val="baseline"/>
      </w:rPr>
    </w:lvl>
  </w:abstractNum>
  <w:num w:numId="1" w16cid:durableId="946697186">
    <w:abstractNumId w:val="1"/>
  </w:num>
  <w:num w:numId="2" w16cid:durableId="794635664">
    <w:abstractNumId w:val="0"/>
  </w:num>
  <w:num w:numId="3" w16cid:durableId="164975239">
    <w:abstractNumId w:val="2"/>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zEyMTY3MjQyNTS3MDFX0lEKTi0uzszPAykwrAUAjM57oywAAAA="/>
  </w:docVars>
  <w:rsids>
    <w:rsidRoot w:val="00732504"/>
    <w:rsid w:val="000401B0"/>
    <w:rsid w:val="00146851"/>
    <w:rsid w:val="002107F6"/>
    <w:rsid w:val="00406058"/>
    <w:rsid w:val="004314EE"/>
    <w:rsid w:val="004A69AC"/>
    <w:rsid w:val="0054767B"/>
    <w:rsid w:val="00732504"/>
    <w:rsid w:val="00737E6D"/>
    <w:rsid w:val="00795567"/>
    <w:rsid w:val="00846161"/>
    <w:rsid w:val="008D5849"/>
    <w:rsid w:val="00A50D37"/>
    <w:rsid w:val="00A8252D"/>
    <w:rsid w:val="00B23D5F"/>
    <w:rsid w:val="00B87999"/>
    <w:rsid w:val="00C515C5"/>
    <w:rsid w:val="00C62B2D"/>
    <w:rsid w:val="00CF4FE3"/>
    <w:rsid w:val="00E115C5"/>
    <w:rsid w:val="00F958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49680E"/>
  <w15:chartTrackingRefBased/>
  <w15:docId w15:val="{108D8FDF-1D91-4A3A-9B70-BFE00D9721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before="240" w:after="100" w:afterAutospacing="1"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14EE"/>
    <w:pPr>
      <w:spacing w:before="0" w:after="160" w:afterAutospacing="0"/>
    </w:pPr>
    <w:rPr>
      <w:rFonts w:ascii="Times New Roman" w:eastAsia="Calibri" w:hAnsi="Times New Roman" w:cs="Calibri"/>
      <w:color w:val="000000"/>
      <w:sz w:val="24"/>
      <w:szCs w:val="24"/>
      <w:lang w:eastAsia="en-GB"/>
    </w:rPr>
  </w:style>
  <w:style w:type="paragraph" w:styleId="Heading1">
    <w:name w:val="heading 1"/>
    <w:basedOn w:val="Normal"/>
    <w:next w:val="Normal"/>
    <w:link w:val="Heading1Char"/>
    <w:autoRedefine/>
    <w:uiPriority w:val="9"/>
    <w:qFormat/>
    <w:rsid w:val="004A69AC"/>
    <w:pPr>
      <w:keepNext/>
      <w:keepLines/>
      <w:numPr>
        <w:numId w:val="2"/>
      </w:numPr>
      <w:spacing w:after="0"/>
      <w:ind w:hanging="360"/>
      <w:outlineLvl w:val="0"/>
    </w:pPr>
    <w:rPr>
      <w:rFonts w:cs="Times New Roman"/>
      <w:b/>
      <w:bCs/>
      <w:sz w:val="28"/>
      <w:szCs w:val="28"/>
    </w:rPr>
  </w:style>
  <w:style w:type="paragraph" w:styleId="Heading2">
    <w:name w:val="heading 2"/>
    <w:basedOn w:val="Normal"/>
    <w:next w:val="Normal"/>
    <w:link w:val="Heading2Char"/>
    <w:autoRedefine/>
    <w:uiPriority w:val="9"/>
    <w:unhideWhenUsed/>
    <w:qFormat/>
    <w:rsid w:val="00B87999"/>
    <w:pPr>
      <w:keepNext/>
      <w:keepLines/>
      <w:spacing w:before="40" w:after="0"/>
      <w:ind w:left="284"/>
      <w:outlineLvl w:val="1"/>
    </w:pPr>
    <w:rPr>
      <w:rFonts w:eastAsiaTheme="majorEastAsia" w:cs="Times New Roman"/>
      <w:b/>
    </w:rPr>
  </w:style>
  <w:style w:type="paragraph" w:styleId="Heading3">
    <w:name w:val="heading 3"/>
    <w:basedOn w:val="Normal"/>
    <w:next w:val="Normal"/>
    <w:link w:val="Heading3Char"/>
    <w:autoRedefine/>
    <w:uiPriority w:val="9"/>
    <w:unhideWhenUsed/>
    <w:qFormat/>
    <w:rsid w:val="00C515C5"/>
    <w:pPr>
      <w:keepNext/>
      <w:keepLines/>
      <w:spacing w:before="160" w:after="80"/>
      <w:jc w:val="left"/>
      <w:outlineLvl w:val="2"/>
    </w:pPr>
    <w:rPr>
      <w:rFonts w:eastAsiaTheme="majorEastAsia" w:cstheme="majorBidi"/>
      <w:b/>
      <w:i/>
      <w:szCs w:val="28"/>
    </w:rPr>
  </w:style>
  <w:style w:type="paragraph" w:styleId="Heading4">
    <w:name w:val="heading 4"/>
    <w:basedOn w:val="Normal"/>
    <w:next w:val="Normal"/>
    <w:link w:val="Heading4Char"/>
    <w:uiPriority w:val="9"/>
    <w:semiHidden/>
    <w:unhideWhenUsed/>
    <w:qFormat/>
    <w:rsid w:val="00732504"/>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732504"/>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73250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3250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3250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3250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69AC"/>
    <w:rPr>
      <w:rFonts w:ascii="Times New Roman" w:hAnsi="Times New Roman" w:cs="Times New Roman"/>
      <w:b/>
      <w:bCs/>
      <w:sz w:val="28"/>
      <w:szCs w:val="28"/>
      <w:lang w:eastAsia="en-GB"/>
    </w:rPr>
  </w:style>
  <w:style w:type="character" w:customStyle="1" w:styleId="Heading2Char">
    <w:name w:val="Heading 2 Char"/>
    <w:basedOn w:val="DefaultParagraphFont"/>
    <w:link w:val="Heading2"/>
    <w:uiPriority w:val="9"/>
    <w:rsid w:val="00B87999"/>
    <w:rPr>
      <w:rFonts w:ascii="Times New Roman" w:eastAsiaTheme="majorEastAsia" w:hAnsi="Times New Roman" w:cs="Times New Roman"/>
      <w:b/>
      <w:sz w:val="24"/>
      <w:szCs w:val="24"/>
    </w:rPr>
  </w:style>
  <w:style w:type="character" w:customStyle="1" w:styleId="Heading3Char">
    <w:name w:val="Heading 3 Char"/>
    <w:basedOn w:val="DefaultParagraphFont"/>
    <w:link w:val="Heading3"/>
    <w:uiPriority w:val="9"/>
    <w:rsid w:val="00C515C5"/>
    <w:rPr>
      <w:rFonts w:ascii="Times New Roman" w:eastAsiaTheme="majorEastAsia" w:hAnsi="Times New Roman" w:cstheme="majorBidi"/>
      <w:b/>
      <w:i/>
      <w:sz w:val="24"/>
      <w:szCs w:val="28"/>
    </w:rPr>
  </w:style>
  <w:style w:type="character" w:customStyle="1" w:styleId="Heading4Char">
    <w:name w:val="Heading 4 Char"/>
    <w:basedOn w:val="DefaultParagraphFont"/>
    <w:link w:val="Heading4"/>
    <w:uiPriority w:val="9"/>
    <w:semiHidden/>
    <w:rsid w:val="00732504"/>
    <w:rPr>
      <w:rFonts w:eastAsiaTheme="majorEastAsia" w:cstheme="majorBidi"/>
      <w:i/>
      <w:iCs/>
      <w:color w:val="0F4761" w:themeColor="accent1" w:themeShade="BF"/>
      <w:sz w:val="24"/>
      <w:szCs w:val="24"/>
      <w:lang w:eastAsia="en-GB"/>
    </w:rPr>
  </w:style>
  <w:style w:type="character" w:customStyle="1" w:styleId="Heading5Char">
    <w:name w:val="Heading 5 Char"/>
    <w:basedOn w:val="DefaultParagraphFont"/>
    <w:link w:val="Heading5"/>
    <w:uiPriority w:val="9"/>
    <w:semiHidden/>
    <w:rsid w:val="00732504"/>
    <w:rPr>
      <w:rFonts w:eastAsiaTheme="majorEastAsia" w:cstheme="majorBidi"/>
      <w:color w:val="0F4761" w:themeColor="accent1" w:themeShade="BF"/>
      <w:sz w:val="24"/>
      <w:szCs w:val="24"/>
      <w:lang w:eastAsia="en-GB"/>
    </w:rPr>
  </w:style>
  <w:style w:type="character" w:customStyle="1" w:styleId="Heading6Char">
    <w:name w:val="Heading 6 Char"/>
    <w:basedOn w:val="DefaultParagraphFont"/>
    <w:link w:val="Heading6"/>
    <w:uiPriority w:val="9"/>
    <w:semiHidden/>
    <w:rsid w:val="00732504"/>
    <w:rPr>
      <w:rFonts w:eastAsiaTheme="majorEastAsia" w:cstheme="majorBidi"/>
      <w:i/>
      <w:iCs/>
      <w:color w:val="595959" w:themeColor="text1" w:themeTint="A6"/>
      <w:sz w:val="24"/>
      <w:szCs w:val="24"/>
      <w:lang w:eastAsia="en-GB"/>
    </w:rPr>
  </w:style>
  <w:style w:type="character" w:customStyle="1" w:styleId="Heading7Char">
    <w:name w:val="Heading 7 Char"/>
    <w:basedOn w:val="DefaultParagraphFont"/>
    <w:link w:val="Heading7"/>
    <w:uiPriority w:val="9"/>
    <w:semiHidden/>
    <w:rsid w:val="00732504"/>
    <w:rPr>
      <w:rFonts w:eastAsiaTheme="majorEastAsia" w:cstheme="majorBidi"/>
      <w:color w:val="595959" w:themeColor="text1" w:themeTint="A6"/>
      <w:sz w:val="24"/>
      <w:szCs w:val="24"/>
      <w:lang w:eastAsia="en-GB"/>
    </w:rPr>
  </w:style>
  <w:style w:type="character" w:customStyle="1" w:styleId="Heading8Char">
    <w:name w:val="Heading 8 Char"/>
    <w:basedOn w:val="DefaultParagraphFont"/>
    <w:link w:val="Heading8"/>
    <w:uiPriority w:val="9"/>
    <w:semiHidden/>
    <w:rsid w:val="00732504"/>
    <w:rPr>
      <w:rFonts w:eastAsiaTheme="majorEastAsia" w:cstheme="majorBidi"/>
      <w:i/>
      <w:iCs/>
      <w:color w:val="272727" w:themeColor="text1" w:themeTint="D8"/>
      <w:sz w:val="24"/>
      <w:szCs w:val="24"/>
      <w:lang w:eastAsia="en-GB"/>
    </w:rPr>
  </w:style>
  <w:style w:type="character" w:customStyle="1" w:styleId="Heading9Char">
    <w:name w:val="Heading 9 Char"/>
    <w:basedOn w:val="DefaultParagraphFont"/>
    <w:link w:val="Heading9"/>
    <w:uiPriority w:val="9"/>
    <w:semiHidden/>
    <w:rsid w:val="00732504"/>
    <w:rPr>
      <w:rFonts w:eastAsiaTheme="majorEastAsia" w:cstheme="majorBidi"/>
      <w:color w:val="272727" w:themeColor="text1" w:themeTint="D8"/>
      <w:sz w:val="24"/>
      <w:szCs w:val="24"/>
      <w:lang w:eastAsia="en-GB"/>
    </w:rPr>
  </w:style>
  <w:style w:type="paragraph" w:styleId="Title">
    <w:name w:val="Title"/>
    <w:basedOn w:val="Normal"/>
    <w:next w:val="Normal"/>
    <w:link w:val="TitleChar"/>
    <w:uiPriority w:val="10"/>
    <w:qFormat/>
    <w:rsid w:val="00732504"/>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732504"/>
    <w:rPr>
      <w:rFonts w:asciiTheme="majorHAnsi" w:eastAsiaTheme="majorEastAsia" w:hAnsiTheme="majorHAnsi" w:cstheme="majorBidi"/>
      <w:spacing w:val="-10"/>
      <w:kern w:val="28"/>
      <w:sz w:val="56"/>
      <w:szCs w:val="56"/>
      <w:lang w:eastAsia="en-GB"/>
    </w:rPr>
  </w:style>
  <w:style w:type="paragraph" w:styleId="Subtitle">
    <w:name w:val="Subtitle"/>
    <w:basedOn w:val="Normal"/>
    <w:next w:val="Normal"/>
    <w:link w:val="SubtitleChar"/>
    <w:uiPriority w:val="11"/>
    <w:qFormat/>
    <w:rsid w:val="0073250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2504"/>
    <w:rPr>
      <w:rFonts w:eastAsiaTheme="majorEastAsia" w:cstheme="majorBidi"/>
      <w:color w:val="595959" w:themeColor="text1" w:themeTint="A6"/>
      <w:spacing w:val="15"/>
      <w:sz w:val="28"/>
      <w:szCs w:val="28"/>
      <w:lang w:eastAsia="en-GB"/>
    </w:rPr>
  </w:style>
  <w:style w:type="paragraph" w:styleId="Quote">
    <w:name w:val="Quote"/>
    <w:basedOn w:val="Normal"/>
    <w:next w:val="Normal"/>
    <w:link w:val="QuoteChar"/>
    <w:uiPriority w:val="29"/>
    <w:qFormat/>
    <w:rsid w:val="00732504"/>
    <w:pPr>
      <w:spacing w:before="160"/>
      <w:jc w:val="center"/>
    </w:pPr>
    <w:rPr>
      <w:i/>
      <w:iCs/>
      <w:color w:val="404040" w:themeColor="text1" w:themeTint="BF"/>
    </w:rPr>
  </w:style>
  <w:style w:type="character" w:customStyle="1" w:styleId="QuoteChar">
    <w:name w:val="Quote Char"/>
    <w:basedOn w:val="DefaultParagraphFont"/>
    <w:link w:val="Quote"/>
    <w:uiPriority w:val="29"/>
    <w:rsid w:val="00732504"/>
    <w:rPr>
      <w:rFonts w:ascii="Times New Roman" w:eastAsia="Calibri" w:hAnsi="Times New Roman" w:cs="Calibri"/>
      <w:i/>
      <w:iCs/>
      <w:color w:val="404040" w:themeColor="text1" w:themeTint="BF"/>
      <w:sz w:val="24"/>
      <w:szCs w:val="24"/>
      <w:lang w:eastAsia="en-GB"/>
    </w:rPr>
  </w:style>
  <w:style w:type="paragraph" w:styleId="ListParagraph">
    <w:name w:val="List Paragraph"/>
    <w:basedOn w:val="Normal"/>
    <w:uiPriority w:val="34"/>
    <w:qFormat/>
    <w:rsid w:val="00732504"/>
    <w:pPr>
      <w:ind w:left="720"/>
      <w:contextualSpacing/>
    </w:pPr>
  </w:style>
  <w:style w:type="character" w:styleId="IntenseEmphasis">
    <w:name w:val="Intense Emphasis"/>
    <w:basedOn w:val="DefaultParagraphFont"/>
    <w:uiPriority w:val="21"/>
    <w:qFormat/>
    <w:rsid w:val="00732504"/>
    <w:rPr>
      <w:i/>
      <w:iCs/>
      <w:color w:val="0F4761" w:themeColor="accent1" w:themeShade="BF"/>
    </w:rPr>
  </w:style>
  <w:style w:type="paragraph" w:styleId="IntenseQuote">
    <w:name w:val="Intense Quote"/>
    <w:basedOn w:val="Normal"/>
    <w:next w:val="Normal"/>
    <w:link w:val="IntenseQuoteChar"/>
    <w:uiPriority w:val="30"/>
    <w:qFormat/>
    <w:rsid w:val="007325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2504"/>
    <w:rPr>
      <w:rFonts w:ascii="Times New Roman" w:eastAsia="Calibri" w:hAnsi="Times New Roman" w:cs="Calibri"/>
      <w:i/>
      <w:iCs/>
      <w:color w:val="0F4761" w:themeColor="accent1" w:themeShade="BF"/>
      <w:sz w:val="24"/>
      <w:szCs w:val="24"/>
      <w:lang w:eastAsia="en-GB"/>
    </w:rPr>
  </w:style>
  <w:style w:type="character" w:styleId="IntenseReference">
    <w:name w:val="Intense Reference"/>
    <w:basedOn w:val="DefaultParagraphFont"/>
    <w:uiPriority w:val="32"/>
    <w:qFormat/>
    <w:rsid w:val="00732504"/>
    <w:rPr>
      <w:b/>
      <w:bCs/>
      <w:smallCaps/>
      <w:color w:val="0F4761" w:themeColor="accent1" w:themeShade="BF"/>
      <w:spacing w:val="5"/>
    </w:rPr>
  </w:style>
  <w:style w:type="paragraph" w:styleId="NoSpacing">
    <w:name w:val="No Spacing"/>
    <w:link w:val="NoSpacingChar"/>
    <w:uiPriority w:val="1"/>
    <w:qFormat/>
    <w:rsid w:val="00732504"/>
    <w:pPr>
      <w:spacing w:before="0" w:after="0" w:afterAutospacing="0" w:line="240" w:lineRule="auto"/>
      <w:jc w:val="left"/>
    </w:pPr>
    <w:rPr>
      <w:rFonts w:eastAsiaTheme="minorEastAsia"/>
      <w:kern w:val="0"/>
      <w:lang w:val="en-US"/>
      <w14:ligatures w14:val="none"/>
    </w:rPr>
  </w:style>
  <w:style w:type="character" w:customStyle="1" w:styleId="NoSpacingChar">
    <w:name w:val="No Spacing Char"/>
    <w:basedOn w:val="DefaultParagraphFont"/>
    <w:link w:val="NoSpacing"/>
    <w:uiPriority w:val="1"/>
    <w:rsid w:val="00732504"/>
    <w:rPr>
      <w:rFonts w:eastAsiaTheme="minorEastAsia"/>
      <w:kern w:val="0"/>
      <w:lang w:val="en-US"/>
      <w14:ligatures w14:val="none"/>
    </w:rPr>
  </w:style>
  <w:style w:type="table" w:customStyle="1" w:styleId="TableGrid">
    <w:name w:val="TableGrid"/>
    <w:rsid w:val="00846161"/>
    <w:pPr>
      <w:spacing w:before="0" w:after="0" w:afterAutospacing="0" w:line="240" w:lineRule="auto"/>
      <w:jc w:val="left"/>
    </w:pPr>
    <w:rPr>
      <w:rFonts w:eastAsiaTheme="minorEastAsia"/>
      <w:sz w:val="24"/>
      <w:szCs w:val="24"/>
      <w:lang w:eastAsia="en-GB"/>
    </w:rPr>
    <w:tblPr>
      <w:tblCellMar>
        <w:top w:w="0" w:type="dxa"/>
        <w:left w:w="0" w:type="dxa"/>
        <w:bottom w:w="0" w:type="dxa"/>
        <w:right w:w="0" w:type="dxa"/>
      </w:tblCellMar>
    </w:tblPr>
  </w:style>
  <w:style w:type="paragraph" w:styleId="Header">
    <w:name w:val="header"/>
    <w:basedOn w:val="Normal"/>
    <w:link w:val="HeaderChar"/>
    <w:uiPriority w:val="99"/>
    <w:unhideWhenUsed/>
    <w:rsid w:val="008461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6161"/>
    <w:rPr>
      <w:rFonts w:ascii="Times New Roman" w:eastAsia="Calibri" w:hAnsi="Times New Roman" w:cs="Calibri"/>
      <w:color w:val="000000"/>
      <w:sz w:val="24"/>
      <w:szCs w:val="24"/>
      <w:lang w:eastAsia="en-GB"/>
    </w:rPr>
  </w:style>
  <w:style w:type="paragraph" w:styleId="Footer">
    <w:name w:val="footer"/>
    <w:basedOn w:val="Normal"/>
    <w:link w:val="FooterChar"/>
    <w:uiPriority w:val="99"/>
    <w:unhideWhenUsed/>
    <w:rsid w:val="008461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6161"/>
    <w:rPr>
      <w:rFonts w:ascii="Times New Roman" w:eastAsia="Calibri" w:hAnsi="Times New Roman" w:cs="Calibri"/>
      <w:color w:val="00000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2555010">
      <w:bodyDiv w:val="1"/>
      <w:marLeft w:val="0"/>
      <w:marRight w:val="0"/>
      <w:marTop w:val="0"/>
      <w:marBottom w:val="0"/>
      <w:divBdr>
        <w:top w:val="none" w:sz="0" w:space="0" w:color="auto"/>
        <w:left w:val="none" w:sz="0" w:space="0" w:color="auto"/>
        <w:bottom w:val="none" w:sz="0" w:space="0" w:color="auto"/>
        <w:right w:val="none" w:sz="0" w:space="0" w:color="auto"/>
      </w:divBdr>
    </w:div>
    <w:div w:id="1035698155">
      <w:bodyDiv w:val="1"/>
      <w:marLeft w:val="0"/>
      <w:marRight w:val="0"/>
      <w:marTop w:val="0"/>
      <w:marBottom w:val="0"/>
      <w:divBdr>
        <w:top w:val="none" w:sz="0" w:space="0" w:color="auto"/>
        <w:left w:val="none" w:sz="0" w:space="0" w:color="auto"/>
        <w:bottom w:val="none" w:sz="0" w:space="0" w:color="auto"/>
        <w:right w:val="none" w:sz="0" w:space="0" w:color="auto"/>
      </w:divBdr>
    </w:div>
    <w:div w:id="1253853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679985-8697-401E-AEE3-A92351CE28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722</TotalTime>
  <Pages>13</Pages>
  <Words>3554</Words>
  <Characters>21828</Characters>
  <Application>Microsoft Office Word</Application>
  <DocSecurity>0</DocSecurity>
  <Lines>321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Enache</dc:creator>
  <cp:keywords/>
  <dc:description/>
  <cp:lastModifiedBy>vasile Enache</cp:lastModifiedBy>
  <cp:revision>1</cp:revision>
  <dcterms:created xsi:type="dcterms:W3CDTF">2024-10-23T23:19:00Z</dcterms:created>
  <dcterms:modified xsi:type="dcterms:W3CDTF">2024-10-24T11:52:00Z</dcterms:modified>
</cp:coreProperties>
</file>