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211E4" w14:textId="77777777" w:rsidR="00F060B2" w:rsidRPr="00F060B2" w:rsidRDefault="00F060B2">
      <w:pPr>
        <w:spacing w:line="259" w:lineRule="auto"/>
        <w:jc w:val="left"/>
        <w:rPr>
          <w:sz w:val="16"/>
          <w:szCs w:val="14"/>
        </w:rPr>
      </w:pPr>
      <w:r w:rsidRPr="00F060B2">
        <w:rPr>
          <w:noProof/>
        </w:rPr>
        <w:drawing>
          <wp:inline distT="0" distB="0" distL="0" distR="0" wp14:anchorId="66B8159D" wp14:editId="3F221A73">
            <wp:extent cx="1981372" cy="746825"/>
            <wp:effectExtent l="0" t="0" r="0" b="0"/>
            <wp:docPr id="152030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03080" name=""/>
                    <pic:cNvPicPr/>
                  </pic:nvPicPr>
                  <pic:blipFill>
                    <a:blip r:embed="rId7"/>
                    <a:stretch>
                      <a:fillRect/>
                    </a:stretch>
                  </pic:blipFill>
                  <pic:spPr>
                    <a:xfrm>
                      <a:off x="0" y="0"/>
                      <a:ext cx="1981372" cy="746825"/>
                    </a:xfrm>
                    <a:prstGeom prst="rect">
                      <a:avLst/>
                    </a:prstGeom>
                  </pic:spPr>
                </pic:pic>
              </a:graphicData>
            </a:graphic>
          </wp:inline>
        </w:drawing>
      </w:r>
    </w:p>
    <w:p w14:paraId="03ECE79B" w14:textId="77777777" w:rsidR="00F060B2" w:rsidRDefault="00F060B2">
      <w:pPr>
        <w:spacing w:line="259" w:lineRule="auto"/>
        <w:jc w:val="left"/>
      </w:pPr>
    </w:p>
    <w:p w14:paraId="23A169C9" w14:textId="77777777" w:rsidR="00F060B2" w:rsidRDefault="00F060B2">
      <w:pPr>
        <w:spacing w:line="259" w:lineRule="auto"/>
        <w:jc w:val="left"/>
      </w:pPr>
    </w:p>
    <w:p w14:paraId="1E07C585" w14:textId="77777777" w:rsidR="00F060B2" w:rsidRDefault="00F060B2" w:rsidP="00F060B2">
      <w:pPr>
        <w:spacing w:line="259" w:lineRule="auto"/>
        <w:jc w:val="center"/>
        <w:rPr>
          <w:color w:val="000000"/>
          <w:sz w:val="27"/>
          <w:szCs w:val="27"/>
        </w:rPr>
      </w:pPr>
    </w:p>
    <w:p w14:paraId="3DD02CCA" w14:textId="77777777" w:rsidR="00F060B2" w:rsidRDefault="00F060B2" w:rsidP="00F060B2">
      <w:pPr>
        <w:spacing w:line="259" w:lineRule="auto"/>
        <w:jc w:val="center"/>
        <w:rPr>
          <w:color w:val="000000"/>
          <w:sz w:val="27"/>
          <w:szCs w:val="27"/>
        </w:rPr>
      </w:pPr>
    </w:p>
    <w:p w14:paraId="6B5CA17E" w14:textId="77777777" w:rsidR="00F060B2" w:rsidRDefault="00F060B2" w:rsidP="00F060B2">
      <w:pPr>
        <w:spacing w:line="259" w:lineRule="auto"/>
        <w:jc w:val="center"/>
        <w:rPr>
          <w:color w:val="000000"/>
          <w:sz w:val="27"/>
          <w:szCs w:val="27"/>
        </w:rPr>
      </w:pPr>
    </w:p>
    <w:p w14:paraId="2C660C3A" w14:textId="77777777" w:rsidR="00F060B2" w:rsidRPr="00F060B2" w:rsidRDefault="00F060B2" w:rsidP="00F060B2">
      <w:pPr>
        <w:spacing w:line="259" w:lineRule="auto"/>
        <w:rPr>
          <w:b/>
          <w:bCs/>
          <w:color w:val="000000"/>
          <w:sz w:val="48"/>
          <w:szCs w:val="48"/>
        </w:rPr>
      </w:pPr>
    </w:p>
    <w:p w14:paraId="1AACE7D7" w14:textId="1E974606" w:rsidR="00F060B2" w:rsidRDefault="00F060B2" w:rsidP="00F060B2">
      <w:pPr>
        <w:spacing w:line="259" w:lineRule="auto"/>
        <w:jc w:val="center"/>
        <w:rPr>
          <w:b/>
          <w:bCs/>
          <w:color w:val="000000"/>
          <w:sz w:val="56"/>
          <w:szCs w:val="56"/>
        </w:rPr>
      </w:pPr>
      <w:r w:rsidRPr="00F060B2">
        <w:rPr>
          <w:b/>
          <w:bCs/>
          <w:color w:val="000000"/>
          <w:sz w:val="56"/>
          <w:szCs w:val="56"/>
        </w:rPr>
        <w:t>BMPL4009</w:t>
      </w:r>
    </w:p>
    <w:p w14:paraId="7F4C0E03" w14:textId="77777777" w:rsidR="00F060B2" w:rsidRPr="00F060B2" w:rsidRDefault="00F060B2" w:rsidP="00F060B2">
      <w:pPr>
        <w:spacing w:line="259" w:lineRule="auto"/>
        <w:jc w:val="center"/>
        <w:rPr>
          <w:b/>
          <w:bCs/>
          <w:color w:val="000000"/>
          <w:sz w:val="28"/>
          <w:szCs w:val="28"/>
        </w:rPr>
      </w:pPr>
    </w:p>
    <w:p w14:paraId="79C36C6F" w14:textId="3792DBFE" w:rsidR="00F060B2" w:rsidRPr="00F060B2" w:rsidRDefault="00F060B2" w:rsidP="00F060B2">
      <w:pPr>
        <w:spacing w:line="259" w:lineRule="auto"/>
        <w:jc w:val="center"/>
        <w:rPr>
          <w:b/>
          <w:bCs/>
          <w:color w:val="000000"/>
          <w:sz w:val="52"/>
          <w:szCs w:val="52"/>
        </w:rPr>
      </w:pPr>
      <w:r w:rsidRPr="00F060B2">
        <w:rPr>
          <w:b/>
          <w:bCs/>
          <w:color w:val="000000"/>
          <w:sz w:val="52"/>
          <w:szCs w:val="52"/>
        </w:rPr>
        <w:t>Public Services Portfolio</w:t>
      </w:r>
    </w:p>
    <w:p w14:paraId="0598A962" w14:textId="23C28DB7" w:rsidR="00F060B2" w:rsidRPr="00F060B2" w:rsidRDefault="00F060B2" w:rsidP="00F060B2">
      <w:pPr>
        <w:spacing w:line="259" w:lineRule="auto"/>
        <w:jc w:val="center"/>
        <w:rPr>
          <w:b/>
          <w:bCs/>
          <w:color w:val="000000"/>
          <w:sz w:val="48"/>
          <w:szCs w:val="48"/>
        </w:rPr>
      </w:pPr>
      <w:r w:rsidRPr="00F060B2">
        <w:rPr>
          <w:b/>
          <w:bCs/>
          <w:color w:val="000000"/>
          <w:sz w:val="48"/>
          <w:szCs w:val="48"/>
        </w:rPr>
        <w:t>Criminal law</w:t>
      </w:r>
    </w:p>
    <w:p w14:paraId="3AD91B1E" w14:textId="77777777" w:rsidR="00F060B2" w:rsidRDefault="00F060B2" w:rsidP="00F060B2">
      <w:pPr>
        <w:spacing w:line="259" w:lineRule="auto"/>
        <w:jc w:val="center"/>
        <w:rPr>
          <w:b/>
          <w:bCs/>
          <w:color w:val="000000"/>
          <w:sz w:val="48"/>
          <w:szCs w:val="48"/>
        </w:rPr>
      </w:pPr>
      <w:r w:rsidRPr="00F060B2">
        <w:rPr>
          <w:b/>
          <w:bCs/>
          <w:color w:val="000000"/>
          <w:sz w:val="48"/>
          <w:szCs w:val="48"/>
        </w:rPr>
        <w:t>Scenario question</w:t>
      </w:r>
    </w:p>
    <w:p w14:paraId="27BCFA62" w14:textId="77777777" w:rsidR="00F060B2" w:rsidRDefault="00F060B2" w:rsidP="00F060B2">
      <w:pPr>
        <w:spacing w:line="259" w:lineRule="auto"/>
        <w:jc w:val="center"/>
        <w:rPr>
          <w:b/>
          <w:bCs/>
          <w:color w:val="000000"/>
          <w:sz w:val="48"/>
          <w:szCs w:val="48"/>
        </w:rPr>
      </w:pPr>
    </w:p>
    <w:p w14:paraId="6AAE6A99" w14:textId="77777777" w:rsidR="00A8716A" w:rsidRDefault="00A8716A" w:rsidP="00F060B2">
      <w:pPr>
        <w:spacing w:line="259" w:lineRule="auto"/>
        <w:jc w:val="center"/>
        <w:rPr>
          <w:b/>
          <w:bCs/>
          <w:color w:val="000000"/>
          <w:sz w:val="28"/>
          <w:szCs w:val="28"/>
        </w:rPr>
      </w:pPr>
    </w:p>
    <w:p w14:paraId="66E1A2FC" w14:textId="77777777" w:rsidR="00A8716A" w:rsidRDefault="00A8716A" w:rsidP="00F060B2">
      <w:pPr>
        <w:spacing w:line="259" w:lineRule="auto"/>
        <w:jc w:val="center"/>
        <w:rPr>
          <w:b/>
          <w:bCs/>
          <w:color w:val="000000"/>
          <w:sz w:val="28"/>
          <w:szCs w:val="28"/>
        </w:rPr>
      </w:pPr>
    </w:p>
    <w:p w14:paraId="3F37A175" w14:textId="77777777" w:rsidR="00A8716A" w:rsidRDefault="00A8716A" w:rsidP="00F060B2">
      <w:pPr>
        <w:spacing w:line="259" w:lineRule="auto"/>
        <w:jc w:val="center"/>
        <w:rPr>
          <w:b/>
          <w:bCs/>
          <w:color w:val="000000"/>
          <w:sz w:val="28"/>
          <w:szCs w:val="28"/>
        </w:rPr>
      </w:pPr>
    </w:p>
    <w:p w14:paraId="0521C094" w14:textId="14CF5D54" w:rsidR="00F060B2" w:rsidRPr="00A8716A" w:rsidRDefault="00F060B2" w:rsidP="00F060B2">
      <w:pPr>
        <w:spacing w:line="259" w:lineRule="auto"/>
        <w:jc w:val="center"/>
        <w:rPr>
          <w:b/>
          <w:bCs/>
          <w:color w:val="000000"/>
          <w:sz w:val="28"/>
          <w:szCs w:val="28"/>
        </w:rPr>
      </w:pPr>
      <w:r w:rsidRPr="00A8716A">
        <w:rPr>
          <w:b/>
          <w:bCs/>
          <w:color w:val="000000"/>
          <w:sz w:val="28"/>
          <w:szCs w:val="28"/>
        </w:rPr>
        <w:t xml:space="preserve">Student </w:t>
      </w:r>
      <w:r w:rsidR="0066465C" w:rsidRPr="00A8716A">
        <w:rPr>
          <w:b/>
          <w:bCs/>
          <w:color w:val="000000"/>
          <w:sz w:val="28"/>
          <w:szCs w:val="28"/>
        </w:rPr>
        <w:t>Name:</w:t>
      </w:r>
      <w:r w:rsidR="0066465C">
        <w:rPr>
          <w:b/>
          <w:bCs/>
          <w:color w:val="000000"/>
          <w:sz w:val="28"/>
          <w:szCs w:val="28"/>
        </w:rPr>
        <w:t xml:space="preserve"> Lorin Duman</w:t>
      </w:r>
    </w:p>
    <w:p w14:paraId="579ED726" w14:textId="17C23A61" w:rsidR="00B313DB" w:rsidRPr="00F060B2" w:rsidRDefault="00F060B2" w:rsidP="00F060B2">
      <w:pPr>
        <w:spacing w:line="259" w:lineRule="auto"/>
        <w:jc w:val="center"/>
        <w:rPr>
          <w:b/>
          <w:bCs/>
          <w:color w:val="000000"/>
          <w:sz w:val="52"/>
          <w:szCs w:val="52"/>
        </w:rPr>
      </w:pPr>
      <w:r w:rsidRPr="00A8716A">
        <w:rPr>
          <w:b/>
          <w:bCs/>
          <w:color w:val="000000"/>
          <w:sz w:val="28"/>
          <w:szCs w:val="28"/>
        </w:rPr>
        <w:t>Student ID:</w:t>
      </w:r>
      <w:r w:rsidR="0066465C">
        <w:rPr>
          <w:b/>
          <w:bCs/>
          <w:color w:val="000000"/>
          <w:sz w:val="28"/>
          <w:szCs w:val="28"/>
        </w:rPr>
        <w:t xml:space="preserve"> 2223623</w:t>
      </w:r>
      <w:r w:rsidR="00B313DB" w:rsidRPr="00F060B2">
        <w:rPr>
          <w:sz w:val="28"/>
          <w:szCs w:val="24"/>
        </w:rPr>
        <w:br w:type="page"/>
      </w:r>
    </w:p>
    <w:sdt>
      <w:sdtPr>
        <w:rPr>
          <w:rFonts w:ascii="Times New Roman" w:eastAsiaTheme="minorHAnsi" w:hAnsi="Times New Roman" w:cs="Times New Roman"/>
          <w:b/>
          <w:bCs/>
          <w:color w:val="auto"/>
          <w:kern w:val="2"/>
          <w:sz w:val="24"/>
          <w:szCs w:val="22"/>
          <w:lang w:val="en-GB"/>
          <w14:ligatures w14:val="standardContextual"/>
        </w:rPr>
        <w:id w:val="-2010056144"/>
        <w:docPartObj>
          <w:docPartGallery w:val="Table of Contents"/>
          <w:docPartUnique/>
        </w:docPartObj>
      </w:sdtPr>
      <w:sdtEndPr>
        <w:rPr>
          <w:rFonts w:cstheme="minorBidi"/>
          <w:noProof/>
        </w:rPr>
      </w:sdtEndPr>
      <w:sdtContent>
        <w:p w14:paraId="6F2E88F0" w14:textId="1B2A62AF" w:rsidR="00B313DB" w:rsidRPr="00B313DB" w:rsidRDefault="00B313DB">
          <w:pPr>
            <w:pStyle w:val="TOCHeading"/>
            <w:rPr>
              <w:rFonts w:ascii="Times New Roman" w:hAnsi="Times New Roman" w:cs="Times New Roman"/>
              <w:b/>
              <w:bCs/>
              <w:color w:val="auto"/>
            </w:rPr>
          </w:pPr>
          <w:r w:rsidRPr="00B313DB">
            <w:rPr>
              <w:rFonts w:ascii="Times New Roman" w:hAnsi="Times New Roman" w:cs="Times New Roman"/>
              <w:b/>
              <w:bCs/>
              <w:color w:val="auto"/>
            </w:rPr>
            <w:t>Table of Contents</w:t>
          </w:r>
        </w:p>
        <w:p w14:paraId="663FF7F9" w14:textId="06F43F6B" w:rsidR="002B5F26" w:rsidRDefault="00B313DB">
          <w:pPr>
            <w:pStyle w:val="TOC1"/>
            <w:tabs>
              <w:tab w:val="right" w:leader="dot" w:pos="9016"/>
            </w:tabs>
            <w:rPr>
              <w:rFonts w:asciiTheme="minorHAnsi" w:eastAsiaTheme="minorEastAsia" w:hAnsiTheme="minorHAnsi"/>
              <w:noProof/>
              <w:kern w:val="0"/>
              <w:sz w:val="22"/>
              <w:lang w:val="en-IN" w:eastAsia="en-IN"/>
              <w14:ligatures w14:val="none"/>
            </w:rPr>
          </w:pPr>
          <w:r>
            <w:fldChar w:fldCharType="begin"/>
          </w:r>
          <w:r>
            <w:instrText xml:space="preserve"> TOC \o "1-3" \h \z \u </w:instrText>
          </w:r>
          <w:r>
            <w:fldChar w:fldCharType="separate"/>
          </w:r>
          <w:hyperlink w:anchor="_Toc154576895" w:history="1">
            <w:r w:rsidR="002B5F26" w:rsidRPr="000518D2">
              <w:rPr>
                <w:rStyle w:val="Hyperlink"/>
                <w:noProof/>
              </w:rPr>
              <w:t>Introduction</w:t>
            </w:r>
            <w:r w:rsidR="002B5F26">
              <w:rPr>
                <w:noProof/>
                <w:webHidden/>
              </w:rPr>
              <w:tab/>
            </w:r>
            <w:r w:rsidR="002B5F26">
              <w:rPr>
                <w:noProof/>
                <w:webHidden/>
              </w:rPr>
              <w:fldChar w:fldCharType="begin"/>
            </w:r>
            <w:r w:rsidR="002B5F26">
              <w:rPr>
                <w:noProof/>
                <w:webHidden/>
              </w:rPr>
              <w:instrText xml:space="preserve"> PAGEREF _Toc154576895 \h </w:instrText>
            </w:r>
            <w:r w:rsidR="002B5F26">
              <w:rPr>
                <w:noProof/>
                <w:webHidden/>
              </w:rPr>
            </w:r>
            <w:r w:rsidR="002B5F26">
              <w:rPr>
                <w:noProof/>
                <w:webHidden/>
              </w:rPr>
              <w:fldChar w:fldCharType="separate"/>
            </w:r>
            <w:r w:rsidR="002B5F26">
              <w:rPr>
                <w:noProof/>
                <w:webHidden/>
              </w:rPr>
              <w:t>3</w:t>
            </w:r>
            <w:r w:rsidR="002B5F26">
              <w:rPr>
                <w:noProof/>
                <w:webHidden/>
              </w:rPr>
              <w:fldChar w:fldCharType="end"/>
            </w:r>
          </w:hyperlink>
        </w:p>
        <w:p w14:paraId="3F18F15C" w14:textId="19D921A9" w:rsidR="002B5F2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54576896" w:history="1">
            <w:r w:rsidR="002B5F26" w:rsidRPr="000518D2">
              <w:rPr>
                <w:rStyle w:val="Hyperlink"/>
                <w:noProof/>
              </w:rPr>
              <w:t>Offences and Elements</w:t>
            </w:r>
            <w:r w:rsidR="002B5F26">
              <w:rPr>
                <w:noProof/>
                <w:webHidden/>
              </w:rPr>
              <w:tab/>
            </w:r>
            <w:r w:rsidR="002B5F26">
              <w:rPr>
                <w:noProof/>
                <w:webHidden/>
              </w:rPr>
              <w:fldChar w:fldCharType="begin"/>
            </w:r>
            <w:r w:rsidR="002B5F26">
              <w:rPr>
                <w:noProof/>
                <w:webHidden/>
              </w:rPr>
              <w:instrText xml:space="preserve"> PAGEREF _Toc154576896 \h </w:instrText>
            </w:r>
            <w:r w:rsidR="002B5F26">
              <w:rPr>
                <w:noProof/>
                <w:webHidden/>
              </w:rPr>
            </w:r>
            <w:r w:rsidR="002B5F26">
              <w:rPr>
                <w:noProof/>
                <w:webHidden/>
              </w:rPr>
              <w:fldChar w:fldCharType="separate"/>
            </w:r>
            <w:r w:rsidR="002B5F26">
              <w:rPr>
                <w:noProof/>
                <w:webHidden/>
              </w:rPr>
              <w:t>4</w:t>
            </w:r>
            <w:r w:rsidR="002B5F26">
              <w:rPr>
                <w:noProof/>
                <w:webHidden/>
              </w:rPr>
              <w:fldChar w:fldCharType="end"/>
            </w:r>
          </w:hyperlink>
        </w:p>
        <w:p w14:paraId="3AF03176" w14:textId="62312E3F" w:rsidR="002B5F2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54576897" w:history="1">
            <w:r w:rsidR="002B5F26" w:rsidRPr="000518D2">
              <w:rPr>
                <w:rStyle w:val="Hyperlink"/>
                <w:noProof/>
              </w:rPr>
              <w:t>Defences</w:t>
            </w:r>
            <w:r w:rsidR="002B5F26">
              <w:rPr>
                <w:noProof/>
                <w:webHidden/>
              </w:rPr>
              <w:tab/>
            </w:r>
            <w:r w:rsidR="002B5F26">
              <w:rPr>
                <w:noProof/>
                <w:webHidden/>
              </w:rPr>
              <w:fldChar w:fldCharType="begin"/>
            </w:r>
            <w:r w:rsidR="002B5F26">
              <w:rPr>
                <w:noProof/>
                <w:webHidden/>
              </w:rPr>
              <w:instrText xml:space="preserve"> PAGEREF _Toc154576897 \h </w:instrText>
            </w:r>
            <w:r w:rsidR="002B5F26">
              <w:rPr>
                <w:noProof/>
                <w:webHidden/>
              </w:rPr>
            </w:r>
            <w:r w:rsidR="002B5F26">
              <w:rPr>
                <w:noProof/>
                <w:webHidden/>
              </w:rPr>
              <w:fldChar w:fldCharType="separate"/>
            </w:r>
            <w:r w:rsidR="002B5F26">
              <w:rPr>
                <w:noProof/>
                <w:webHidden/>
              </w:rPr>
              <w:t>4</w:t>
            </w:r>
            <w:r w:rsidR="002B5F26">
              <w:rPr>
                <w:noProof/>
                <w:webHidden/>
              </w:rPr>
              <w:fldChar w:fldCharType="end"/>
            </w:r>
          </w:hyperlink>
        </w:p>
        <w:p w14:paraId="2BA649F2" w14:textId="05D9992D" w:rsidR="002B5F2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54576898" w:history="1">
            <w:r w:rsidR="002B5F26" w:rsidRPr="000518D2">
              <w:rPr>
                <w:rStyle w:val="Hyperlink"/>
                <w:noProof/>
              </w:rPr>
              <w:t>Emotional State and Jamie's Confession</w:t>
            </w:r>
            <w:r w:rsidR="002B5F26">
              <w:rPr>
                <w:noProof/>
                <w:webHidden/>
              </w:rPr>
              <w:tab/>
            </w:r>
            <w:r w:rsidR="002B5F26">
              <w:rPr>
                <w:noProof/>
                <w:webHidden/>
              </w:rPr>
              <w:fldChar w:fldCharType="begin"/>
            </w:r>
            <w:r w:rsidR="002B5F26">
              <w:rPr>
                <w:noProof/>
                <w:webHidden/>
              </w:rPr>
              <w:instrText xml:space="preserve"> PAGEREF _Toc154576898 \h </w:instrText>
            </w:r>
            <w:r w:rsidR="002B5F26">
              <w:rPr>
                <w:noProof/>
                <w:webHidden/>
              </w:rPr>
            </w:r>
            <w:r w:rsidR="002B5F26">
              <w:rPr>
                <w:noProof/>
                <w:webHidden/>
              </w:rPr>
              <w:fldChar w:fldCharType="separate"/>
            </w:r>
            <w:r w:rsidR="002B5F26">
              <w:rPr>
                <w:noProof/>
                <w:webHidden/>
              </w:rPr>
              <w:t>5</w:t>
            </w:r>
            <w:r w:rsidR="002B5F26">
              <w:rPr>
                <w:noProof/>
                <w:webHidden/>
              </w:rPr>
              <w:fldChar w:fldCharType="end"/>
            </w:r>
          </w:hyperlink>
        </w:p>
        <w:p w14:paraId="256F86BB" w14:textId="325E028A" w:rsidR="002B5F2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54576899" w:history="1">
            <w:r w:rsidR="002B5F26" w:rsidRPr="000518D2">
              <w:rPr>
                <w:rStyle w:val="Hyperlink"/>
                <w:noProof/>
              </w:rPr>
              <w:t>Application of Case Law</w:t>
            </w:r>
            <w:r w:rsidR="002B5F26">
              <w:rPr>
                <w:noProof/>
                <w:webHidden/>
              </w:rPr>
              <w:tab/>
            </w:r>
            <w:r w:rsidR="002B5F26">
              <w:rPr>
                <w:noProof/>
                <w:webHidden/>
              </w:rPr>
              <w:fldChar w:fldCharType="begin"/>
            </w:r>
            <w:r w:rsidR="002B5F26">
              <w:rPr>
                <w:noProof/>
                <w:webHidden/>
              </w:rPr>
              <w:instrText xml:space="preserve"> PAGEREF _Toc154576899 \h </w:instrText>
            </w:r>
            <w:r w:rsidR="002B5F26">
              <w:rPr>
                <w:noProof/>
                <w:webHidden/>
              </w:rPr>
            </w:r>
            <w:r w:rsidR="002B5F26">
              <w:rPr>
                <w:noProof/>
                <w:webHidden/>
              </w:rPr>
              <w:fldChar w:fldCharType="separate"/>
            </w:r>
            <w:r w:rsidR="002B5F26">
              <w:rPr>
                <w:noProof/>
                <w:webHidden/>
              </w:rPr>
              <w:t>6</w:t>
            </w:r>
            <w:r w:rsidR="002B5F26">
              <w:rPr>
                <w:noProof/>
                <w:webHidden/>
              </w:rPr>
              <w:fldChar w:fldCharType="end"/>
            </w:r>
          </w:hyperlink>
        </w:p>
        <w:p w14:paraId="42908827" w14:textId="0E321B70" w:rsidR="002B5F2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54576900" w:history="1">
            <w:r w:rsidR="002B5F26" w:rsidRPr="000518D2">
              <w:rPr>
                <w:rStyle w:val="Hyperlink"/>
                <w:noProof/>
              </w:rPr>
              <w:t>Conclusion</w:t>
            </w:r>
            <w:r w:rsidR="002B5F26">
              <w:rPr>
                <w:noProof/>
                <w:webHidden/>
              </w:rPr>
              <w:tab/>
            </w:r>
            <w:r w:rsidR="002B5F26">
              <w:rPr>
                <w:noProof/>
                <w:webHidden/>
              </w:rPr>
              <w:fldChar w:fldCharType="begin"/>
            </w:r>
            <w:r w:rsidR="002B5F26">
              <w:rPr>
                <w:noProof/>
                <w:webHidden/>
              </w:rPr>
              <w:instrText xml:space="preserve"> PAGEREF _Toc154576900 \h </w:instrText>
            </w:r>
            <w:r w:rsidR="002B5F26">
              <w:rPr>
                <w:noProof/>
                <w:webHidden/>
              </w:rPr>
            </w:r>
            <w:r w:rsidR="002B5F26">
              <w:rPr>
                <w:noProof/>
                <w:webHidden/>
              </w:rPr>
              <w:fldChar w:fldCharType="separate"/>
            </w:r>
            <w:r w:rsidR="002B5F26">
              <w:rPr>
                <w:noProof/>
                <w:webHidden/>
              </w:rPr>
              <w:t>7</w:t>
            </w:r>
            <w:r w:rsidR="002B5F26">
              <w:rPr>
                <w:noProof/>
                <w:webHidden/>
              </w:rPr>
              <w:fldChar w:fldCharType="end"/>
            </w:r>
          </w:hyperlink>
        </w:p>
        <w:p w14:paraId="3DC4204D" w14:textId="07D3814B" w:rsidR="002B5F26" w:rsidRDefault="00000000">
          <w:pPr>
            <w:pStyle w:val="TOC1"/>
            <w:tabs>
              <w:tab w:val="right" w:leader="dot" w:pos="9016"/>
            </w:tabs>
            <w:rPr>
              <w:rFonts w:asciiTheme="minorHAnsi" w:eastAsiaTheme="minorEastAsia" w:hAnsiTheme="minorHAnsi"/>
              <w:noProof/>
              <w:kern w:val="0"/>
              <w:sz w:val="22"/>
              <w:lang w:val="en-IN" w:eastAsia="en-IN"/>
              <w14:ligatures w14:val="none"/>
            </w:rPr>
          </w:pPr>
          <w:hyperlink w:anchor="_Toc154576901" w:history="1">
            <w:r w:rsidR="002B5F26" w:rsidRPr="000518D2">
              <w:rPr>
                <w:rStyle w:val="Hyperlink"/>
                <w:noProof/>
              </w:rPr>
              <w:t>References</w:t>
            </w:r>
            <w:r w:rsidR="002B5F26">
              <w:rPr>
                <w:noProof/>
                <w:webHidden/>
              </w:rPr>
              <w:tab/>
            </w:r>
            <w:r w:rsidR="002B5F26">
              <w:rPr>
                <w:noProof/>
                <w:webHidden/>
              </w:rPr>
              <w:fldChar w:fldCharType="begin"/>
            </w:r>
            <w:r w:rsidR="002B5F26">
              <w:rPr>
                <w:noProof/>
                <w:webHidden/>
              </w:rPr>
              <w:instrText xml:space="preserve"> PAGEREF _Toc154576901 \h </w:instrText>
            </w:r>
            <w:r w:rsidR="002B5F26">
              <w:rPr>
                <w:noProof/>
                <w:webHidden/>
              </w:rPr>
            </w:r>
            <w:r w:rsidR="002B5F26">
              <w:rPr>
                <w:noProof/>
                <w:webHidden/>
              </w:rPr>
              <w:fldChar w:fldCharType="separate"/>
            </w:r>
            <w:r w:rsidR="002B5F26">
              <w:rPr>
                <w:noProof/>
                <w:webHidden/>
              </w:rPr>
              <w:t>8</w:t>
            </w:r>
            <w:r w:rsidR="002B5F26">
              <w:rPr>
                <w:noProof/>
                <w:webHidden/>
              </w:rPr>
              <w:fldChar w:fldCharType="end"/>
            </w:r>
          </w:hyperlink>
        </w:p>
        <w:p w14:paraId="4E1CE164" w14:textId="28180589" w:rsidR="00B313DB" w:rsidRDefault="00B313DB" w:rsidP="00B313DB">
          <w:pPr>
            <w:rPr>
              <w:b/>
              <w:bCs/>
              <w:noProof/>
            </w:rPr>
          </w:pPr>
          <w:r>
            <w:rPr>
              <w:b/>
              <w:bCs/>
              <w:noProof/>
            </w:rPr>
            <w:fldChar w:fldCharType="end"/>
          </w:r>
        </w:p>
      </w:sdtContent>
    </w:sdt>
    <w:p w14:paraId="29F8E4FF" w14:textId="79B92066" w:rsidR="00B313DB" w:rsidRPr="00B313DB" w:rsidRDefault="00B313DB" w:rsidP="00B313DB">
      <w:pPr>
        <w:rPr>
          <w:b/>
          <w:bCs/>
          <w:noProof/>
        </w:rPr>
      </w:pPr>
      <w:r>
        <w:br w:type="page"/>
      </w:r>
    </w:p>
    <w:p w14:paraId="2E447AAC" w14:textId="77777777" w:rsidR="00B313DB" w:rsidRDefault="00B313DB" w:rsidP="00B313DB">
      <w:pPr>
        <w:pStyle w:val="Heading1"/>
      </w:pPr>
      <w:bookmarkStart w:id="0" w:name="_Toc154576895"/>
      <w:r>
        <w:lastRenderedPageBreak/>
        <w:t>Introduction</w:t>
      </w:r>
      <w:bookmarkEnd w:id="0"/>
    </w:p>
    <w:p w14:paraId="5282EE58" w14:textId="13A70999" w:rsidR="00B313DB" w:rsidRDefault="000308DC" w:rsidP="00FD50E4">
      <w:r w:rsidRPr="000308DC">
        <w:t xml:space="preserve">Recent acts with the aid of Carla, in particular the stabbing of her partner Jamie, have raised questions about whether or now not she might be charged with a crime. To take a look at the components of the offence, feasible defences, and the ramifications of Carla's intellectual situation and Jamie's confession, this evaluation dives into applicable criminal regulation principles. Potential costs like grievous bodily harm (GBH) or attempted homicide come into prominence due to the fact the incident consists of a stabbing. The investigation of those offences necessitates a careful review of precedents and felony standards. Carla may additionally enhance defences like lack of manipulation or self-safety, every considered one of which has its very personal set of legal ramifications. Crucially, the manner she felt for the duration of the combat and Jamie's admission of adultery should </w:t>
      </w:r>
      <w:r w:rsidR="009E632B" w:rsidRPr="000308DC">
        <w:t>have</w:t>
      </w:r>
      <w:r w:rsidRPr="000308DC">
        <w:t xml:space="preserve"> an impact on the case. This assessment tries to offer readers an extensive draw near of Carla's possible criminal responsibility the use of pertinent crook law thoughts and figuring out the difficult dating among the prison components and the emotional dynamics</w:t>
      </w:r>
      <w:r w:rsidR="00A12A42">
        <w:t>.</w:t>
      </w:r>
    </w:p>
    <w:p w14:paraId="452027E5" w14:textId="6D789D97" w:rsidR="00962717" w:rsidRDefault="00962717" w:rsidP="00B313DB">
      <w:r>
        <w:br w:type="page"/>
      </w:r>
    </w:p>
    <w:p w14:paraId="41B926A9" w14:textId="61F9B703" w:rsidR="00962717" w:rsidRDefault="00962717" w:rsidP="00962717">
      <w:pPr>
        <w:pStyle w:val="Heading1"/>
        <w:rPr>
          <w:lang w:val="en-IN"/>
        </w:rPr>
      </w:pPr>
      <w:bookmarkStart w:id="1" w:name="_Toc154576896"/>
      <w:r w:rsidRPr="00962717">
        <w:lastRenderedPageBreak/>
        <w:t>Offen</w:t>
      </w:r>
      <w:r>
        <w:t>c</w:t>
      </w:r>
      <w:r w:rsidRPr="00962717">
        <w:t>es and Elements</w:t>
      </w:r>
      <w:bookmarkEnd w:id="1"/>
    </w:p>
    <w:p w14:paraId="4341E144" w14:textId="53EC5595" w:rsidR="00962717" w:rsidRPr="00962717" w:rsidRDefault="00962717" w:rsidP="00962717">
      <w:pPr>
        <w:rPr>
          <w:lang w:val="en-IN"/>
        </w:rPr>
      </w:pPr>
      <w:r w:rsidRPr="00962717">
        <w:rPr>
          <w:lang w:val="en-IN"/>
        </w:rPr>
        <w:t xml:space="preserve">Carla's actions—that is, </w:t>
      </w:r>
      <w:r w:rsidR="000308DC" w:rsidRPr="00962717">
        <w:rPr>
          <w:lang w:val="en-IN"/>
        </w:rPr>
        <w:t>sharp</w:t>
      </w:r>
      <w:r w:rsidRPr="00962717">
        <w:rPr>
          <w:lang w:val="en-IN"/>
        </w:rPr>
        <w:t xml:space="preserve"> Jamie—may result in accusations of attempted murder or grievous bodily harm (GBH), </w:t>
      </w:r>
      <w:r w:rsidR="009C03CF" w:rsidRPr="00962717">
        <w:rPr>
          <w:lang w:val="en-IN"/>
        </w:rPr>
        <w:t>respectively</w:t>
      </w:r>
      <w:r w:rsidRPr="00962717">
        <w:rPr>
          <w:lang w:val="en-IN"/>
        </w:rPr>
        <w:t xml:space="preserve"> of which has to have its components carefully considered.</w:t>
      </w:r>
    </w:p>
    <w:p w14:paraId="516BC525" w14:textId="52E87688" w:rsidR="00962717" w:rsidRPr="00962717" w:rsidRDefault="00962717" w:rsidP="00962717">
      <w:pPr>
        <w:rPr>
          <w:lang w:val="en-IN"/>
        </w:rPr>
      </w:pPr>
      <w:r w:rsidRPr="00962717">
        <w:rPr>
          <w:b/>
          <w:bCs/>
          <w:lang w:val="en-IN"/>
        </w:rPr>
        <w:t>GBH (s.20 Offences Against the Person Act 1861):</w:t>
      </w:r>
      <w:r w:rsidRPr="00962717">
        <w:rPr>
          <w:lang w:val="en-IN"/>
        </w:rPr>
        <w:t xml:space="preserve"> Jamie was gravely </w:t>
      </w:r>
      <w:r w:rsidR="000308DC" w:rsidRPr="00962717">
        <w:rPr>
          <w:lang w:val="en-IN"/>
        </w:rPr>
        <w:t>hurt</w:t>
      </w:r>
      <w:r w:rsidRPr="00962717">
        <w:rPr>
          <w:lang w:val="en-IN"/>
        </w:rPr>
        <w:t xml:space="preserve"> by Carla's stabbing, which </w:t>
      </w:r>
      <w:r w:rsidR="000308DC" w:rsidRPr="00962717">
        <w:rPr>
          <w:lang w:val="en-IN"/>
        </w:rPr>
        <w:t>certainly</w:t>
      </w:r>
      <w:r w:rsidRPr="00962717">
        <w:rPr>
          <w:lang w:val="en-IN"/>
        </w:rPr>
        <w:t xml:space="preserve"> qualifies as GBH</w:t>
      </w:r>
      <w:r w:rsidR="00F060B2">
        <w:rPr>
          <w:lang w:val="en-IN"/>
        </w:rPr>
        <w:t xml:space="preserve"> (</w:t>
      </w:r>
      <w:r w:rsidR="00F060B2" w:rsidRPr="00357985">
        <w:t>Gibson, 2020</w:t>
      </w:r>
      <w:r w:rsidR="00F060B2">
        <w:t>)</w:t>
      </w:r>
      <w:r w:rsidR="00F060B2" w:rsidRPr="00357985">
        <w:t>.</w:t>
      </w:r>
      <w:r w:rsidRPr="00962717">
        <w:rPr>
          <w:lang w:val="en-IN"/>
        </w:rPr>
        <w:t xml:space="preserve"> The Offences Against the Person Act 1861, Section 20, defines GBH as intentionally or carelessly inflicting grievous bodily injury. The legal precedent established in a pertinent case broadened the definition of gross bodily harm (GBH) beyond physical injury to include psychological suffering. If Jamie had serious psychological damage as a result of the assault, Carla's case for GBH may be strengthened even further</w:t>
      </w:r>
      <w:r w:rsidR="00F060B2">
        <w:rPr>
          <w:lang w:val="en-IN"/>
        </w:rPr>
        <w:t xml:space="preserve"> (</w:t>
      </w:r>
      <w:r w:rsidR="00F060B2" w:rsidRPr="00357985">
        <w:t>Morgan, 2018</w:t>
      </w:r>
      <w:r w:rsidR="00F060B2">
        <w:t>)</w:t>
      </w:r>
      <w:r w:rsidR="00F060B2" w:rsidRPr="00357985">
        <w:t>.</w:t>
      </w:r>
    </w:p>
    <w:p w14:paraId="24AD9B83" w14:textId="71C28229" w:rsidR="00962717" w:rsidRPr="00962717" w:rsidRDefault="00962717" w:rsidP="00962717">
      <w:pPr>
        <w:rPr>
          <w:lang w:val="en-IN"/>
        </w:rPr>
      </w:pPr>
      <w:r w:rsidRPr="00962717">
        <w:rPr>
          <w:b/>
          <w:bCs/>
          <w:lang w:val="en-IN"/>
        </w:rPr>
        <w:t>Attempted Murder (s.1 Criminal Attempts Act 1981):</w:t>
      </w:r>
      <w:r w:rsidRPr="00962717">
        <w:rPr>
          <w:lang w:val="en-IN"/>
        </w:rPr>
        <w:t xml:space="preserve"> The prosecution must prove Carla intended to kill Jamie </w:t>
      </w:r>
      <w:r w:rsidR="0042737C">
        <w:rPr>
          <w:lang w:val="en-IN"/>
        </w:rPr>
        <w:t>to</w:t>
      </w:r>
      <w:r w:rsidRPr="00962717">
        <w:rPr>
          <w:lang w:val="en-IN"/>
        </w:rPr>
        <w:t xml:space="preserve"> prove an attempted murder case. In a pertinent instance, the meaning of purpose in murder-related offences was made clear, and it was decided that mere reckless intent is sufficient to support such accusations. Carla's acts may qualify as attempted murder since they seem to have been motivated by a desire to kill, particularly when she used a knife at Jamie's chest</w:t>
      </w:r>
      <w:r w:rsidR="00F060B2">
        <w:rPr>
          <w:lang w:val="en-IN"/>
        </w:rPr>
        <w:t xml:space="preserve"> (</w:t>
      </w:r>
      <w:r w:rsidR="00F060B2" w:rsidRPr="00357985">
        <w:t>Dassama, 2020</w:t>
      </w:r>
      <w:r w:rsidR="00F060B2">
        <w:t>)</w:t>
      </w:r>
      <w:r w:rsidR="00F060B2" w:rsidRPr="00357985">
        <w:t>.</w:t>
      </w:r>
    </w:p>
    <w:p w14:paraId="3333B2D4" w14:textId="77777777" w:rsidR="00962717" w:rsidRPr="00962717" w:rsidRDefault="00962717" w:rsidP="00962717">
      <w:pPr>
        <w:rPr>
          <w:lang w:val="en-IN"/>
        </w:rPr>
      </w:pPr>
      <w:r w:rsidRPr="00962717">
        <w:rPr>
          <w:lang w:val="en-IN"/>
        </w:rPr>
        <w:t>It's important to understand that attempted murder highlights the motivation behind the crime, while GBH concentrates on the actual injury committed. Carla's intention would mostly depend on her mental state and the events that preceded the occurrence. The evaluation of Carla's mental state during the stabbing may take into account elements including the intense debate, emotional discomfort, and any previous threats or behaviours.</w:t>
      </w:r>
    </w:p>
    <w:p w14:paraId="49C684A4" w14:textId="3BE6D150" w:rsidR="00962717" w:rsidRDefault="00962717" w:rsidP="00962717">
      <w:pPr>
        <w:rPr>
          <w:lang w:val="en-IN"/>
        </w:rPr>
      </w:pPr>
      <w:r>
        <w:rPr>
          <w:lang w:val="en-IN"/>
        </w:rPr>
        <w:t>T</w:t>
      </w:r>
      <w:r w:rsidRPr="00962717">
        <w:rPr>
          <w:lang w:val="en-IN"/>
        </w:rPr>
        <w:t>he choice of Carla's mental state, the extent of Jamie's injuries, and the court's assessment of her intents in light of the incident's circumstances all play a role in determining whether or not she is held legally liable for GBH or attempted murder.</w:t>
      </w:r>
    </w:p>
    <w:p w14:paraId="0160D387" w14:textId="7ECC8330" w:rsidR="00962717" w:rsidRDefault="00962717" w:rsidP="00962717">
      <w:pPr>
        <w:pStyle w:val="Heading1"/>
        <w:rPr>
          <w:lang w:val="en-IN"/>
        </w:rPr>
      </w:pPr>
      <w:bookmarkStart w:id="2" w:name="_Toc154576897"/>
      <w:r>
        <w:t>Defences</w:t>
      </w:r>
      <w:bookmarkEnd w:id="2"/>
    </w:p>
    <w:p w14:paraId="162E4206" w14:textId="5CA79D88" w:rsidR="00962717" w:rsidRDefault="00962717" w:rsidP="00962717">
      <w:r>
        <w:t>If Carla is charged with a crime related to the stabbing, she may raise defences to lessen her responsibility.</w:t>
      </w:r>
    </w:p>
    <w:p w14:paraId="42EC84CC" w14:textId="5B9085DE" w:rsidR="00962717" w:rsidRDefault="00962717" w:rsidP="00962717">
      <w:r w:rsidRPr="00962717">
        <w:rPr>
          <w:b/>
          <w:bCs/>
        </w:rPr>
        <w:t>a. Self-</w:t>
      </w:r>
      <w:r w:rsidR="001B767C" w:rsidRPr="00962717">
        <w:rPr>
          <w:b/>
          <w:bCs/>
        </w:rPr>
        <w:t>Defence</w:t>
      </w:r>
      <w:r w:rsidRPr="00962717">
        <w:rPr>
          <w:b/>
          <w:bCs/>
        </w:rPr>
        <w:t xml:space="preserve"> (s.3 Criminal Law Act 1967):</w:t>
      </w:r>
      <w:r>
        <w:t xml:space="preserve"> Carla may be able to assert self-defence by this section. Carla must prove that she has a legitimate conviction that using force to defend herself </w:t>
      </w:r>
      <w:r>
        <w:lastRenderedPageBreak/>
        <w:t>or others is necessary to rely on this defence. Carla may have needed to show the validity of her self-defence during the heated disagreement if she had perceived a threat, as evidenced by pertinent case law that emphasises the subjective sense of impending danger</w:t>
      </w:r>
      <w:r w:rsidR="00AF06FA">
        <w:t xml:space="preserve"> (</w:t>
      </w:r>
      <w:r w:rsidR="00AF06FA" w:rsidRPr="00357985">
        <w:t>Dsouza, 2023</w:t>
      </w:r>
      <w:r w:rsidR="00AF06FA">
        <w:t>)</w:t>
      </w:r>
      <w:r w:rsidR="00AF06FA" w:rsidRPr="00357985">
        <w:t>.</w:t>
      </w:r>
    </w:p>
    <w:p w14:paraId="125C8F4E" w14:textId="5CCD972A" w:rsidR="00962717" w:rsidRDefault="00962717" w:rsidP="00962717">
      <w:r w:rsidRPr="00962717">
        <w:rPr>
          <w:b/>
          <w:bCs/>
        </w:rPr>
        <w:t>b. Loss of Control (s. 54 Coroners and Justice Act 2009):</w:t>
      </w:r>
      <w:r>
        <w:t xml:space="preserve"> Section 54 of the Coroners and Justice Act 2009 describes the partial defence of loss of control, which Carla may be able to use in light of her emotional condition during the conflict. If certain requirements are satisfied, this defence permits a decrease in the number of murder charges. Carla's emotional anguish upon discovering Jamie's affair seems to </w:t>
      </w:r>
      <w:r w:rsidR="009E632B">
        <w:t>fit</w:t>
      </w:r>
      <w:r>
        <w:t xml:space="preserve"> the qualifying triggers for this defence, which usually entails a fear of severe violence or a legitimate feeling of being badly mistreated, even in the absence of specific citations</w:t>
      </w:r>
      <w:r w:rsidR="00AF06FA">
        <w:t xml:space="preserve"> (</w:t>
      </w:r>
      <w:r w:rsidR="00AF06FA" w:rsidRPr="00357985">
        <w:t>Smith, 2020</w:t>
      </w:r>
      <w:r w:rsidR="00AF06FA">
        <w:t>)</w:t>
      </w:r>
      <w:r w:rsidR="00AF06FA" w:rsidRPr="00357985">
        <w:t>.</w:t>
      </w:r>
    </w:p>
    <w:p w14:paraId="6FB2312B" w14:textId="03F25671" w:rsidR="00CA6C9B" w:rsidRDefault="00962717" w:rsidP="00962717">
      <w:r>
        <w:t>Carla may be able to defend herself by using her subjective opinion that force is necessary for self-defence and by partially blaming her lack of control on her emotional condition at the time of the occurrence. If effectively argued, these defences could lessen Carla's responsibility by affecting the accusations made against her and the ensuing legal ramifications.</w:t>
      </w:r>
    </w:p>
    <w:p w14:paraId="333CA6A1" w14:textId="76216EAC" w:rsidR="0042737C" w:rsidRDefault="0042737C" w:rsidP="0042737C">
      <w:pPr>
        <w:pStyle w:val="Heading1"/>
      </w:pPr>
      <w:bookmarkStart w:id="3" w:name="_Toc154576898"/>
      <w:r w:rsidRPr="0042737C">
        <w:t>Emotional State and Jamie's Confession</w:t>
      </w:r>
      <w:bookmarkEnd w:id="3"/>
    </w:p>
    <w:p w14:paraId="3F0D122B" w14:textId="70472141" w:rsidR="0042737C" w:rsidRDefault="0042737C" w:rsidP="0042737C">
      <w:r>
        <w:t>A significant factor when assessing Carla's guilt for Jamie's stabbing is how she is feeling.</w:t>
      </w:r>
    </w:p>
    <w:p w14:paraId="07AD4A67" w14:textId="54F983AD" w:rsidR="0042737C" w:rsidRPr="0042737C" w:rsidRDefault="0042737C" w:rsidP="0042737C">
      <w:pPr>
        <w:rPr>
          <w:b/>
          <w:bCs/>
        </w:rPr>
      </w:pPr>
      <w:r w:rsidRPr="0042737C">
        <w:rPr>
          <w:b/>
          <w:bCs/>
        </w:rPr>
        <w:t>a. Loss of Control and Provocation:</w:t>
      </w:r>
      <w:r>
        <w:rPr>
          <w:b/>
          <w:bCs/>
        </w:rPr>
        <w:t xml:space="preserve"> </w:t>
      </w:r>
      <w:r>
        <w:t xml:space="preserve">Carla's feelings of grief and rage might play </w:t>
      </w:r>
      <w:r w:rsidR="009E632B">
        <w:t>a key role</w:t>
      </w:r>
      <w:r>
        <w:t xml:space="preserve"> in establishing the defence of loss of control. Legal principles underscore the significance of an abrupt and transient loss of self-control, which is emphasised by the loss of control defence</w:t>
      </w:r>
      <w:r w:rsidR="007F3749">
        <w:t xml:space="preserve"> (</w:t>
      </w:r>
      <w:r w:rsidR="007F3749" w:rsidRPr="002E18F6">
        <w:t>Buchhandler-Raphael, 2019</w:t>
      </w:r>
      <w:r w:rsidR="007F3749">
        <w:t>)</w:t>
      </w:r>
      <w:r w:rsidR="007F3749" w:rsidRPr="002E18F6">
        <w:t>.</w:t>
      </w:r>
      <w:r>
        <w:t xml:space="preserve"> In Carla's instance, Jamie's admission of adultery and her emotional difficulty throughout the encounter may have contributed to her abrupt loss of composure. Jamie's admission was inflammatory, which might bolster Carla's case for the loss of control defence</w:t>
      </w:r>
      <w:r w:rsidR="00AF06FA">
        <w:t xml:space="preserve"> (</w:t>
      </w:r>
      <w:r w:rsidR="00AF06FA" w:rsidRPr="00357985">
        <w:t>Sullivan, Crombag, and Child, 2021</w:t>
      </w:r>
      <w:r w:rsidR="00AF06FA">
        <w:t>)</w:t>
      </w:r>
      <w:r w:rsidR="00AF06FA" w:rsidRPr="00357985">
        <w:t>.</w:t>
      </w:r>
    </w:p>
    <w:p w14:paraId="3400256F" w14:textId="7FCDB816" w:rsidR="0042737C" w:rsidRDefault="0042737C" w:rsidP="0042737C">
      <w:r w:rsidRPr="0042737C">
        <w:rPr>
          <w:b/>
          <w:bCs/>
        </w:rPr>
        <w:t>b. Diminished Responsibility (s.2 Homicide Act 1957): </w:t>
      </w:r>
      <w:r>
        <w:t>Carla's mental condition has a bearing on whether or not she may use this defence. This defence is available if the defendant's mental functioning was abnormal at the time of the offence. Legal principles provide insight into the extent of lessened culpability without needing to be specifically specified. Carla's mental condition may have lessened her culpability for the stabbing if her emotional turmoil is a sign of an impairment in her mental functioning</w:t>
      </w:r>
      <w:r w:rsidR="007F3749">
        <w:t xml:space="preserve"> (</w:t>
      </w:r>
      <w:r w:rsidR="007F3749" w:rsidRPr="002E18F6">
        <w:t>Catley, 2019</w:t>
      </w:r>
      <w:r w:rsidR="007F3749">
        <w:t>)</w:t>
      </w:r>
      <w:r w:rsidR="007F3749" w:rsidRPr="002E18F6">
        <w:t>.</w:t>
      </w:r>
    </w:p>
    <w:p w14:paraId="390D68B9" w14:textId="15D97AC6" w:rsidR="0042737C" w:rsidRDefault="0042737C" w:rsidP="0042737C">
      <w:r>
        <w:t xml:space="preserve">Carla's emotional state—which is characterised by despair and anger—introduces the defences of lessened responsibility and loss of control. Jamie's confession is </w:t>
      </w:r>
      <w:r w:rsidR="00867245">
        <w:t>related</w:t>
      </w:r>
      <w:r>
        <w:t xml:space="preserve"> because it is a </w:t>
      </w:r>
      <w:r>
        <w:lastRenderedPageBreak/>
        <w:t xml:space="preserve">provocative conduct that is consistent with legal doctrine that highlights the </w:t>
      </w:r>
      <w:r w:rsidR="00867245">
        <w:t>unexpected</w:t>
      </w:r>
      <w:r>
        <w:t xml:space="preserve"> and transient character of a lack of self-control. Carla's total guilt in the stabbing event would depend on whether or not she had an abnormal mental functioning disorder, which is something to take into account while evaluating her mental condition via the reduced responsibility lens.</w:t>
      </w:r>
    </w:p>
    <w:p w14:paraId="44A832AA" w14:textId="4DF02E7E" w:rsidR="0042737C" w:rsidRDefault="0042737C" w:rsidP="0042737C">
      <w:pPr>
        <w:pStyle w:val="Heading1"/>
      </w:pPr>
      <w:bookmarkStart w:id="4" w:name="_Toc154576899"/>
      <w:r w:rsidRPr="0042737C">
        <w:t>Application of Case Law</w:t>
      </w:r>
      <w:bookmarkEnd w:id="4"/>
    </w:p>
    <w:p w14:paraId="3523091C" w14:textId="77777777" w:rsidR="00FD50E4" w:rsidRDefault="00FD50E4" w:rsidP="00FD50E4">
      <w:r>
        <w:t>Carla's legal role can be bolstered by considering applicable case regulation that gives perception into ability defences and mitigating factors in her scenario.</w:t>
      </w:r>
    </w:p>
    <w:p w14:paraId="1C215582" w14:textId="0E8B33BB" w:rsidR="00FD50E4" w:rsidRDefault="00FD50E4" w:rsidP="00FD50E4">
      <w:r>
        <w:t xml:space="preserve">Carla may invoke the defence of self-defence, aligning with the standards installed in a case emphasising the subjective perception of the accused in the necessity of pressure for self-defence. In Carla's case, the emotional </w:t>
      </w:r>
      <w:r w:rsidR="009E632B">
        <w:t>distress,</w:t>
      </w:r>
      <w:r>
        <w:t xml:space="preserve"> and the perceived hazard to her well-being in the course of the war of words should support her claim that she acted in the proper perception of coming near hazards. This subjective angle is crucial in determining self-defence's legitimacy as a mitigating component.</w:t>
      </w:r>
    </w:p>
    <w:p w14:paraId="45DA2A01" w14:textId="77777777" w:rsidR="00FD50E4" w:rsidRDefault="00FD50E4" w:rsidP="00FD50E4">
      <w:r>
        <w:t>The confession made by using Jamie during the argument holds significance in light of any other case that clarified the qualifying triggers for the lack of managed defence. If Jamie's admission of infidelity is considered a provocative act that precipitated Carla's sudden and transient lack of self-control, this will become pertinent. The case establishes that the defendant needs to have acted in response to a worry of great violence or a justifiable experience of being seriously wronged. In Carla's case, the revelation of infidelity ought to moderately be perceived as a justifiable trigger, potentially strengthening her argument for the lack of manipulation defence (Edwards, 2016).</w:t>
      </w:r>
    </w:p>
    <w:p w14:paraId="5D8A30AB" w14:textId="5A0A1723" w:rsidR="00FD50E4" w:rsidRDefault="00FD50E4" w:rsidP="00FD50E4">
      <w:r>
        <w:t xml:space="preserve">Furthermore, Jamie's admission of infidelity introduces a detail of provocation, paying homage to situations wherein provocation mitigated the offence. In this context, Carla's emotional response to Jamie's confession aligns with the ideas, providing precedent for considering provocation as a mitigating factor. The court </w:t>
      </w:r>
      <w:r w:rsidR="000308DC">
        <w:t>label</w:t>
      </w:r>
      <w:r>
        <w:t xml:space="preserve"> can also verify whether or not Jamie's admission amounted to </w:t>
      </w:r>
      <w:r w:rsidR="000308DC">
        <w:t>enough</w:t>
      </w:r>
      <w:r>
        <w:t xml:space="preserve"> provocation, contributing to Carla's emotional state and, consequently, her </w:t>
      </w:r>
      <w:r w:rsidR="000308DC">
        <w:t>fault</w:t>
      </w:r>
      <w:r>
        <w:t>.</w:t>
      </w:r>
    </w:p>
    <w:p w14:paraId="1979F4D4" w14:textId="376BA7F1" w:rsidR="00FD50E4" w:rsidRDefault="00FD50E4" w:rsidP="00FD50E4">
      <w:r>
        <w:t xml:space="preserve">Considering </w:t>
      </w:r>
      <w:r w:rsidR="000308DC">
        <w:t>appropriate</w:t>
      </w:r>
      <w:r>
        <w:t xml:space="preserve"> case law provides a felony framework for information </w:t>
      </w:r>
      <w:r w:rsidR="00855369">
        <w:t xml:space="preserve">on </w:t>
      </w:r>
      <w:r>
        <w:t xml:space="preserve">Carla's </w:t>
      </w:r>
      <w:r w:rsidR="000308DC">
        <w:t>competence</w:t>
      </w:r>
      <w:r>
        <w:t xml:space="preserve"> defences. The subjective </w:t>
      </w:r>
      <w:r w:rsidR="00A352CA">
        <w:t>trust</w:t>
      </w:r>
      <w:r>
        <w:t xml:space="preserve"> in self-defence, loss of </w:t>
      </w:r>
      <w:r w:rsidR="000308DC">
        <w:t>operation</w:t>
      </w:r>
      <w:r>
        <w:t xml:space="preserve"> </w:t>
      </w:r>
      <w:r w:rsidR="00A352CA">
        <w:t>activated</w:t>
      </w:r>
      <w:r>
        <w:t xml:space="preserve"> with the aid of a provocative act, and the </w:t>
      </w:r>
      <w:r w:rsidR="00A352CA">
        <w:t>modifying</w:t>
      </w:r>
      <w:r>
        <w:t xml:space="preserve"> impact of provocation are </w:t>
      </w:r>
      <w:r w:rsidR="009E632B">
        <w:t>critical issues</w:t>
      </w:r>
      <w:r>
        <w:t xml:space="preserve"> in evaluating Carla's legal </w:t>
      </w:r>
      <w:r w:rsidR="00A352CA">
        <w:t>situation</w:t>
      </w:r>
      <w:r>
        <w:t xml:space="preserve"> in the stabbing incident related to Jamie.</w:t>
      </w:r>
    </w:p>
    <w:p w14:paraId="76B22149" w14:textId="77777777" w:rsidR="00FD50E4" w:rsidRDefault="00FD50E4" w:rsidP="00FD50E4">
      <w:r>
        <w:lastRenderedPageBreak/>
        <w:t> </w:t>
      </w:r>
    </w:p>
    <w:p w14:paraId="2AB3D72C" w14:textId="77777777" w:rsidR="00FD50E4" w:rsidRDefault="00FD50E4" w:rsidP="00FD50E4">
      <w:pPr>
        <w:pStyle w:val="Heading1"/>
      </w:pPr>
      <w:bookmarkStart w:id="5" w:name="_Toc154576900"/>
      <w:r>
        <w:t>Conclusion</w:t>
      </w:r>
      <w:bookmarkEnd w:id="5"/>
    </w:p>
    <w:p w14:paraId="7CDE6489" w14:textId="1DBCAE19" w:rsidR="00A352CA" w:rsidRPr="00A352CA" w:rsidRDefault="00A352CA" w:rsidP="00A352CA">
      <w:pPr>
        <w:rPr>
          <w:lang w:val="en-IN"/>
        </w:rPr>
      </w:pPr>
      <w:r w:rsidRPr="00A352CA">
        <w:rPr>
          <w:lang w:val="en-IN"/>
        </w:rPr>
        <w:t xml:space="preserve">In conclusion, an </w:t>
      </w:r>
      <w:r w:rsidR="00855369">
        <w:rPr>
          <w:lang w:val="en-IN"/>
        </w:rPr>
        <w:t>in-depth</w:t>
      </w:r>
      <w:r w:rsidRPr="00A352CA">
        <w:rPr>
          <w:lang w:val="en-IN"/>
        </w:rPr>
        <w:t xml:space="preserve"> analysis of the offences, defences, and complicated interactions between Carla's mental situation and Jamie's confession will decide whether or now not she faces crook expenses. The legal evaluation serves as the premise for understanding the intricacy of her </w:t>
      </w:r>
      <w:r w:rsidR="00855369">
        <w:rPr>
          <w:lang w:val="en-IN"/>
        </w:rPr>
        <w:t>behaviour</w:t>
      </w:r>
      <w:r w:rsidRPr="00A352CA">
        <w:rPr>
          <w:lang w:val="en-IN"/>
        </w:rPr>
        <w:t xml:space="preserve"> due to the fact it is based totally on pertinent case regulation. The viable charges require a careful assessment of prison additives, irrespective of whether or not </w:t>
      </w:r>
      <w:r w:rsidR="001B767C" w:rsidRPr="00A352CA">
        <w:rPr>
          <w:lang w:val="en-IN"/>
        </w:rPr>
        <w:t>they are</w:t>
      </w:r>
      <w:r w:rsidRPr="00A352CA">
        <w:rPr>
          <w:lang w:val="en-IN"/>
        </w:rPr>
        <w:t xml:space="preserve"> for attempted homicide or excessive physical damage. Carla has several defences at her disposal, </w:t>
      </w:r>
      <w:r>
        <w:rPr>
          <w:lang w:val="en-IN"/>
        </w:rPr>
        <w:t xml:space="preserve">a </w:t>
      </w:r>
      <w:r w:rsidRPr="00A352CA">
        <w:rPr>
          <w:lang w:val="en-IN"/>
        </w:rPr>
        <w:t xml:space="preserve">maximum </w:t>
      </w:r>
      <w:r>
        <w:rPr>
          <w:lang w:val="en-IN"/>
        </w:rPr>
        <w:t>substantial</w:t>
      </w:r>
      <w:r w:rsidRPr="00A352CA">
        <w:rPr>
          <w:lang w:val="en-IN"/>
        </w:rPr>
        <w:t xml:space="preserve"> lack of control and self-protection, which add </w:t>
      </w:r>
      <w:r>
        <w:rPr>
          <w:lang w:val="en-IN"/>
        </w:rPr>
        <w:t xml:space="preserve">to </w:t>
      </w:r>
      <w:r w:rsidR="00855369">
        <w:rPr>
          <w:lang w:val="en-IN"/>
        </w:rPr>
        <w:t>self-defence</w:t>
      </w:r>
      <w:r>
        <w:rPr>
          <w:lang w:val="en-IN"/>
        </w:rPr>
        <w:t xml:space="preserve"> on</w:t>
      </w:r>
      <w:r w:rsidRPr="00A352CA">
        <w:rPr>
          <w:lang w:val="en-IN"/>
        </w:rPr>
        <w:t xml:space="preserve"> issues entwined with the emotional state of affairs. The storey and viable arguments are shaped considerably by way of the invention of Jamie's adultery. The courtroom must strike a cautious stability </w:t>
      </w:r>
      <w:r>
        <w:rPr>
          <w:lang w:val="en-IN"/>
        </w:rPr>
        <w:t>between</w:t>
      </w:r>
      <w:r w:rsidRPr="00A352CA">
        <w:rPr>
          <w:lang w:val="en-IN"/>
        </w:rPr>
        <w:t xml:space="preserve"> making use of the law and considering the human elements that brought about Carla's behaviour when it weighs the proof. This all-inclusive strategy recognises the complexity of the case and ensures a nuanced view of her criminal liability. The fees and Carla's level of guilt will in the end be decided </w:t>
      </w:r>
      <w:r>
        <w:rPr>
          <w:lang w:val="en-IN"/>
        </w:rPr>
        <w:t>using</w:t>
      </w:r>
      <w:r w:rsidRPr="00A352CA">
        <w:rPr>
          <w:lang w:val="en-IN"/>
        </w:rPr>
        <w:t xml:space="preserve"> the court docket's ruling, highlighting the complex interplay among the criminal requirements and the psychological complexities of this precise case</w:t>
      </w:r>
      <w:r w:rsidR="008609D9">
        <w:rPr>
          <w:lang w:val="en-IN"/>
        </w:rPr>
        <w:t>.</w:t>
      </w:r>
    </w:p>
    <w:p w14:paraId="5B47EF5F" w14:textId="62C15FAD" w:rsidR="00B313DB" w:rsidRDefault="00B313DB" w:rsidP="00FD50E4"/>
    <w:p w14:paraId="4ACC4B57" w14:textId="77777777" w:rsidR="00B313DB" w:rsidRDefault="00B313DB">
      <w:pPr>
        <w:spacing w:line="259" w:lineRule="auto"/>
        <w:jc w:val="left"/>
      </w:pPr>
      <w:r>
        <w:br w:type="page"/>
      </w:r>
    </w:p>
    <w:p w14:paraId="6752F017" w14:textId="5554A6FA" w:rsidR="00B313DB" w:rsidRDefault="00B313DB" w:rsidP="00B313DB">
      <w:pPr>
        <w:pStyle w:val="Heading1"/>
      </w:pPr>
      <w:bookmarkStart w:id="6" w:name="_Toc154576901"/>
      <w:r>
        <w:lastRenderedPageBreak/>
        <w:t>References</w:t>
      </w:r>
      <w:bookmarkEnd w:id="6"/>
    </w:p>
    <w:p w14:paraId="6E601DA3" w14:textId="77777777" w:rsidR="007F3749" w:rsidRDefault="007F3749" w:rsidP="007F3749">
      <w:r w:rsidRPr="002E18F6">
        <w:t xml:space="preserve">Buchhandler-Raphael, M., </w:t>
      </w:r>
      <w:r>
        <w:t>(</w:t>
      </w:r>
      <w:r w:rsidRPr="002E18F6">
        <w:t>2019</w:t>
      </w:r>
      <w:r>
        <w:t>)</w:t>
      </w:r>
      <w:r w:rsidRPr="002E18F6">
        <w:t>. Loss of self-control, dual-process theories, and provocation. </w:t>
      </w:r>
      <w:r w:rsidRPr="002E18F6">
        <w:rPr>
          <w:i/>
          <w:iCs/>
        </w:rPr>
        <w:t>Fordham L. Rev.</w:t>
      </w:r>
      <w:r w:rsidRPr="002E18F6">
        <w:t>, </w:t>
      </w:r>
      <w:r w:rsidRPr="002E18F6">
        <w:rPr>
          <w:i/>
          <w:iCs/>
        </w:rPr>
        <w:t>88</w:t>
      </w:r>
      <w:r w:rsidRPr="002E18F6">
        <w:t>, p.1815.</w:t>
      </w:r>
    </w:p>
    <w:p w14:paraId="785DD7D8" w14:textId="3D6A565C" w:rsidR="007F3749" w:rsidRDefault="007F3749" w:rsidP="007F3749">
      <w:r w:rsidRPr="002E18F6">
        <w:t xml:space="preserve">Catley, P., </w:t>
      </w:r>
      <w:r>
        <w:t>(</w:t>
      </w:r>
      <w:r w:rsidRPr="002E18F6">
        <w:t>2019</w:t>
      </w:r>
      <w:r>
        <w:t>)</w:t>
      </w:r>
      <w:r w:rsidRPr="002E18F6">
        <w:t xml:space="preserve">. Personality change, criminal </w:t>
      </w:r>
      <w:r w:rsidR="009E632B" w:rsidRPr="002E18F6">
        <w:t>responsibility,</w:t>
      </w:r>
      <w:r w:rsidRPr="002E18F6">
        <w:t xml:space="preserve"> and diminished capacity.</w:t>
      </w:r>
    </w:p>
    <w:p w14:paraId="432E6D62" w14:textId="77777777" w:rsidR="007F3749" w:rsidRDefault="007F3749" w:rsidP="007F3749">
      <w:r w:rsidRPr="00357985">
        <w:t xml:space="preserve">Dassama, M., </w:t>
      </w:r>
      <w:r>
        <w:t>(</w:t>
      </w:r>
      <w:r w:rsidRPr="00357985">
        <w:t>2020</w:t>
      </w:r>
      <w:r>
        <w:t>)</w:t>
      </w:r>
      <w:r w:rsidRPr="00357985">
        <w:t>. </w:t>
      </w:r>
      <w:r w:rsidRPr="002E18F6">
        <w:rPr>
          <w:i/>
          <w:iCs/>
        </w:rPr>
        <w:t>A Dialectic Approach to Criminal Law</w:t>
      </w:r>
      <w:r w:rsidRPr="00357985">
        <w:t>. Xlibris Corporation.</w:t>
      </w:r>
    </w:p>
    <w:p w14:paraId="67272270" w14:textId="77777777" w:rsidR="007F3749" w:rsidRDefault="007F3749" w:rsidP="007F3749">
      <w:r w:rsidRPr="00357985">
        <w:t xml:space="preserve">Dsouza, M., </w:t>
      </w:r>
      <w:r>
        <w:t>(</w:t>
      </w:r>
      <w:r w:rsidRPr="00357985">
        <w:t>2023</w:t>
      </w:r>
      <w:r>
        <w:t>)</w:t>
      </w:r>
      <w:r w:rsidRPr="00357985">
        <w:t>. Justifications and Rights-Displacements. </w:t>
      </w:r>
      <w:r w:rsidRPr="002E18F6">
        <w:rPr>
          <w:i/>
          <w:iCs/>
        </w:rPr>
        <w:t>Criminal Law and Philosophy</w:t>
      </w:r>
      <w:r w:rsidRPr="00357985">
        <w:t>, pp.1-17.</w:t>
      </w:r>
    </w:p>
    <w:p w14:paraId="63611AB9" w14:textId="77777777" w:rsidR="007F3749" w:rsidRDefault="007F3749" w:rsidP="007F3749">
      <w:r w:rsidRPr="002E18F6">
        <w:t xml:space="preserve">Edwards, S.S., </w:t>
      </w:r>
      <w:r>
        <w:t>(</w:t>
      </w:r>
      <w:r w:rsidRPr="002E18F6">
        <w:t>2016</w:t>
      </w:r>
      <w:r>
        <w:t>)</w:t>
      </w:r>
      <w:r w:rsidRPr="002E18F6">
        <w:t>. Loss of self-control: When his anger is worth more than her fear. In </w:t>
      </w:r>
      <w:r w:rsidRPr="002E18F6">
        <w:rPr>
          <w:i/>
          <w:iCs/>
        </w:rPr>
        <w:t>Loss of Control and Diminished Responsibility</w:t>
      </w:r>
      <w:r w:rsidRPr="002E18F6">
        <w:t> (pp. 79-96). Routledge.</w:t>
      </w:r>
    </w:p>
    <w:p w14:paraId="1F4B0499" w14:textId="77777777" w:rsidR="007F3749" w:rsidRDefault="007F3749" w:rsidP="007F3749">
      <w:r w:rsidRPr="00357985">
        <w:t xml:space="preserve">Gibson, R.B., </w:t>
      </w:r>
      <w:r>
        <w:t>(</w:t>
      </w:r>
      <w:r w:rsidRPr="00357985">
        <w:t>2020</w:t>
      </w:r>
      <w:r>
        <w:t>)</w:t>
      </w:r>
      <w:r w:rsidRPr="00357985">
        <w:t>. No harm, no foul? Body integrity identity disorder and the metaphysics of grievous bodily harm. </w:t>
      </w:r>
      <w:r w:rsidRPr="002E18F6">
        <w:rPr>
          <w:i/>
          <w:iCs/>
        </w:rPr>
        <w:t>Medical Law International</w:t>
      </w:r>
      <w:r w:rsidRPr="00357985">
        <w:t>, </w:t>
      </w:r>
      <w:r w:rsidRPr="002E18F6">
        <w:rPr>
          <w:i/>
          <w:iCs/>
        </w:rPr>
        <w:t>20</w:t>
      </w:r>
      <w:r w:rsidRPr="00357985">
        <w:t>(1), pp.73-96.</w:t>
      </w:r>
    </w:p>
    <w:p w14:paraId="1BFC2FCF" w14:textId="77777777" w:rsidR="007F3749" w:rsidRDefault="007F3749" w:rsidP="007F3749">
      <w:r w:rsidRPr="00357985">
        <w:t xml:space="preserve">Morgan, J., </w:t>
      </w:r>
      <w:r>
        <w:t>(</w:t>
      </w:r>
      <w:r w:rsidRPr="00357985">
        <w:t>2018</w:t>
      </w:r>
      <w:r>
        <w:t>)</w:t>
      </w:r>
      <w:r w:rsidRPr="00357985">
        <w:t>. Offences against the Person and Sexually Transmitted Diseases: Aubrey v the Queen (2017) 260 CLR 305. </w:t>
      </w:r>
      <w:r w:rsidRPr="002E18F6">
        <w:rPr>
          <w:i/>
          <w:iCs/>
        </w:rPr>
        <w:t>Adel. L. Rev.</w:t>
      </w:r>
      <w:r w:rsidRPr="00357985">
        <w:t>, </w:t>
      </w:r>
      <w:r w:rsidRPr="002E18F6">
        <w:rPr>
          <w:i/>
          <w:iCs/>
        </w:rPr>
        <w:t>39</w:t>
      </w:r>
      <w:r w:rsidRPr="00357985">
        <w:t>, p.207.</w:t>
      </w:r>
    </w:p>
    <w:p w14:paraId="34C2E3F4" w14:textId="77777777" w:rsidR="007F3749" w:rsidRDefault="007F3749" w:rsidP="007F3749">
      <w:r w:rsidRPr="00357985">
        <w:t xml:space="preserve">Smith, F.O., </w:t>
      </w:r>
      <w:r>
        <w:t>(</w:t>
      </w:r>
      <w:r w:rsidRPr="00357985">
        <w:t>2020</w:t>
      </w:r>
      <w:r>
        <w:t>)</w:t>
      </w:r>
      <w:r w:rsidRPr="00357985">
        <w:t>. The Constitution After Death. </w:t>
      </w:r>
      <w:r w:rsidRPr="002E18F6">
        <w:rPr>
          <w:i/>
          <w:iCs/>
        </w:rPr>
        <w:t>Columbia Law Review</w:t>
      </w:r>
      <w:r w:rsidRPr="00357985">
        <w:t>, </w:t>
      </w:r>
      <w:r w:rsidRPr="002E18F6">
        <w:rPr>
          <w:i/>
          <w:iCs/>
        </w:rPr>
        <w:t>120</w:t>
      </w:r>
      <w:r w:rsidRPr="00357985">
        <w:t>(6), pp.1471-1548.</w:t>
      </w:r>
    </w:p>
    <w:p w14:paraId="4F003025" w14:textId="7AFFC57D" w:rsidR="00B313DB" w:rsidRPr="00B313DB" w:rsidRDefault="007F3749" w:rsidP="00B313DB">
      <w:r w:rsidRPr="00357985">
        <w:t xml:space="preserve">Sullivan, G.R., Crombag, H.S. and Child, J.J., </w:t>
      </w:r>
      <w:r>
        <w:t>(</w:t>
      </w:r>
      <w:r w:rsidRPr="00357985">
        <w:t>2021</w:t>
      </w:r>
      <w:r>
        <w:t>)</w:t>
      </w:r>
      <w:r w:rsidRPr="00357985">
        <w:t>. Loss of control in the appeal courts. </w:t>
      </w:r>
      <w:r w:rsidRPr="002E18F6">
        <w:rPr>
          <w:i/>
          <w:iCs/>
        </w:rPr>
        <w:t>N. Ir. Legal Q.</w:t>
      </w:r>
      <w:r w:rsidRPr="00357985">
        <w:t>, </w:t>
      </w:r>
      <w:r w:rsidRPr="002E18F6">
        <w:rPr>
          <w:i/>
          <w:iCs/>
        </w:rPr>
        <w:t>72</w:t>
      </w:r>
      <w:r w:rsidRPr="00357985">
        <w:t>, p.200.</w:t>
      </w:r>
    </w:p>
    <w:sectPr w:rsidR="00B313DB" w:rsidRPr="00B313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2321" w14:textId="77777777" w:rsidR="00227142" w:rsidRDefault="00227142" w:rsidP="00B313DB">
      <w:pPr>
        <w:spacing w:after="0" w:line="240" w:lineRule="auto"/>
      </w:pPr>
      <w:r>
        <w:separator/>
      </w:r>
    </w:p>
  </w:endnote>
  <w:endnote w:type="continuationSeparator" w:id="0">
    <w:p w14:paraId="5A92A856" w14:textId="77777777" w:rsidR="00227142" w:rsidRDefault="00227142" w:rsidP="00B31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198348"/>
      <w:docPartObj>
        <w:docPartGallery w:val="Page Numbers (Bottom of Page)"/>
        <w:docPartUnique/>
      </w:docPartObj>
    </w:sdtPr>
    <w:sdtEndPr>
      <w:rPr>
        <w:noProof/>
      </w:rPr>
    </w:sdtEndPr>
    <w:sdtContent>
      <w:p w14:paraId="6B1CECB4" w14:textId="6DC18EDC" w:rsidR="00B313DB" w:rsidRDefault="00B313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13E12" w14:textId="77777777" w:rsidR="00B313DB" w:rsidRDefault="00B31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A2F5E" w14:textId="77777777" w:rsidR="00227142" w:rsidRDefault="00227142" w:rsidP="00B313DB">
      <w:pPr>
        <w:spacing w:after="0" w:line="240" w:lineRule="auto"/>
      </w:pPr>
      <w:r>
        <w:separator/>
      </w:r>
    </w:p>
  </w:footnote>
  <w:footnote w:type="continuationSeparator" w:id="0">
    <w:p w14:paraId="0A8CFF6A" w14:textId="77777777" w:rsidR="00227142" w:rsidRDefault="00227142" w:rsidP="00B313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717"/>
    <w:rsid w:val="000308DC"/>
    <w:rsid w:val="001B767C"/>
    <w:rsid w:val="002016B1"/>
    <w:rsid w:val="00227142"/>
    <w:rsid w:val="002B5F26"/>
    <w:rsid w:val="0042737C"/>
    <w:rsid w:val="004E4268"/>
    <w:rsid w:val="0066465C"/>
    <w:rsid w:val="00664B5B"/>
    <w:rsid w:val="006D5BE5"/>
    <w:rsid w:val="007A58D9"/>
    <w:rsid w:val="007F3749"/>
    <w:rsid w:val="00855369"/>
    <w:rsid w:val="008609D9"/>
    <w:rsid w:val="00867245"/>
    <w:rsid w:val="009263E4"/>
    <w:rsid w:val="00962717"/>
    <w:rsid w:val="009C03CF"/>
    <w:rsid w:val="009E632B"/>
    <w:rsid w:val="00A12A42"/>
    <w:rsid w:val="00A20E31"/>
    <w:rsid w:val="00A352CA"/>
    <w:rsid w:val="00A8716A"/>
    <w:rsid w:val="00AB6207"/>
    <w:rsid w:val="00AF05AC"/>
    <w:rsid w:val="00AF06FA"/>
    <w:rsid w:val="00B07A70"/>
    <w:rsid w:val="00B313DB"/>
    <w:rsid w:val="00B56538"/>
    <w:rsid w:val="00BF566E"/>
    <w:rsid w:val="00CA6C9B"/>
    <w:rsid w:val="00DC6940"/>
    <w:rsid w:val="00DF4CC5"/>
    <w:rsid w:val="00F060B2"/>
    <w:rsid w:val="00F667D0"/>
    <w:rsid w:val="00FD50E4"/>
    <w:rsid w:val="00FE1E05"/>
    <w:rsid w:val="00FF7FE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04E1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8D9"/>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AF05AC"/>
    <w:pPr>
      <w:keepNext/>
      <w:keepLines/>
      <w:spacing w:before="240" w:after="0"/>
      <w:outlineLvl w:val="0"/>
    </w:pPr>
    <w:rPr>
      <w:rFonts w:eastAsiaTheme="majorEastAsia" w:cstheme="majorBidi"/>
      <w:b/>
      <w:sz w:val="36"/>
      <w:szCs w:val="29"/>
    </w:rPr>
  </w:style>
  <w:style w:type="paragraph" w:styleId="Heading2">
    <w:name w:val="heading 2"/>
    <w:basedOn w:val="Normal"/>
    <w:next w:val="Normal"/>
    <w:link w:val="Heading2Char"/>
    <w:autoRedefine/>
    <w:uiPriority w:val="9"/>
    <w:unhideWhenUsed/>
    <w:qFormat/>
    <w:rsid w:val="00DF4CC5"/>
    <w:pPr>
      <w:keepNext/>
      <w:keepLines/>
      <w:spacing w:before="40" w:after="0"/>
      <w:outlineLvl w:val="1"/>
    </w:pPr>
    <w:rPr>
      <w:rFonts w:eastAsiaTheme="majorEastAsia" w:cstheme="majorBidi"/>
      <w:b/>
      <w:sz w:val="32"/>
      <w:szCs w:val="23"/>
    </w:rPr>
  </w:style>
  <w:style w:type="paragraph" w:styleId="Heading3">
    <w:name w:val="heading 3"/>
    <w:basedOn w:val="Normal"/>
    <w:next w:val="Normal"/>
    <w:link w:val="Heading3Char"/>
    <w:uiPriority w:val="9"/>
    <w:unhideWhenUsed/>
    <w:qFormat/>
    <w:rsid w:val="00664B5B"/>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5AC"/>
    <w:rPr>
      <w:rFonts w:ascii="Times New Roman" w:eastAsiaTheme="majorEastAsia" w:hAnsi="Times New Roman" w:cstheme="majorBidi"/>
      <w:b/>
      <w:sz w:val="36"/>
      <w:szCs w:val="29"/>
    </w:rPr>
  </w:style>
  <w:style w:type="paragraph" w:styleId="Title">
    <w:name w:val="Title"/>
    <w:basedOn w:val="Heading3"/>
    <w:next w:val="Normal"/>
    <w:link w:val="TitleChar"/>
    <w:uiPriority w:val="10"/>
    <w:qFormat/>
    <w:rsid w:val="00AF05AC"/>
    <w:pPr>
      <w:spacing w:line="240" w:lineRule="auto"/>
      <w:contextualSpacing/>
    </w:pPr>
    <w:rPr>
      <w:b w:val="0"/>
      <w:spacing w:val="-10"/>
      <w:kern w:val="28"/>
      <w:szCs w:val="50"/>
    </w:rPr>
  </w:style>
  <w:style w:type="character" w:customStyle="1" w:styleId="TitleChar">
    <w:name w:val="Title Char"/>
    <w:basedOn w:val="DefaultParagraphFont"/>
    <w:link w:val="Title"/>
    <w:uiPriority w:val="10"/>
    <w:rsid w:val="00AF05AC"/>
    <w:rPr>
      <w:rFonts w:ascii="Times New Roman" w:eastAsiaTheme="majorEastAsia" w:hAnsi="Times New Roman" w:cstheme="majorBidi"/>
      <w:b/>
      <w:spacing w:val="-10"/>
      <w:kern w:val="28"/>
      <w:sz w:val="28"/>
      <w:szCs w:val="50"/>
    </w:rPr>
  </w:style>
  <w:style w:type="character" w:customStyle="1" w:styleId="Heading3Char">
    <w:name w:val="Heading 3 Char"/>
    <w:basedOn w:val="DefaultParagraphFont"/>
    <w:link w:val="Heading3"/>
    <w:uiPriority w:val="9"/>
    <w:rsid w:val="00664B5B"/>
    <w:rPr>
      <w:rFonts w:ascii="Times New Roman" w:eastAsiaTheme="majorEastAsia" w:hAnsi="Times New Roman" w:cstheme="majorBidi"/>
      <w:b/>
      <w:sz w:val="28"/>
      <w:szCs w:val="21"/>
      <w:lang w:val="en-GB" w:bidi="ar-SA"/>
    </w:rPr>
  </w:style>
  <w:style w:type="character" w:customStyle="1" w:styleId="Heading2Char">
    <w:name w:val="Heading 2 Char"/>
    <w:basedOn w:val="DefaultParagraphFont"/>
    <w:link w:val="Heading2"/>
    <w:uiPriority w:val="9"/>
    <w:rsid w:val="00DF4CC5"/>
    <w:rPr>
      <w:rFonts w:ascii="Times New Roman" w:eastAsiaTheme="majorEastAsia" w:hAnsi="Times New Roman" w:cstheme="majorBidi"/>
      <w:b/>
      <w:sz w:val="32"/>
      <w:szCs w:val="23"/>
    </w:rPr>
  </w:style>
  <w:style w:type="paragraph" w:styleId="Header">
    <w:name w:val="header"/>
    <w:basedOn w:val="Normal"/>
    <w:link w:val="HeaderChar"/>
    <w:uiPriority w:val="99"/>
    <w:unhideWhenUsed/>
    <w:rsid w:val="00B31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3DB"/>
    <w:rPr>
      <w:rFonts w:ascii="Times New Roman" w:hAnsi="Times New Roman"/>
      <w:sz w:val="24"/>
      <w:szCs w:val="22"/>
      <w:lang w:val="en-GB" w:bidi="ar-SA"/>
    </w:rPr>
  </w:style>
  <w:style w:type="paragraph" w:styleId="Footer">
    <w:name w:val="footer"/>
    <w:basedOn w:val="Normal"/>
    <w:link w:val="FooterChar"/>
    <w:uiPriority w:val="99"/>
    <w:unhideWhenUsed/>
    <w:rsid w:val="00B31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3DB"/>
    <w:rPr>
      <w:rFonts w:ascii="Times New Roman" w:hAnsi="Times New Roman"/>
      <w:sz w:val="24"/>
      <w:szCs w:val="22"/>
      <w:lang w:val="en-GB" w:bidi="ar-SA"/>
    </w:rPr>
  </w:style>
  <w:style w:type="paragraph" w:styleId="TOCHeading">
    <w:name w:val="TOC Heading"/>
    <w:basedOn w:val="Heading1"/>
    <w:next w:val="Normal"/>
    <w:uiPriority w:val="39"/>
    <w:unhideWhenUsed/>
    <w:qFormat/>
    <w:rsid w:val="00B313DB"/>
    <w:pPr>
      <w:spacing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313DB"/>
    <w:pPr>
      <w:spacing w:after="100"/>
    </w:pPr>
  </w:style>
  <w:style w:type="character" w:styleId="Hyperlink">
    <w:name w:val="Hyperlink"/>
    <w:basedOn w:val="DefaultParagraphFont"/>
    <w:uiPriority w:val="99"/>
    <w:unhideWhenUsed/>
    <w:rsid w:val="00B313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404026">
      <w:bodyDiv w:val="1"/>
      <w:marLeft w:val="0"/>
      <w:marRight w:val="0"/>
      <w:marTop w:val="0"/>
      <w:marBottom w:val="0"/>
      <w:divBdr>
        <w:top w:val="none" w:sz="0" w:space="0" w:color="auto"/>
        <w:left w:val="none" w:sz="0" w:space="0" w:color="auto"/>
        <w:bottom w:val="none" w:sz="0" w:space="0" w:color="auto"/>
        <w:right w:val="none" w:sz="0" w:space="0" w:color="auto"/>
      </w:divBdr>
    </w:div>
    <w:div w:id="1091584825">
      <w:bodyDiv w:val="1"/>
      <w:marLeft w:val="0"/>
      <w:marRight w:val="0"/>
      <w:marTop w:val="0"/>
      <w:marBottom w:val="0"/>
      <w:divBdr>
        <w:top w:val="none" w:sz="0" w:space="0" w:color="auto"/>
        <w:left w:val="none" w:sz="0" w:space="0" w:color="auto"/>
        <w:bottom w:val="none" w:sz="0" w:space="0" w:color="auto"/>
        <w:right w:val="none" w:sz="0" w:space="0" w:color="auto"/>
      </w:divBdr>
    </w:div>
    <w:div w:id="1141655148">
      <w:bodyDiv w:val="1"/>
      <w:marLeft w:val="0"/>
      <w:marRight w:val="0"/>
      <w:marTop w:val="0"/>
      <w:marBottom w:val="0"/>
      <w:divBdr>
        <w:top w:val="none" w:sz="0" w:space="0" w:color="auto"/>
        <w:left w:val="none" w:sz="0" w:space="0" w:color="auto"/>
        <w:bottom w:val="none" w:sz="0" w:space="0" w:color="auto"/>
        <w:right w:val="none" w:sz="0" w:space="0" w:color="auto"/>
      </w:divBdr>
    </w:div>
    <w:div w:id="12180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0EA4B9-31B5-40D0-A0D1-4A7D2900F5FF}">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8CBD-7CE3-4D17-BB24-7A5B5548C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2023-12-27T17:18:00Z</dcterms:created>
  <dcterms:modified xsi:type="dcterms:W3CDTF">2024-01-12T21:51:00Z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d470294f556420f91e301f6069260a1bf493ccbcf655cd6b20b3c033acdfb7a4</vt:lpwstr>
  </property>
</Properties>
</file>