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63A22056" w:rsidR="00583709" w:rsidRPr="00505353" w:rsidRDefault="008312FD" w:rsidP="004B2BF5">
      <w:pPr>
        <w:spacing w:after="0" w:line="240" w:lineRule="auto"/>
        <w:rPr>
          <w:rFonts w:asciiTheme="majorHAnsi" w:eastAsia="Tahoma" w:hAnsiTheme="majorHAnsi" w:cstheme="majorHAnsi"/>
          <w:bCs/>
          <w:color w:val="000000"/>
          <w:sz w:val="40"/>
          <w:szCs w:val="40"/>
        </w:rPr>
      </w:pPr>
      <w:r w:rsidRPr="00505353">
        <w:rPr>
          <w:rFonts w:asciiTheme="majorHAnsi" w:hAnsiTheme="majorHAnsi" w:cstheme="majorHAnsi"/>
          <w:bCs/>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05353" w:rsidRDefault="00F867C0" w:rsidP="004B2BF5">
      <w:pPr>
        <w:spacing w:after="0" w:line="240" w:lineRule="auto"/>
        <w:jc w:val="center"/>
        <w:rPr>
          <w:rFonts w:asciiTheme="majorHAnsi" w:eastAsia="Tahoma" w:hAnsiTheme="majorHAnsi" w:cstheme="majorHAnsi"/>
          <w:bCs/>
          <w:color w:val="000000"/>
          <w:sz w:val="40"/>
          <w:szCs w:val="40"/>
        </w:rPr>
      </w:pPr>
      <w:r w:rsidRPr="00505353">
        <w:rPr>
          <w:rFonts w:asciiTheme="majorHAnsi" w:eastAsia="Tahoma" w:hAnsiTheme="majorHAnsi" w:cstheme="majorHAnsi"/>
          <w:bCs/>
          <w:color w:val="000000"/>
          <w:sz w:val="40"/>
          <w:szCs w:val="40"/>
        </w:rPr>
        <w:t>Applied Leadership and Management in</w:t>
      </w:r>
      <w:r w:rsidR="008312FD" w:rsidRPr="00505353">
        <w:rPr>
          <w:rFonts w:asciiTheme="majorHAnsi" w:eastAsia="Tahoma" w:hAnsiTheme="majorHAnsi" w:cstheme="majorHAnsi"/>
          <w:bCs/>
          <w:color w:val="000000"/>
          <w:sz w:val="40"/>
          <w:szCs w:val="40"/>
        </w:rPr>
        <w:t xml:space="preserve"> the Workplace</w:t>
      </w:r>
      <w:r w:rsidR="008312FD" w:rsidRPr="00505353">
        <w:rPr>
          <w:rFonts w:asciiTheme="majorHAnsi" w:eastAsia="Tahoma" w:hAnsiTheme="majorHAnsi" w:cstheme="majorHAnsi"/>
          <w:bCs/>
          <w:color w:val="000000"/>
          <w:sz w:val="40"/>
          <w:szCs w:val="40"/>
        </w:rPr>
        <w:br/>
        <w:t xml:space="preserve">Module Assignment Submission </w:t>
      </w:r>
      <w:r w:rsidR="008312FD" w:rsidRPr="00505353">
        <w:rPr>
          <w:rFonts w:asciiTheme="majorHAnsi" w:eastAsia="Tahoma" w:hAnsiTheme="majorHAnsi" w:cstheme="majorHAnsi"/>
          <w:bCs/>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505353" w14:paraId="4DD460BA" w14:textId="77777777">
        <w:tc>
          <w:tcPr>
            <w:tcW w:w="3438" w:type="dxa"/>
            <w:shd w:val="clear" w:color="auto" w:fill="D9D9D9"/>
          </w:tcPr>
          <w:p w14:paraId="6CC035E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Name:</w:t>
            </w:r>
          </w:p>
        </w:tc>
        <w:tc>
          <w:tcPr>
            <w:tcW w:w="6055" w:type="dxa"/>
          </w:tcPr>
          <w:p w14:paraId="24E05973" w14:textId="378BE612"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Robert Kurylo</w:t>
            </w:r>
          </w:p>
        </w:tc>
      </w:tr>
      <w:tr w:rsidR="00583709" w:rsidRPr="00505353" w14:paraId="637F65EB" w14:textId="77777777">
        <w:tc>
          <w:tcPr>
            <w:tcW w:w="3438" w:type="dxa"/>
            <w:shd w:val="clear" w:color="auto" w:fill="D9D9D9"/>
          </w:tcPr>
          <w:p w14:paraId="678F922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Number:</w:t>
            </w:r>
          </w:p>
        </w:tc>
        <w:tc>
          <w:tcPr>
            <w:tcW w:w="6055" w:type="dxa"/>
          </w:tcPr>
          <w:p w14:paraId="09E64F5D" w14:textId="49BBECA5"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2330302</w:t>
            </w:r>
          </w:p>
        </w:tc>
      </w:tr>
      <w:tr w:rsidR="00583709" w:rsidRPr="00505353" w14:paraId="3194BD4A" w14:textId="77777777">
        <w:tc>
          <w:tcPr>
            <w:tcW w:w="3438" w:type="dxa"/>
            <w:shd w:val="clear" w:color="auto" w:fill="D9D9D9"/>
          </w:tcPr>
          <w:p w14:paraId="2975DEFC"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No:</w:t>
            </w:r>
          </w:p>
        </w:tc>
        <w:tc>
          <w:tcPr>
            <w:tcW w:w="6055" w:type="dxa"/>
          </w:tcPr>
          <w:p w14:paraId="29F831A1" w14:textId="3563EF8C" w:rsidR="00583709" w:rsidRPr="00505353" w:rsidRDefault="008312FD" w:rsidP="004B2BF5">
            <w:pPr>
              <w:spacing w:after="0" w:line="240" w:lineRule="auto"/>
              <w:rPr>
                <w:rFonts w:asciiTheme="majorHAnsi" w:eastAsia="Tahoma" w:hAnsiTheme="majorHAnsi" w:cstheme="majorHAnsi"/>
                <w:bCs/>
                <w:color w:val="FF0000"/>
                <w:sz w:val="32"/>
                <w:szCs w:val="32"/>
              </w:rPr>
            </w:pPr>
            <w:r w:rsidRPr="00505353">
              <w:rPr>
                <w:rFonts w:asciiTheme="majorHAnsi" w:eastAsia="Tahoma" w:hAnsiTheme="majorHAnsi" w:cstheme="majorHAnsi"/>
                <w:bCs/>
                <w:color w:val="FF0000"/>
                <w:sz w:val="32"/>
                <w:szCs w:val="32"/>
              </w:rPr>
              <w:t>BMSK40</w:t>
            </w:r>
            <w:r w:rsidR="00183B04" w:rsidRPr="00505353">
              <w:rPr>
                <w:rFonts w:asciiTheme="majorHAnsi" w:eastAsia="Tahoma" w:hAnsiTheme="majorHAnsi" w:cstheme="majorHAnsi"/>
                <w:bCs/>
                <w:color w:val="FF0000"/>
                <w:sz w:val="32"/>
                <w:szCs w:val="32"/>
              </w:rPr>
              <w:t>1</w:t>
            </w:r>
            <w:r w:rsidR="00A46DDF">
              <w:rPr>
                <w:rFonts w:asciiTheme="majorHAnsi" w:eastAsia="Tahoma" w:hAnsiTheme="majorHAnsi" w:cstheme="majorHAnsi"/>
                <w:bCs/>
                <w:color w:val="FF0000"/>
                <w:sz w:val="32"/>
                <w:szCs w:val="32"/>
              </w:rPr>
              <w:t>2</w:t>
            </w:r>
          </w:p>
        </w:tc>
      </w:tr>
      <w:tr w:rsidR="00583709" w:rsidRPr="00505353" w14:paraId="0A18C513" w14:textId="77777777">
        <w:trPr>
          <w:trHeight w:val="413"/>
        </w:trPr>
        <w:tc>
          <w:tcPr>
            <w:tcW w:w="3438" w:type="dxa"/>
            <w:shd w:val="clear" w:color="auto" w:fill="D9D9D9"/>
          </w:tcPr>
          <w:p w14:paraId="322E8485"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Title:</w:t>
            </w:r>
          </w:p>
        </w:tc>
        <w:tc>
          <w:tcPr>
            <w:tcW w:w="6055" w:type="dxa"/>
          </w:tcPr>
          <w:p w14:paraId="3D9EA47B" w14:textId="4D979720" w:rsidR="00583709" w:rsidRPr="00505353" w:rsidRDefault="00A46DDF" w:rsidP="004B2BF5">
            <w:pPr>
              <w:spacing w:after="0" w:line="240" w:lineRule="auto"/>
              <w:rPr>
                <w:rFonts w:asciiTheme="majorHAnsi" w:eastAsia="Tahoma" w:hAnsiTheme="majorHAnsi" w:cstheme="majorHAnsi"/>
                <w:bCs/>
                <w:color w:val="FF0000"/>
                <w:sz w:val="32"/>
                <w:szCs w:val="32"/>
              </w:rPr>
            </w:pPr>
            <w:r>
              <w:rPr>
                <w:rFonts w:asciiTheme="majorHAnsi" w:eastAsia="Tahoma" w:hAnsiTheme="majorHAnsi" w:cstheme="majorHAnsi"/>
                <w:bCs/>
                <w:color w:val="FF0000"/>
                <w:sz w:val="32"/>
                <w:szCs w:val="32"/>
              </w:rPr>
              <w:t>Business Plan</w:t>
            </w:r>
          </w:p>
        </w:tc>
      </w:tr>
    </w:tbl>
    <w:p w14:paraId="734D1AD4" w14:textId="77777777" w:rsidR="00583709" w:rsidRPr="00505353" w:rsidRDefault="00583709" w:rsidP="004B2BF5">
      <w:pPr>
        <w:spacing w:after="0" w:line="240" w:lineRule="auto"/>
        <w:rPr>
          <w:rFonts w:asciiTheme="majorHAnsi" w:hAnsiTheme="majorHAnsi" w:cstheme="majorHAnsi"/>
          <w:bCs/>
          <w:color w:val="FF0000"/>
          <w:sz w:val="24"/>
          <w:szCs w:val="24"/>
        </w:rPr>
      </w:pPr>
    </w:p>
    <w:p w14:paraId="700B284E"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eastAsia="Tahoma" w:hAnsiTheme="majorHAnsi" w:cstheme="majorHAnsi"/>
          <w:bCs/>
          <w:color w:val="000000"/>
          <w:sz w:val="24"/>
          <w:szCs w:val="24"/>
        </w:rPr>
        <w:t>Statement of Confirmation of Authenticity</w:t>
      </w:r>
    </w:p>
    <w:p w14:paraId="77162AC0" w14:textId="7777777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0D4DE12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Attention is drawn to the plagiarism and unfair practice policies of both the University and of ILM.</w:t>
      </w:r>
      <w:r w:rsidR="00C0670C" w:rsidRPr="00505353">
        <w:rPr>
          <w:rFonts w:asciiTheme="majorHAnsi" w:eastAsia="Tahoma" w:hAnsiTheme="majorHAnsi" w:cstheme="majorHAnsi"/>
          <w:bCs/>
          <w:color w:val="000000"/>
        </w:rPr>
        <w:tab/>
      </w:r>
    </w:p>
    <w:p w14:paraId="5C61974A"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hAnsiTheme="majorHAnsi" w:cstheme="majorHAnsi"/>
          <w:bCs/>
        </w:rPr>
        <w:br w:type="page"/>
      </w:r>
    </w:p>
    <w:p w14:paraId="2E0B969F" w14:textId="0D9E0B4F" w:rsidR="00973386" w:rsidRPr="00505353" w:rsidRDefault="008312FD" w:rsidP="004B2BF5">
      <w:pPr>
        <w:keepNext/>
        <w:keepLines/>
        <w:pBdr>
          <w:top w:val="nil"/>
          <w:left w:val="nil"/>
          <w:bottom w:val="nil"/>
          <w:right w:val="nil"/>
          <w:between w:val="nil"/>
        </w:pBdr>
        <w:spacing w:after="0" w:line="240" w:lineRule="auto"/>
        <w:rPr>
          <w:rFonts w:asciiTheme="majorHAnsi" w:hAnsiTheme="majorHAnsi" w:cstheme="majorHAnsi"/>
          <w:bCs/>
          <w:color w:val="2E75B5"/>
          <w:sz w:val="32"/>
          <w:szCs w:val="32"/>
        </w:rPr>
      </w:pPr>
      <w:r w:rsidRPr="00505353">
        <w:rPr>
          <w:rFonts w:asciiTheme="majorHAnsi" w:hAnsiTheme="majorHAnsi" w:cstheme="majorHAnsi"/>
          <w:bCs/>
          <w:color w:val="2E75B5"/>
          <w:sz w:val="32"/>
          <w:szCs w:val="32"/>
        </w:rPr>
        <w:lastRenderedPageBreak/>
        <w:t>Table of Contents</w:t>
      </w:r>
    </w:p>
    <w:sdt>
      <w:sdtPr>
        <w:rPr>
          <w:rFonts w:ascii="Calibri" w:eastAsia="Calibri" w:hAnsi="Calibri" w:cs="Calibri"/>
          <w:color w:val="auto"/>
          <w:sz w:val="22"/>
          <w:szCs w:val="22"/>
          <w:lang w:val="en-GB" w:eastAsia="zh-CN"/>
        </w:rPr>
        <w:id w:val="-1509282273"/>
        <w:docPartObj>
          <w:docPartGallery w:val="Table of Contents"/>
          <w:docPartUnique/>
        </w:docPartObj>
      </w:sdtPr>
      <w:sdtEndPr>
        <w:rPr>
          <w:b/>
          <w:bCs/>
          <w:noProof/>
        </w:rPr>
      </w:sdtEndPr>
      <w:sdtContent>
        <w:p w14:paraId="4ECD036A" w14:textId="45BBDC77" w:rsidR="00274FAB" w:rsidRDefault="00274FAB">
          <w:pPr>
            <w:pStyle w:val="TOCHeading"/>
          </w:pPr>
          <w:r>
            <w:t>Contents</w:t>
          </w:r>
        </w:p>
        <w:p w14:paraId="1AD77A91" w14:textId="324A72DA" w:rsidR="00217F56" w:rsidRDefault="00274FAB">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04778605" w:history="1">
            <w:r w:rsidR="00217F56" w:rsidRPr="00A77EF1">
              <w:rPr>
                <w:rStyle w:val="Hyperlink"/>
                <w:rFonts w:asciiTheme="majorHAnsi" w:hAnsiTheme="majorHAnsi" w:cstheme="majorHAnsi"/>
                <w:bCs/>
                <w:noProof/>
              </w:rPr>
              <w:t>Executive Summary</w:t>
            </w:r>
            <w:r w:rsidR="00217F56">
              <w:rPr>
                <w:noProof/>
                <w:webHidden/>
              </w:rPr>
              <w:tab/>
            </w:r>
            <w:r w:rsidR="00217F56">
              <w:rPr>
                <w:noProof/>
                <w:webHidden/>
              </w:rPr>
              <w:fldChar w:fldCharType="begin"/>
            </w:r>
            <w:r w:rsidR="00217F56">
              <w:rPr>
                <w:noProof/>
                <w:webHidden/>
              </w:rPr>
              <w:instrText xml:space="preserve"> PAGEREF _Toc204778605 \h </w:instrText>
            </w:r>
            <w:r w:rsidR="00217F56">
              <w:rPr>
                <w:noProof/>
                <w:webHidden/>
              </w:rPr>
            </w:r>
            <w:r w:rsidR="00217F56">
              <w:rPr>
                <w:noProof/>
                <w:webHidden/>
              </w:rPr>
              <w:fldChar w:fldCharType="separate"/>
            </w:r>
            <w:r w:rsidR="009077AD">
              <w:rPr>
                <w:noProof/>
                <w:webHidden/>
              </w:rPr>
              <w:t>4</w:t>
            </w:r>
            <w:r w:rsidR="00217F56">
              <w:rPr>
                <w:noProof/>
                <w:webHidden/>
              </w:rPr>
              <w:fldChar w:fldCharType="end"/>
            </w:r>
          </w:hyperlink>
        </w:p>
        <w:p w14:paraId="5785CAA4" w14:textId="3CAB212D" w:rsidR="00217F56" w:rsidRDefault="00217F56">
          <w:pPr>
            <w:pStyle w:val="TOC1"/>
            <w:rPr>
              <w:rFonts w:asciiTheme="minorHAnsi" w:eastAsiaTheme="minorEastAsia" w:hAnsiTheme="minorHAnsi" w:cstheme="minorBidi"/>
              <w:noProof/>
              <w:kern w:val="2"/>
              <w:sz w:val="24"/>
              <w:szCs w:val="24"/>
              <w:lang w:eastAsia="en-GB"/>
              <w14:ligatures w14:val="standardContextual"/>
            </w:rPr>
          </w:pPr>
          <w:hyperlink w:anchor="_Toc204778606" w:history="1">
            <w:r w:rsidRPr="00A77EF1">
              <w:rPr>
                <w:rStyle w:val="Hyperlink"/>
                <w:rFonts w:asciiTheme="majorHAnsi" w:hAnsiTheme="majorHAnsi" w:cstheme="majorHAnsi"/>
                <w:bCs/>
                <w:noProof/>
              </w:rPr>
              <w:t>Introduction</w:t>
            </w:r>
            <w:r>
              <w:rPr>
                <w:noProof/>
                <w:webHidden/>
              </w:rPr>
              <w:tab/>
            </w:r>
            <w:r>
              <w:rPr>
                <w:noProof/>
                <w:webHidden/>
              </w:rPr>
              <w:fldChar w:fldCharType="begin"/>
            </w:r>
            <w:r>
              <w:rPr>
                <w:noProof/>
                <w:webHidden/>
              </w:rPr>
              <w:instrText xml:space="preserve"> PAGEREF _Toc204778606 \h </w:instrText>
            </w:r>
            <w:r>
              <w:rPr>
                <w:noProof/>
                <w:webHidden/>
              </w:rPr>
            </w:r>
            <w:r>
              <w:rPr>
                <w:noProof/>
                <w:webHidden/>
              </w:rPr>
              <w:fldChar w:fldCharType="separate"/>
            </w:r>
            <w:r w:rsidR="009077AD">
              <w:rPr>
                <w:noProof/>
                <w:webHidden/>
              </w:rPr>
              <w:t>4</w:t>
            </w:r>
            <w:r>
              <w:rPr>
                <w:noProof/>
                <w:webHidden/>
              </w:rPr>
              <w:fldChar w:fldCharType="end"/>
            </w:r>
          </w:hyperlink>
        </w:p>
        <w:p w14:paraId="42BBD7BC" w14:textId="709EF993" w:rsidR="00217F56" w:rsidRDefault="00217F56">
          <w:pPr>
            <w:pStyle w:val="TOC1"/>
            <w:rPr>
              <w:rFonts w:asciiTheme="minorHAnsi" w:eastAsiaTheme="minorEastAsia" w:hAnsiTheme="minorHAnsi" w:cstheme="minorBidi"/>
              <w:noProof/>
              <w:kern w:val="2"/>
              <w:sz w:val="24"/>
              <w:szCs w:val="24"/>
              <w:lang w:eastAsia="en-GB"/>
              <w14:ligatures w14:val="standardContextual"/>
            </w:rPr>
          </w:pPr>
          <w:hyperlink w:anchor="_Toc204778607" w:history="1">
            <w:r w:rsidRPr="00A77EF1">
              <w:rPr>
                <w:rStyle w:val="Hyperlink"/>
                <w:rFonts w:asciiTheme="majorHAnsi" w:hAnsiTheme="majorHAnsi" w:cstheme="majorHAnsi"/>
                <w:bCs/>
                <w:noProof/>
              </w:rPr>
              <w:t>Section 1: Market and Competitors</w:t>
            </w:r>
            <w:r>
              <w:rPr>
                <w:noProof/>
                <w:webHidden/>
              </w:rPr>
              <w:tab/>
            </w:r>
            <w:r>
              <w:rPr>
                <w:noProof/>
                <w:webHidden/>
              </w:rPr>
              <w:fldChar w:fldCharType="begin"/>
            </w:r>
            <w:r>
              <w:rPr>
                <w:noProof/>
                <w:webHidden/>
              </w:rPr>
              <w:instrText xml:space="preserve"> PAGEREF _Toc204778607 \h </w:instrText>
            </w:r>
            <w:r>
              <w:rPr>
                <w:noProof/>
                <w:webHidden/>
              </w:rPr>
            </w:r>
            <w:r>
              <w:rPr>
                <w:noProof/>
                <w:webHidden/>
              </w:rPr>
              <w:fldChar w:fldCharType="separate"/>
            </w:r>
            <w:r w:rsidR="009077AD">
              <w:rPr>
                <w:noProof/>
                <w:webHidden/>
              </w:rPr>
              <w:t>4</w:t>
            </w:r>
            <w:r>
              <w:rPr>
                <w:noProof/>
                <w:webHidden/>
              </w:rPr>
              <w:fldChar w:fldCharType="end"/>
            </w:r>
          </w:hyperlink>
        </w:p>
        <w:p w14:paraId="3B501F30" w14:textId="3A85A3F4" w:rsidR="00217F56" w:rsidRDefault="00217F56">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04778608" w:history="1">
            <w:r w:rsidRPr="00A77EF1">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A77EF1">
              <w:rPr>
                <w:rStyle w:val="Hyperlink"/>
                <w:noProof/>
              </w:rPr>
              <w:t>Market Overview and Trends</w:t>
            </w:r>
            <w:r>
              <w:rPr>
                <w:noProof/>
                <w:webHidden/>
              </w:rPr>
              <w:tab/>
            </w:r>
            <w:r>
              <w:rPr>
                <w:noProof/>
                <w:webHidden/>
              </w:rPr>
              <w:fldChar w:fldCharType="begin"/>
            </w:r>
            <w:r>
              <w:rPr>
                <w:noProof/>
                <w:webHidden/>
              </w:rPr>
              <w:instrText xml:space="preserve"> PAGEREF _Toc204778608 \h </w:instrText>
            </w:r>
            <w:r>
              <w:rPr>
                <w:noProof/>
                <w:webHidden/>
              </w:rPr>
            </w:r>
            <w:r>
              <w:rPr>
                <w:noProof/>
                <w:webHidden/>
              </w:rPr>
              <w:fldChar w:fldCharType="separate"/>
            </w:r>
            <w:r w:rsidR="009077AD">
              <w:rPr>
                <w:noProof/>
                <w:webHidden/>
              </w:rPr>
              <w:t>5</w:t>
            </w:r>
            <w:r>
              <w:rPr>
                <w:noProof/>
                <w:webHidden/>
              </w:rPr>
              <w:fldChar w:fldCharType="end"/>
            </w:r>
          </w:hyperlink>
        </w:p>
        <w:p w14:paraId="0BC950C1" w14:textId="0B6059DE"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09" w:history="1">
            <w:r w:rsidRPr="00A77EF1">
              <w:rPr>
                <w:rStyle w:val="Hyperlink"/>
                <w:noProof/>
              </w:rPr>
              <w:t>1.2 Pestel Analysis</w:t>
            </w:r>
            <w:r>
              <w:rPr>
                <w:noProof/>
                <w:webHidden/>
              </w:rPr>
              <w:tab/>
            </w:r>
            <w:r>
              <w:rPr>
                <w:noProof/>
                <w:webHidden/>
              </w:rPr>
              <w:fldChar w:fldCharType="begin"/>
            </w:r>
            <w:r>
              <w:rPr>
                <w:noProof/>
                <w:webHidden/>
              </w:rPr>
              <w:instrText xml:space="preserve"> PAGEREF _Toc204778609 \h </w:instrText>
            </w:r>
            <w:r>
              <w:rPr>
                <w:noProof/>
                <w:webHidden/>
              </w:rPr>
            </w:r>
            <w:r>
              <w:rPr>
                <w:noProof/>
                <w:webHidden/>
              </w:rPr>
              <w:fldChar w:fldCharType="separate"/>
            </w:r>
            <w:r w:rsidR="009077AD">
              <w:rPr>
                <w:noProof/>
                <w:webHidden/>
              </w:rPr>
              <w:t>5</w:t>
            </w:r>
            <w:r>
              <w:rPr>
                <w:noProof/>
                <w:webHidden/>
              </w:rPr>
              <w:fldChar w:fldCharType="end"/>
            </w:r>
          </w:hyperlink>
        </w:p>
        <w:p w14:paraId="452BA732" w14:textId="4570F07A" w:rsidR="00217F56" w:rsidRDefault="00217F56">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04778610" w:history="1">
            <w:r w:rsidRPr="00A77EF1">
              <w:rPr>
                <w:rStyle w:val="Hyperlink"/>
                <w:noProof/>
              </w:rPr>
              <w:t>1.3</w:t>
            </w:r>
            <w:r>
              <w:rPr>
                <w:rFonts w:asciiTheme="minorHAnsi" w:eastAsiaTheme="minorEastAsia" w:hAnsiTheme="minorHAnsi" w:cstheme="minorBidi"/>
                <w:noProof/>
                <w:kern w:val="2"/>
                <w:sz w:val="24"/>
                <w:szCs w:val="24"/>
                <w:lang w:eastAsia="en-GB"/>
                <w14:ligatures w14:val="standardContextual"/>
              </w:rPr>
              <w:tab/>
            </w:r>
            <w:r w:rsidRPr="00A77EF1">
              <w:rPr>
                <w:rStyle w:val="Hyperlink"/>
                <w:noProof/>
              </w:rPr>
              <w:t>SWOT Analysis</w:t>
            </w:r>
            <w:r>
              <w:rPr>
                <w:noProof/>
                <w:webHidden/>
              </w:rPr>
              <w:tab/>
            </w:r>
            <w:r>
              <w:rPr>
                <w:noProof/>
                <w:webHidden/>
              </w:rPr>
              <w:fldChar w:fldCharType="begin"/>
            </w:r>
            <w:r>
              <w:rPr>
                <w:noProof/>
                <w:webHidden/>
              </w:rPr>
              <w:instrText xml:space="preserve"> PAGEREF _Toc204778610 \h </w:instrText>
            </w:r>
            <w:r>
              <w:rPr>
                <w:noProof/>
                <w:webHidden/>
              </w:rPr>
            </w:r>
            <w:r>
              <w:rPr>
                <w:noProof/>
                <w:webHidden/>
              </w:rPr>
              <w:fldChar w:fldCharType="separate"/>
            </w:r>
            <w:r w:rsidR="009077AD">
              <w:rPr>
                <w:noProof/>
                <w:webHidden/>
              </w:rPr>
              <w:t>5</w:t>
            </w:r>
            <w:r>
              <w:rPr>
                <w:noProof/>
                <w:webHidden/>
              </w:rPr>
              <w:fldChar w:fldCharType="end"/>
            </w:r>
          </w:hyperlink>
        </w:p>
        <w:p w14:paraId="36BA1403" w14:textId="0C2DD65A" w:rsidR="00217F56" w:rsidRDefault="00217F56">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04778611" w:history="1">
            <w:r w:rsidRPr="00A77EF1">
              <w:rPr>
                <w:rStyle w:val="Hyperlink"/>
                <w:noProof/>
              </w:rPr>
              <w:t>1.4</w:t>
            </w:r>
            <w:r>
              <w:rPr>
                <w:rFonts w:asciiTheme="minorHAnsi" w:eastAsiaTheme="minorEastAsia" w:hAnsiTheme="minorHAnsi" w:cstheme="minorBidi"/>
                <w:noProof/>
                <w:kern w:val="2"/>
                <w:sz w:val="24"/>
                <w:szCs w:val="24"/>
                <w:lang w:eastAsia="en-GB"/>
                <w14:ligatures w14:val="standardContextual"/>
              </w:rPr>
              <w:tab/>
            </w:r>
            <w:r w:rsidRPr="00A77EF1">
              <w:rPr>
                <w:rStyle w:val="Hyperlink"/>
                <w:noProof/>
              </w:rPr>
              <w:t>Customers and Target Market</w:t>
            </w:r>
            <w:r>
              <w:rPr>
                <w:noProof/>
                <w:webHidden/>
              </w:rPr>
              <w:tab/>
            </w:r>
            <w:r>
              <w:rPr>
                <w:noProof/>
                <w:webHidden/>
              </w:rPr>
              <w:fldChar w:fldCharType="begin"/>
            </w:r>
            <w:r>
              <w:rPr>
                <w:noProof/>
                <w:webHidden/>
              </w:rPr>
              <w:instrText xml:space="preserve"> PAGEREF _Toc204778611 \h </w:instrText>
            </w:r>
            <w:r>
              <w:rPr>
                <w:noProof/>
                <w:webHidden/>
              </w:rPr>
            </w:r>
            <w:r>
              <w:rPr>
                <w:noProof/>
                <w:webHidden/>
              </w:rPr>
              <w:fldChar w:fldCharType="separate"/>
            </w:r>
            <w:r w:rsidR="009077AD">
              <w:rPr>
                <w:noProof/>
                <w:webHidden/>
              </w:rPr>
              <w:t>6</w:t>
            </w:r>
            <w:r>
              <w:rPr>
                <w:noProof/>
                <w:webHidden/>
              </w:rPr>
              <w:fldChar w:fldCharType="end"/>
            </w:r>
          </w:hyperlink>
        </w:p>
        <w:p w14:paraId="1B9E91AE" w14:textId="6A949E6B" w:rsidR="00217F56" w:rsidRDefault="00217F56">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204778612" w:history="1">
            <w:r w:rsidRPr="00A77EF1">
              <w:rPr>
                <w:rStyle w:val="Hyperlink"/>
                <w:noProof/>
              </w:rPr>
              <w:t>1.5</w:t>
            </w:r>
            <w:r>
              <w:rPr>
                <w:rFonts w:asciiTheme="minorHAnsi" w:eastAsiaTheme="minorEastAsia" w:hAnsiTheme="minorHAnsi" w:cstheme="minorBidi"/>
                <w:noProof/>
                <w:kern w:val="2"/>
                <w:sz w:val="24"/>
                <w:szCs w:val="24"/>
                <w:lang w:eastAsia="en-GB"/>
                <w14:ligatures w14:val="standardContextual"/>
              </w:rPr>
              <w:tab/>
            </w:r>
            <w:r w:rsidRPr="00A77EF1">
              <w:rPr>
                <w:rStyle w:val="Hyperlink"/>
                <w:noProof/>
              </w:rPr>
              <w:t>Competitor Analysis</w:t>
            </w:r>
            <w:r>
              <w:rPr>
                <w:noProof/>
                <w:webHidden/>
              </w:rPr>
              <w:tab/>
            </w:r>
            <w:r>
              <w:rPr>
                <w:noProof/>
                <w:webHidden/>
              </w:rPr>
              <w:fldChar w:fldCharType="begin"/>
            </w:r>
            <w:r>
              <w:rPr>
                <w:noProof/>
                <w:webHidden/>
              </w:rPr>
              <w:instrText xml:space="preserve"> PAGEREF _Toc204778612 \h </w:instrText>
            </w:r>
            <w:r>
              <w:rPr>
                <w:noProof/>
                <w:webHidden/>
              </w:rPr>
            </w:r>
            <w:r>
              <w:rPr>
                <w:noProof/>
                <w:webHidden/>
              </w:rPr>
              <w:fldChar w:fldCharType="separate"/>
            </w:r>
            <w:r w:rsidR="009077AD">
              <w:rPr>
                <w:noProof/>
                <w:webHidden/>
              </w:rPr>
              <w:t>6</w:t>
            </w:r>
            <w:r>
              <w:rPr>
                <w:noProof/>
                <w:webHidden/>
              </w:rPr>
              <w:fldChar w:fldCharType="end"/>
            </w:r>
          </w:hyperlink>
        </w:p>
        <w:p w14:paraId="2D478AD7" w14:textId="09B8C693" w:rsidR="00217F56" w:rsidRDefault="00217F56">
          <w:pPr>
            <w:pStyle w:val="TOC1"/>
            <w:rPr>
              <w:rFonts w:asciiTheme="minorHAnsi" w:eastAsiaTheme="minorEastAsia" w:hAnsiTheme="minorHAnsi" w:cstheme="minorBidi"/>
              <w:noProof/>
              <w:kern w:val="2"/>
              <w:sz w:val="24"/>
              <w:szCs w:val="24"/>
              <w:lang w:eastAsia="en-GB"/>
              <w14:ligatures w14:val="standardContextual"/>
            </w:rPr>
          </w:pPr>
          <w:hyperlink w:anchor="_Toc204778613" w:history="1">
            <w:r w:rsidRPr="00A77EF1">
              <w:rPr>
                <w:rStyle w:val="Hyperlink"/>
                <w:rFonts w:asciiTheme="majorHAnsi" w:hAnsiTheme="majorHAnsi" w:cstheme="majorHAnsi"/>
                <w:bCs/>
                <w:noProof/>
              </w:rPr>
              <w:t>Section 2: Sales and Marketing Strategy</w:t>
            </w:r>
            <w:r>
              <w:rPr>
                <w:noProof/>
                <w:webHidden/>
              </w:rPr>
              <w:tab/>
            </w:r>
            <w:r>
              <w:rPr>
                <w:noProof/>
                <w:webHidden/>
              </w:rPr>
              <w:fldChar w:fldCharType="begin"/>
            </w:r>
            <w:r>
              <w:rPr>
                <w:noProof/>
                <w:webHidden/>
              </w:rPr>
              <w:instrText xml:space="preserve"> PAGEREF _Toc204778613 \h </w:instrText>
            </w:r>
            <w:r>
              <w:rPr>
                <w:noProof/>
                <w:webHidden/>
              </w:rPr>
            </w:r>
            <w:r>
              <w:rPr>
                <w:noProof/>
                <w:webHidden/>
              </w:rPr>
              <w:fldChar w:fldCharType="separate"/>
            </w:r>
            <w:r w:rsidR="009077AD">
              <w:rPr>
                <w:noProof/>
                <w:webHidden/>
              </w:rPr>
              <w:t>6</w:t>
            </w:r>
            <w:r>
              <w:rPr>
                <w:noProof/>
                <w:webHidden/>
              </w:rPr>
              <w:fldChar w:fldCharType="end"/>
            </w:r>
          </w:hyperlink>
        </w:p>
        <w:p w14:paraId="2CA630A6" w14:textId="64E5EEB1"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14" w:history="1">
            <w:r w:rsidRPr="00A77EF1">
              <w:rPr>
                <w:rStyle w:val="Hyperlink"/>
                <w:noProof/>
              </w:rPr>
              <w:t>2.1 Marketing Objectives</w:t>
            </w:r>
            <w:r>
              <w:rPr>
                <w:noProof/>
                <w:webHidden/>
              </w:rPr>
              <w:tab/>
            </w:r>
            <w:r>
              <w:rPr>
                <w:noProof/>
                <w:webHidden/>
              </w:rPr>
              <w:fldChar w:fldCharType="begin"/>
            </w:r>
            <w:r>
              <w:rPr>
                <w:noProof/>
                <w:webHidden/>
              </w:rPr>
              <w:instrText xml:space="preserve"> PAGEREF _Toc204778614 \h </w:instrText>
            </w:r>
            <w:r>
              <w:rPr>
                <w:noProof/>
                <w:webHidden/>
              </w:rPr>
            </w:r>
            <w:r>
              <w:rPr>
                <w:noProof/>
                <w:webHidden/>
              </w:rPr>
              <w:fldChar w:fldCharType="separate"/>
            </w:r>
            <w:r w:rsidR="009077AD">
              <w:rPr>
                <w:noProof/>
                <w:webHidden/>
              </w:rPr>
              <w:t>6</w:t>
            </w:r>
            <w:r>
              <w:rPr>
                <w:noProof/>
                <w:webHidden/>
              </w:rPr>
              <w:fldChar w:fldCharType="end"/>
            </w:r>
          </w:hyperlink>
        </w:p>
        <w:p w14:paraId="7EA52246" w14:textId="6013E440"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15" w:history="1">
            <w:r w:rsidRPr="00A77EF1">
              <w:rPr>
                <w:rStyle w:val="Hyperlink"/>
                <w:noProof/>
              </w:rPr>
              <w:t>2.2 Marketing Strategies</w:t>
            </w:r>
            <w:r>
              <w:rPr>
                <w:noProof/>
                <w:webHidden/>
              </w:rPr>
              <w:tab/>
            </w:r>
            <w:r>
              <w:rPr>
                <w:noProof/>
                <w:webHidden/>
              </w:rPr>
              <w:fldChar w:fldCharType="begin"/>
            </w:r>
            <w:r>
              <w:rPr>
                <w:noProof/>
                <w:webHidden/>
              </w:rPr>
              <w:instrText xml:space="preserve"> PAGEREF _Toc204778615 \h </w:instrText>
            </w:r>
            <w:r>
              <w:rPr>
                <w:noProof/>
                <w:webHidden/>
              </w:rPr>
            </w:r>
            <w:r>
              <w:rPr>
                <w:noProof/>
                <w:webHidden/>
              </w:rPr>
              <w:fldChar w:fldCharType="separate"/>
            </w:r>
            <w:r w:rsidR="009077AD">
              <w:rPr>
                <w:noProof/>
                <w:webHidden/>
              </w:rPr>
              <w:t>7</w:t>
            </w:r>
            <w:r>
              <w:rPr>
                <w:noProof/>
                <w:webHidden/>
              </w:rPr>
              <w:fldChar w:fldCharType="end"/>
            </w:r>
          </w:hyperlink>
        </w:p>
        <w:p w14:paraId="2020CCB2" w14:textId="05FD0658"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16" w:history="1">
            <w:r w:rsidRPr="00A77EF1">
              <w:rPr>
                <w:rStyle w:val="Hyperlink"/>
                <w:noProof/>
              </w:rPr>
              <w:t>2.3 Target Market and Positioning</w:t>
            </w:r>
            <w:r>
              <w:rPr>
                <w:noProof/>
                <w:webHidden/>
              </w:rPr>
              <w:tab/>
            </w:r>
            <w:r>
              <w:rPr>
                <w:noProof/>
                <w:webHidden/>
              </w:rPr>
              <w:fldChar w:fldCharType="begin"/>
            </w:r>
            <w:r>
              <w:rPr>
                <w:noProof/>
                <w:webHidden/>
              </w:rPr>
              <w:instrText xml:space="preserve"> PAGEREF _Toc204778616 \h </w:instrText>
            </w:r>
            <w:r>
              <w:rPr>
                <w:noProof/>
                <w:webHidden/>
              </w:rPr>
            </w:r>
            <w:r>
              <w:rPr>
                <w:noProof/>
                <w:webHidden/>
              </w:rPr>
              <w:fldChar w:fldCharType="separate"/>
            </w:r>
            <w:r w:rsidR="009077AD">
              <w:rPr>
                <w:noProof/>
                <w:webHidden/>
              </w:rPr>
              <w:t>8</w:t>
            </w:r>
            <w:r>
              <w:rPr>
                <w:noProof/>
                <w:webHidden/>
              </w:rPr>
              <w:fldChar w:fldCharType="end"/>
            </w:r>
          </w:hyperlink>
        </w:p>
        <w:p w14:paraId="2559867B" w14:textId="4785861E"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17" w:history="1">
            <w:r w:rsidRPr="00A77EF1">
              <w:rPr>
                <w:rStyle w:val="Hyperlink"/>
                <w:noProof/>
              </w:rPr>
              <w:t>2.4 Pricing Strategy</w:t>
            </w:r>
            <w:r>
              <w:rPr>
                <w:noProof/>
                <w:webHidden/>
              </w:rPr>
              <w:tab/>
            </w:r>
            <w:r>
              <w:rPr>
                <w:noProof/>
                <w:webHidden/>
              </w:rPr>
              <w:fldChar w:fldCharType="begin"/>
            </w:r>
            <w:r>
              <w:rPr>
                <w:noProof/>
                <w:webHidden/>
              </w:rPr>
              <w:instrText xml:space="preserve"> PAGEREF _Toc204778617 \h </w:instrText>
            </w:r>
            <w:r>
              <w:rPr>
                <w:noProof/>
                <w:webHidden/>
              </w:rPr>
            </w:r>
            <w:r>
              <w:rPr>
                <w:noProof/>
                <w:webHidden/>
              </w:rPr>
              <w:fldChar w:fldCharType="separate"/>
            </w:r>
            <w:r w:rsidR="009077AD">
              <w:rPr>
                <w:noProof/>
                <w:webHidden/>
              </w:rPr>
              <w:t>8</w:t>
            </w:r>
            <w:r>
              <w:rPr>
                <w:noProof/>
                <w:webHidden/>
              </w:rPr>
              <w:fldChar w:fldCharType="end"/>
            </w:r>
          </w:hyperlink>
        </w:p>
        <w:p w14:paraId="7688F0E6" w14:textId="3B8378BA"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18" w:history="1">
            <w:r w:rsidRPr="00A77EF1">
              <w:rPr>
                <w:rStyle w:val="Hyperlink"/>
                <w:noProof/>
              </w:rPr>
              <w:t>2.5 Sale Forecast</w:t>
            </w:r>
            <w:r>
              <w:rPr>
                <w:noProof/>
                <w:webHidden/>
              </w:rPr>
              <w:tab/>
            </w:r>
            <w:r>
              <w:rPr>
                <w:noProof/>
                <w:webHidden/>
              </w:rPr>
              <w:fldChar w:fldCharType="begin"/>
            </w:r>
            <w:r>
              <w:rPr>
                <w:noProof/>
                <w:webHidden/>
              </w:rPr>
              <w:instrText xml:space="preserve"> PAGEREF _Toc204778618 \h </w:instrText>
            </w:r>
            <w:r>
              <w:rPr>
                <w:noProof/>
                <w:webHidden/>
              </w:rPr>
            </w:r>
            <w:r>
              <w:rPr>
                <w:noProof/>
                <w:webHidden/>
              </w:rPr>
              <w:fldChar w:fldCharType="separate"/>
            </w:r>
            <w:r w:rsidR="009077AD">
              <w:rPr>
                <w:noProof/>
                <w:webHidden/>
              </w:rPr>
              <w:t>9</w:t>
            </w:r>
            <w:r>
              <w:rPr>
                <w:noProof/>
                <w:webHidden/>
              </w:rPr>
              <w:fldChar w:fldCharType="end"/>
            </w:r>
          </w:hyperlink>
        </w:p>
        <w:p w14:paraId="7E8EAE0C" w14:textId="54910D70" w:rsidR="00217F56" w:rsidRDefault="00217F56">
          <w:pPr>
            <w:pStyle w:val="TOC1"/>
            <w:rPr>
              <w:rFonts w:asciiTheme="minorHAnsi" w:eastAsiaTheme="minorEastAsia" w:hAnsiTheme="minorHAnsi" w:cstheme="minorBidi"/>
              <w:noProof/>
              <w:kern w:val="2"/>
              <w:sz w:val="24"/>
              <w:szCs w:val="24"/>
              <w:lang w:eastAsia="en-GB"/>
              <w14:ligatures w14:val="standardContextual"/>
            </w:rPr>
          </w:pPr>
          <w:hyperlink w:anchor="_Toc204778619" w:history="1">
            <w:r w:rsidRPr="00A77EF1">
              <w:rPr>
                <w:rStyle w:val="Hyperlink"/>
                <w:rFonts w:asciiTheme="majorHAnsi" w:hAnsiTheme="majorHAnsi" w:cstheme="majorHAnsi"/>
                <w:bCs/>
                <w:noProof/>
              </w:rPr>
              <w:t>Section 3: Operations</w:t>
            </w:r>
            <w:r>
              <w:rPr>
                <w:noProof/>
                <w:webHidden/>
              </w:rPr>
              <w:tab/>
            </w:r>
            <w:r>
              <w:rPr>
                <w:noProof/>
                <w:webHidden/>
              </w:rPr>
              <w:fldChar w:fldCharType="begin"/>
            </w:r>
            <w:r>
              <w:rPr>
                <w:noProof/>
                <w:webHidden/>
              </w:rPr>
              <w:instrText xml:space="preserve"> PAGEREF _Toc204778619 \h </w:instrText>
            </w:r>
            <w:r>
              <w:rPr>
                <w:noProof/>
                <w:webHidden/>
              </w:rPr>
            </w:r>
            <w:r>
              <w:rPr>
                <w:noProof/>
                <w:webHidden/>
              </w:rPr>
              <w:fldChar w:fldCharType="separate"/>
            </w:r>
            <w:r w:rsidR="009077AD">
              <w:rPr>
                <w:noProof/>
                <w:webHidden/>
              </w:rPr>
              <w:t>9</w:t>
            </w:r>
            <w:r>
              <w:rPr>
                <w:noProof/>
                <w:webHidden/>
              </w:rPr>
              <w:fldChar w:fldCharType="end"/>
            </w:r>
          </w:hyperlink>
        </w:p>
        <w:p w14:paraId="42B8045C" w14:textId="0D0DBD75"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20" w:history="1">
            <w:r w:rsidRPr="00A77EF1">
              <w:rPr>
                <w:rStyle w:val="Hyperlink"/>
                <w:noProof/>
              </w:rPr>
              <w:t>3.1 Overview of Operations</w:t>
            </w:r>
            <w:r>
              <w:rPr>
                <w:noProof/>
                <w:webHidden/>
              </w:rPr>
              <w:tab/>
            </w:r>
            <w:r>
              <w:rPr>
                <w:noProof/>
                <w:webHidden/>
              </w:rPr>
              <w:fldChar w:fldCharType="begin"/>
            </w:r>
            <w:r>
              <w:rPr>
                <w:noProof/>
                <w:webHidden/>
              </w:rPr>
              <w:instrText xml:space="preserve"> PAGEREF _Toc204778620 \h </w:instrText>
            </w:r>
            <w:r>
              <w:rPr>
                <w:noProof/>
                <w:webHidden/>
              </w:rPr>
            </w:r>
            <w:r>
              <w:rPr>
                <w:noProof/>
                <w:webHidden/>
              </w:rPr>
              <w:fldChar w:fldCharType="separate"/>
            </w:r>
            <w:r w:rsidR="009077AD">
              <w:rPr>
                <w:noProof/>
                <w:webHidden/>
              </w:rPr>
              <w:t>9</w:t>
            </w:r>
            <w:r>
              <w:rPr>
                <w:noProof/>
                <w:webHidden/>
              </w:rPr>
              <w:fldChar w:fldCharType="end"/>
            </w:r>
          </w:hyperlink>
        </w:p>
        <w:p w14:paraId="288C1CF5" w14:textId="5867CCAF"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21" w:history="1">
            <w:r w:rsidRPr="00A77EF1">
              <w:rPr>
                <w:rStyle w:val="Hyperlink"/>
                <w:noProof/>
              </w:rPr>
              <w:t>3.2 Premises and Equipment</w:t>
            </w:r>
            <w:r>
              <w:rPr>
                <w:noProof/>
                <w:webHidden/>
              </w:rPr>
              <w:tab/>
            </w:r>
            <w:r>
              <w:rPr>
                <w:noProof/>
                <w:webHidden/>
              </w:rPr>
              <w:fldChar w:fldCharType="begin"/>
            </w:r>
            <w:r>
              <w:rPr>
                <w:noProof/>
                <w:webHidden/>
              </w:rPr>
              <w:instrText xml:space="preserve"> PAGEREF _Toc204778621 \h </w:instrText>
            </w:r>
            <w:r>
              <w:rPr>
                <w:noProof/>
                <w:webHidden/>
              </w:rPr>
            </w:r>
            <w:r>
              <w:rPr>
                <w:noProof/>
                <w:webHidden/>
              </w:rPr>
              <w:fldChar w:fldCharType="separate"/>
            </w:r>
            <w:r w:rsidR="009077AD">
              <w:rPr>
                <w:noProof/>
                <w:webHidden/>
              </w:rPr>
              <w:t>9</w:t>
            </w:r>
            <w:r>
              <w:rPr>
                <w:noProof/>
                <w:webHidden/>
              </w:rPr>
              <w:fldChar w:fldCharType="end"/>
            </w:r>
          </w:hyperlink>
        </w:p>
        <w:p w14:paraId="223FAD2F" w14:textId="051BFD19"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22" w:history="1">
            <w:r w:rsidRPr="00A77EF1">
              <w:rPr>
                <w:rStyle w:val="Hyperlink"/>
                <w:noProof/>
              </w:rPr>
              <w:t>3.3 Core Operational Workflow</w:t>
            </w:r>
            <w:r>
              <w:rPr>
                <w:noProof/>
                <w:webHidden/>
              </w:rPr>
              <w:tab/>
            </w:r>
            <w:r>
              <w:rPr>
                <w:noProof/>
                <w:webHidden/>
              </w:rPr>
              <w:fldChar w:fldCharType="begin"/>
            </w:r>
            <w:r>
              <w:rPr>
                <w:noProof/>
                <w:webHidden/>
              </w:rPr>
              <w:instrText xml:space="preserve"> PAGEREF _Toc204778622 \h </w:instrText>
            </w:r>
            <w:r>
              <w:rPr>
                <w:noProof/>
                <w:webHidden/>
              </w:rPr>
            </w:r>
            <w:r>
              <w:rPr>
                <w:noProof/>
                <w:webHidden/>
              </w:rPr>
              <w:fldChar w:fldCharType="separate"/>
            </w:r>
            <w:r w:rsidR="009077AD">
              <w:rPr>
                <w:noProof/>
                <w:webHidden/>
              </w:rPr>
              <w:t>10</w:t>
            </w:r>
            <w:r>
              <w:rPr>
                <w:noProof/>
                <w:webHidden/>
              </w:rPr>
              <w:fldChar w:fldCharType="end"/>
            </w:r>
          </w:hyperlink>
        </w:p>
        <w:p w14:paraId="7FE3B72B" w14:textId="4E8B687C"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23" w:history="1">
            <w:r w:rsidRPr="00A77EF1">
              <w:rPr>
                <w:rStyle w:val="Hyperlink"/>
                <w:noProof/>
              </w:rPr>
              <w:t>3.4 People: Staff, Contractors and Culture</w:t>
            </w:r>
            <w:r>
              <w:rPr>
                <w:noProof/>
                <w:webHidden/>
              </w:rPr>
              <w:tab/>
            </w:r>
            <w:r>
              <w:rPr>
                <w:noProof/>
                <w:webHidden/>
              </w:rPr>
              <w:fldChar w:fldCharType="begin"/>
            </w:r>
            <w:r>
              <w:rPr>
                <w:noProof/>
                <w:webHidden/>
              </w:rPr>
              <w:instrText xml:space="preserve"> PAGEREF _Toc204778623 \h </w:instrText>
            </w:r>
            <w:r>
              <w:rPr>
                <w:noProof/>
                <w:webHidden/>
              </w:rPr>
            </w:r>
            <w:r>
              <w:rPr>
                <w:noProof/>
                <w:webHidden/>
              </w:rPr>
              <w:fldChar w:fldCharType="separate"/>
            </w:r>
            <w:r w:rsidR="009077AD">
              <w:rPr>
                <w:noProof/>
                <w:webHidden/>
              </w:rPr>
              <w:t>10</w:t>
            </w:r>
            <w:r>
              <w:rPr>
                <w:noProof/>
                <w:webHidden/>
              </w:rPr>
              <w:fldChar w:fldCharType="end"/>
            </w:r>
          </w:hyperlink>
        </w:p>
        <w:p w14:paraId="5DF6D751" w14:textId="51E214D7"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24" w:history="1">
            <w:r w:rsidRPr="00A77EF1">
              <w:rPr>
                <w:rStyle w:val="Hyperlink"/>
                <w:noProof/>
              </w:rPr>
              <w:t>3.5 Systems and Digital Tools</w:t>
            </w:r>
            <w:r>
              <w:rPr>
                <w:noProof/>
                <w:webHidden/>
              </w:rPr>
              <w:tab/>
            </w:r>
            <w:r>
              <w:rPr>
                <w:noProof/>
                <w:webHidden/>
              </w:rPr>
              <w:fldChar w:fldCharType="begin"/>
            </w:r>
            <w:r>
              <w:rPr>
                <w:noProof/>
                <w:webHidden/>
              </w:rPr>
              <w:instrText xml:space="preserve"> PAGEREF _Toc204778624 \h </w:instrText>
            </w:r>
            <w:r>
              <w:rPr>
                <w:noProof/>
                <w:webHidden/>
              </w:rPr>
            </w:r>
            <w:r>
              <w:rPr>
                <w:noProof/>
                <w:webHidden/>
              </w:rPr>
              <w:fldChar w:fldCharType="separate"/>
            </w:r>
            <w:r w:rsidR="009077AD">
              <w:rPr>
                <w:noProof/>
                <w:webHidden/>
              </w:rPr>
              <w:t>11</w:t>
            </w:r>
            <w:r>
              <w:rPr>
                <w:noProof/>
                <w:webHidden/>
              </w:rPr>
              <w:fldChar w:fldCharType="end"/>
            </w:r>
          </w:hyperlink>
        </w:p>
        <w:p w14:paraId="61AF3170" w14:textId="4A50771A"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25" w:history="1">
            <w:r w:rsidRPr="00A77EF1">
              <w:rPr>
                <w:rStyle w:val="Hyperlink"/>
                <w:noProof/>
              </w:rPr>
              <w:t>3.6 Legal Compliance and Safety</w:t>
            </w:r>
            <w:r>
              <w:rPr>
                <w:noProof/>
                <w:webHidden/>
              </w:rPr>
              <w:tab/>
            </w:r>
            <w:r>
              <w:rPr>
                <w:noProof/>
                <w:webHidden/>
              </w:rPr>
              <w:fldChar w:fldCharType="begin"/>
            </w:r>
            <w:r>
              <w:rPr>
                <w:noProof/>
                <w:webHidden/>
              </w:rPr>
              <w:instrText xml:space="preserve"> PAGEREF _Toc204778625 \h </w:instrText>
            </w:r>
            <w:r>
              <w:rPr>
                <w:noProof/>
                <w:webHidden/>
              </w:rPr>
            </w:r>
            <w:r>
              <w:rPr>
                <w:noProof/>
                <w:webHidden/>
              </w:rPr>
              <w:fldChar w:fldCharType="separate"/>
            </w:r>
            <w:r w:rsidR="009077AD">
              <w:rPr>
                <w:noProof/>
                <w:webHidden/>
              </w:rPr>
              <w:t>11</w:t>
            </w:r>
            <w:r>
              <w:rPr>
                <w:noProof/>
                <w:webHidden/>
              </w:rPr>
              <w:fldChar w:fldCharType="end"/>
            </w:r>
          </w:hyperlink>
        </w:p>
        <w:p w14:paraId="19088EED" w14:textId="78F6B883"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26" w:history="1">
            <w:r w:rsidRPr="00A77EF1">
              <w:rPr>
                <w:rStyle w:val="Hyperlink"/>
                <w:noProof/>
              </w:rPr>
              <w:t>3.7 Annual Operational Costs</w:t>
            </w:r>
            <w:r>
              <w:rPr>
                <w:noProof/>
                <w:webHidden/>
              </w:rPr>
              <w:tab/>
            </w:r>
            <w:r>
              <w:rPr>
                <w:noProof/>
                <w:webHidden/>
              </w:rPr>
              <w:fldChar w:fldCharType="begin"/>
            </w:r>
            <w:r>
              <w:rPr>
                <w:noProof/>
                <w:webHidden/>
              </w:rPr>
              <w:instrText xml:space="preserve"> PAGEREF _Toc204778626 \h </w:instrText>
            </w:r>
            <w:r>
              <w:rPr>
                <w:noProof/>
                <w:webHidden/>
              </w:rPr>
            </w:r>
            <w:r>
              <w:rPr>
                <w:noProof/>
                <w:webHidden/>
              </w:rPr>
              <w:fldChar w:fldCharType="separate"/>
            </w:r>
            <w:r w:rsidR="009077AD">
              <w:rPr>
                <w:noProof/>
                <w:webHidden/>
              </w:rPr>
              <w:t>11</w:t>
            </w:r>
            <w:r>
              <w:rPr>
                <w:noProof/>
                <w:webHidden/>
              </w:rPr>
              <w:fldChar w:fldCharType="end"/>
            </w:r>
          </w:hyperlink>
        </w:p>
        <w:p w14:paraId="785FC986" w14:textId="357A327E" w:rsidR="00217F56" w:rsidRDefault="00217F56">
          <w:pPr>
            <w:pStyle w:val="TOC1"/>
            <w:rPr>
              <w:rFonts w:asciiTheme="minorHAnsi" w:eastAsiaTheme="minorEastAsia" w:hAnsiTheme="minorHAnsi" w:cstheme="minorBidi"/>
              <w:noProof/>
              <w:kern w:val="2"/>
              <w:sz w:val="24"/>
              <w:szCs w:val="24"/>
              <w:lang w:eastAsia="en-GB"/>
              <w14:ligatures w14:val="standardContextual"/>
            </w:rPr>
          </w:pPr>
          <w:hyperlink w:anchor="_Toc204778627" w:history="1">
            <w:r w:rsidRPr="00A77EF1">
              <w:rPr>
                <w:rStyle w:val="Hyperlink"/>
                <w:noProof/>
              </w:rPr>
              <w:t>4.0 Financial Performance and Forecasts</w:t>
            </w:r>
            <w:r>
              <w:rPr>
                <w:noProof/>
                <w:webHidden/>
              </w:rPr>
              <w:tab/>
            </w:r>
            <w:r>
              <w:rPr>
                <w:noProof/>
                <w:webHidden/>
              </w:rPr>
              <w:fldChar w:fldCharType="begin"/>
            </w:r>
            <w:r>
              <w:rPr>
                <w:noProof/>
                <w:webHidden/>
              </w:rPr>
              <w:instrText xml:space="preserve"> PAGEREF _Toc204778627 \h </w:instrText>
            </w:r>
            <w:r>
              <w:rPr>
                <w:noProof/>
                <w:webHidden/>
              </w:rPr>
            </w:r>
            <w:r>
              <w:rPr>
                <w:noProof/>
                <w:webHidden/>
              </w:rPr>
              <w:fldChar w:fldCharType="separate"/>
            </w:r>
            <w:r w:rsidR="009077AD">
              <w:rPr>
                <w:noProof/>
                <w:webHidden/>
              </w:rPr>
              <w:t>12</w:t>
            </w:r>
            <w:r>
              <w:rPr>
                <w:noProof/>
                <w:webHidden/>
              </w:rPr>
              <w:fldChar w:fldCharType="end"/>
            </w:r>
          </w:hyperlink>
        </w:p>
        <w:p w14:paraId="0DC31910" w14:textId="2E429E75"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28" w:history="1">
            <w:r w:rsidRPr="00A77EF1">
              <w:rPr>
                <w:rStyle w:val="Hyperlink"/>
                <w:noProof/>
              </w:rPr>
              <w:t>4.1 Financial Summary</w:t>
            </w:r>
            <w:r>
              <w:rPr>
                <w:noProof/>
                <w:webHidden/>
              </w:rPr>
              <w:tab/>
            </w:r>
            <w:r>
              <w:rPr>
                <w:noProof/>
                <w:webHidden/>
              </w:rPr>
              <w:fldChar w:fldCharType="begin"/>
            </w:r>
            <w:r>
              <w:rPr>
                <w:noProof/>
                <w:webHidden/>
              </w:rPr>
              <w:instrText xml:space="preserve"> PAGEREF _Toc204778628 \h </w:instrText>
            </w:r>
            <w:r>
              <w:rPr>
                <w:noProof/>
                <w:webHidden/>
              </w:rPr>
            </w:r>
            <w:r>
              <w:rPr>
                <w:noProof/>
                <w:webHidden/>
              </w:rPr>
              <w:fldChar w:fldCharType="separate"/>
            </w:r>
            <w:r w:rsidR="009077AD">
              <w:rPr>
                <w:noProof/>
                <w:webHidden/>
              </w:rPr>
              <w:t>12</w:t>
            </w:r>
            <w:r>
              <w:rPr>
                <w:noProof/>
                <w:webHidden/>
              </w:rPr>
              <w:fldChar w:fldCharType="end"/>
            </w:r>
          </w:hyperlink>
        </w:p>
        <w:p w14:paraId="10A52633" w14:textId="5895A14E"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29" w:history="1">
            <w:r w:rsidRPr="00A77EF1">
              <w:rPr>
                <w:rStyle w:val="Hyperlink"/>
                <w:noProof/>
              </w:rPr>
              <w:t>4.2 12-Month Cash Flow Forecast</w:t>
            </w:r>
            <w:r>
              <w:rPr>
                <w:noProof/>
                <w:webHidden/>
              </w:rPr>
              <w:tab/>
            </w:r>
            <w:r>
              <w:rPr>
                <w:noProof/>
                <w:webHidden/>
              </w:rPr>
              <w:fldChar w:fldCharType="begin"/>
            </w:r>
            <w:r>
              <w:rPr>
                <w:noProof/>
                <w:webHidden/>
              </w:rPr>
              <w:instrText xml:space="preserve"> PAGEREF _Toc204778629 \h </w:instrText>
            </w:r>
            <w:r>
              <w:rPr>
                <w:noProof/>
                <w:webHidden/>
              </w:rPr>
            </w:r>
            <w:r>
              <w:rPr>
                <w:noProof/>
                <w:webHidden/>
              </w:rPr>
              <w:fldChar w:fldCharType="separate"/>
            </w:r>
            <w:r w:rsidR="009077AD">
              <w:rPr>
                <w:noProof/>
                <w:webHidden/>
              </w:rPr>
              <w:t>12</w:t>
            </w:r>
            <w:r>
              <w:rPr>
                <w:noProof/>
                <w:webHidden/>
              </w:rPr>
              <w:fldChar w:fldCharType="end"/>
            </w:r>
          </w:hyperlink>
        </w:p>
        <w:p w14:paraId="2AB72C86" w14:textId="3F899037"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30" w:history="1">
            <w:r w:rsidRPr="00A77EF1">
              <w:rPr>
                <w:rStyle w:val="Hyperlink"/>
                <w:noProof/>
              </w:rPr>
              <w:t>4.3 Break-Even Analysis</w:t>
            </w:r>
            <w:r>
              <w:rPr>
                <w:noProof/>
                <w:webHidden/>
              </w:rPr>
              <w:tab/>
            </w:r>
            <w:r>
              <w:rPr>
                <w:noProof/>
                <w:webHidden/>
              </w:rPr>
              <w:fldChar w:fldCharType="begin"/>
            </w:r>
            <w:r>
              <w:rPr>
                <w:noProof/>
                <w:webHidden/>
              </w:rPr>
              <w:instrText xml:space="preserve"> PAGEREF _Toc204778630 \h </w:instrText>
            </w:r>
            <w:r>
              <w:rPr>
                <w:noProof/>
                <w:webHidden/>
              </w:rPr>
            </w:r>
            <w:r>
              <w:rPr>
                <w:noProof/>
                <w:webHidden/>
              </w:rPr>
              <w:fldChar w:fldCharType="separate"/>
            </w:r>
            <w:r w:rsidR="009077AD">
              <w:rPr>
                <w:noProof/>
                <w:webHidden/>
              </w:rPr>
              <w:t>14</w:t>
            </w:r>
            <w:r>
              <w:rPr>
                <w:noProof/>
                <w:webHidden/>
              </w:rPr>
              <w:fldChar w:fldCharType="end"/>
            </w:r>
          </w:hyperlink>
        </w:p>
        <w:p w14:paraId="5033DAC8" w14:textId="72501A76"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31" w:history="1">
            <w:r w:rsidRPr="00A77EF1">
              <w:rPr>
                <w:rStyle w:val="Hyperlink"/>
                <w:noProof/>
              </w:rPr>
              <w:t>4.4 Capital Reinvestment Strategy</w:t>
            </w:r>
            <w:r>
              <w:rPr>
                <w:noProof/>
                <w:webHidden/>
              </w:rPr>
              <w:tab/>
            </w:r>
            <w:r>
              <w:rPr>
                <w:noProof/>
                <w:webHidden/>
              </w:rPr>
              <w:fldChar w:fldCharType="begin"/>
            </w:r>
            <w:r>
              <w:rPr>
                <w:noProof/>
                <w:webHidden/>
              </w:rPr>
              <w:instrText xml:space="preserve"> PAGEREF _Toc204778631 \h </w:instrText>
            </w:r>
            <w:r>
              <w:rPr>
                <w:noProof/>
                <w:webHidden/>
              </w:rPr>
            </w:r>
            <w:r>
              <w:rPr>
                <w:noProof/>
                <w:webHidden/>
              </w:rPr>
              <w:fldChar w:fldCharType="separate"/>
            </w:r>
            <w:r w:rsidR="009077AD">
              <w:rPr>
                <w:noProof/>
                <w:webHidden/>
              </w:rPr>
              <w:t>14</w:t>
            </w:r>
            <w:r>
              <w:rPr>
                <w:noProof/>
                <w:webHidden/>
              </w:rPr>
              <w:fldChar w:fldCharType="end"/>
            </w:r>
          </w:hyperlink>
        </w:p>
        <w:p w14:paraId="705D1D25" w14:textId="4E1477F9" w:rsidR="00217F56" w:rsidRDefault="00217F56">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04778632" w:history="1">
            <w:r w:rsidRPr="00A77EF1">
              <w:rPr>
                <w:rStyle w:val="Hyperlink"/>
                <w:noProof/>
              </w:rPr>
              <w:t>4.5 Growth Potential and Scalability</w:t>
            </w:r>
            <w:r>
              <w:rPr>
                <w:noProof/>
                <w:webHidden/>
              </w:rPr>
              <w:tab/>
            </w:r>
            <w:r>
              <w:rPr>
                <w:noProof/>
                <w:webHidden/>
              </w:rPr>
              <w:fldChar w:fldCharType="begin"/>
            </w:r>
            <w:r>
              <w:rPr>
                <w:noProof/>
                <w:webHidden/>
              </w:rPr>
              <w:instrText xml:space="preserve"> PAGEREF _Toc204778632 \h </w:instrText>
            </w:r>
            <w:r>
              <w:rPr>
                <w:noProof/>
                <w:webHidden/>
              </w:rPr>
            </w:r>
            <w:r>
              <w:rPr>
                <w:noProof/>
                <w:webHidden/>
              </w:rPr>
              <w:fldChar w:fldCharType="separate"/>
            </w:r>
            <w:r w:rsidR="009077AD">
              <w:rPr>
                <w:noProof/>
                <w:webHidden/>
              </w:rPr>
              <w:t>14</w:t>
            </w:r>
            <w:r>
              <w:rPr>
                <w:noProof/>
                <w:webHidden/>
              </w:rPr>
              <w:fldChar w:fldCharType="end"/>
            </w:r>
          </w:hyperlink>
        </w:p>
        <w:p w14:paraId="3F340343" w14:textId="23FAE972" w:rsidR="00217F56" w:rsidRDefault="00217F56">
          <w:pPr>
            <w:pStyle w:val="TOC1"/>
            <w:tabs>
              <w:tab w:val="left" w:pos="480"/>
            </w:tabs>
            <w:rPr>
              <w:rFonts w:asciiTheme="minorHAnsi" w:eastAsiaTheme="minorEastAsia" w:hAnsiTheme="minorHAnsi" w:cstheme="minorBidi"/>
              <w:noProof/>
              <w:kern w:val="2"/>
              <w:sz w:val="24"/>
              <w:szCs w:val="24"/>
              <w:lang w:eastAsia="en-GB"/>
              <w14:ligatures w14:val="standardContextual"/>
            </w:rPr>
          </w:pPr>
          <w:hyperlink w:anchor="_Toc204778633" w:history="1">
            <w:r w:rsidRPr="00A77EF1">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A77EF1">
              <w:rPr>
                <w:rStyle w:val="Hyperlink"/>
                <w:noProof/>
              </w:rPr>
              <w:t>Conclusion &amp; Evaluation</w:t>
            </w:r>
            <w:r>
              <w:rPr>
                <w:noProof/>
                <w:webHidden/>
              </w:rPr>
              <w:tab/>
            </w:r>
            <w:r>
              <w:rPr>
                <w:noProof/>
                <w:webHidden/>
              </w:rPr>
              <w:fldChar w:fldCharType="begin"/>
            </w:r>
            <w:r>
              <w:rPr>
                <w:noProof/>
                <w:webHidden/>
              </w:rPr>
              <w:instrText xml:space="preserve"> PAGEREF _Toc204778633 \h </w:instrText>
            </w:r>
            <w:r>
              <w:rPr>
                <w:noProof/>
                <w:webHidden/>
              </w:rPr>
            </w:r>
            <w:r>
              <w:rPr>
                <w:noProof/>
                <w:webHidden/>
              </w:rPr>
              <w:fldChar w:fldCharType="separate"/>
            </w:r>
            <w:r w:rsidR="009077AD">
              <w:rPr>
                <w:noProof/>
                <w:webHidden/>
              </w:rPr>
              <w:t>15</w:t>
            </w:r>
            <w:r>
              <w:rPr>
                <w:noProof/>
                <w:webHidden/>
              </w:rPr>
              <w:fldChar w:fldCharType="end"/>
            </w:r>
          </w:hyperlink>
        </w:p>
        <w:p w14:paraId="496DEDB1" w14:textId="35E78A4E" w:rsidR="00217F56" w:rsidRDefault="00217F56">
          <w:pPr>
            <w:pStyle w:val="TOC1"/>
            <w:rPr>
              <w:rFonts w:asciiTheme="minorHAnsi" w:eastAsiaTheme="minorEastAsia" w:hAnsiTheme="minorHAnsi" w:cstheme="minorBidi"/>
              <w:noProof/>
              <w:kern w:val="2"/>
              <w:sz w:val="24"/>
              <w:szCs w:val="24"/>
              <w:lang w:eastAsia="en-GB"/>
              <w14:ligatures w14:val="standardContextual"/>
            </w:rPr>
          </w:pPr>
          <w:hyperlink w:anchor="_Toc204778634" w:history="1">
            <w:r w:rsidRPr="00A77EF1">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_Toc204778634 \h </w:instrText>
            </w:r>
            <w:r>
              <w:rPr>
                <w:noProof/>
                <w:webHidden/>
              </w:rPr>
            </w:r>
            <w:r>
              <w:rPr>
                <w:noProof/>
                <w:webHidden/>
              </w:rPr>
              <w:fldChar w:fldCharType="separate"/>
            </w:r>
            <w:r w:rsidR="009077AD">
              <w:rPr>
                <w:noProof/>
                <w:webHidden/>
              </w:rPr>
              <w:t>16</w:t>
            </w:r>
            <w:r>
              <w:rPr>
                <w:noProof/>
                <w:webHidden/>
              </w:rPr>
              <w:fldChar w:fldCharType="end"/>
            </w:r>
          </w:hyperlink>
        </w:p>
        <w:p w14:paraId="19447CAA" w14:textId="50BF90AD" w:rsidR="00217F56" w:rsidRDefault="00217F56">
          <w:pPr>
            <w:pStyle w:val="TOC1"/>
            <w:rPr>
              <w:rFonts w:asciiTheme="minorHAnsi" w:eastAsiaTheme="minorEastAsia" w:hAnsiTheme="minorHAnsi" w:cstheme="minorBidi"/>
              <w:noProof/>
              <w:kern w:val="2"/>
              <w:sz w:val="24"/>
              <w:szCs w:val="24"/>
              <w:lang w:eastAsia="en-GB"/>
              <w14:ligatures w14:val="standardContextual"/>
            </w:rPr>
          </w:pPr>
          <w:hyperlink w:anchor="_Toc204778635" w:history="1">
            <w:r w:rsidRPr="00A77EF1">
              <w:rPr>
                <w:rStyle w:val="Hyperlink"/>
                <w:rFonts w:asciiTheme="majorHAnsi" w:hAnsiTheme="majorHAnsi" w:cstheme="majorHAnsi"/>
                <w:bCs/>
                <w:noProof/>
              </w:rPr>
              <w:t>Appendix A Continuous Personal Development Plan</w:t>
            </w:r>
            <w:r>
              <w:rPr>
                <w:noProof/>
                <w:webHidden/>
              </w:rPr>
              <w:tab/>
            </w:r>
            <w:r>
              <w:rPr>
                <w:noProof/>
                <w:webHidden/>
              </w:rPr>
              <w:fldChar w:fldCharType="begin"/>
            </w:r>
            <w:r>
              <w:rPr>
                <w:noProof/>
                <w:webHidden/>
              </w:rPr>
              <w:instrText xml:space="preserve"> PAGEREF _Toc204778635 \h </w:instrText>
            </w:r>
            <w:r>
              <w:rPr>
                <w:noProof/>
                <w:webHidden/>
              </w:rPr>
            </w:r>
            <w:r>
              <w:rPr>
                <w:noProof/>
                <w:webHidden/>
              </w:rPr>
              <w:fldChar w:fldCharType="separate"/>
            </w:r>
            <w:r w:rsidR="009077AD">
              <w:rPr>
                <w:noProof/>
                <w:webHidden/>
              </w:rPr>
              <w:t>16</w:t>
            </w:r>
            <w:r>
              <w:rPr>
                <w:noProof/>
                <w:webHidden/>
              </w:rPr>
              <w:fldChar w:fldCharType="end"/>
            </w:r>
          </w:hyperlink>
        </w:p>
        <w:p w14:paraId="2A08E3AF" w14:textId="736F45AB" w:rsidR="00274FAB" w:rsidRDefault="00274FAB">
          <w:r>
            <w:rPr>
              <w:b/>
              <w:bCs/>
              <w:noProof/>
            </w:rPr>
            <w:fldChar w:fldCharType="end"/>
          </w:r>
        </w:p>
      </w:sdtContent>
    </w:sdt>
    <w:p w14:paraId="27B01F6B" w14:textId="77777777" w:rsidR="00583709" w:rsidRPr="00505353" w:rsidRDefault="00583709" w:rsidP="004B2BF5">
      <w:pPr>
        <w:keepNext/>
        <w:keepLines/>
        <w:pBdr>
          <w:top w:val="nil"/>
          <w:left w:val="nil"/>
          <w:bottom w:val="nil"/>
          <w:right w:val="nil"/>
          <w:between w:val="nil"/>
        </w:pBdr>
        <w:spacing w:after="0" w:line="240" w:lineRule="auto"/>
        <w:rPr>
          <w:rFonts w:asciiTheme="majorHAnsi" w:eastAsia="Arial" w:hAnsiTheme="majorHAnsi" w:cstheme="majorHAnsi"/>
          <w:bCs/>
          <w:color w:val="2E75B5"/>
        </w:rPr>
      </w:pPr>
    </w:p>
    <w:p w14:paraId="2AB20172" w14:textId="77777777" w:rsidR="00583709" w:rsidRPr="00505353" w:rsidRDefault="00583709" w:rsidP="004B2BF5">
      <w:pPr>
        <w:spacing w:after="0" w:line="240" w:lineRule="auto"/>
        <w:rPr>
          <w:rFonts w:asciiTheme="majorHAnsi" w:eastAsia="Tahoma" w:hAnsiTheme="majorHAnsi" w:cstheme="majorHAnsi"/>
          <w:bCs/>
          <w:color w:val="000000"/>
          <w:sz w:val="24"/>
          <w:szCs w:val="24"/>
        </w:rPr>
      </w:pPr>
    </w:p>
    <w:p w14:paraId="09EE4763" w14:textId="77777777" w:rsidR="00583709" w:rsidRPr="00505353" w:rsidRDefault="008312FD" w:rsidP="004B2BF5">
      <w:pPr>
        <w:spacing w:after="0" w:line="240" w:lineRule="auto"/>
        <w:rPr>
          <w:rFonts w:asciiTheme="majorHAnsi" w:hAnsiTheme="majorHAnsi" w:cstheme="majorHAnsi"/>
          <w:bCs/>
        </w:rPr>
      </w:pPr>
      <w:r w:rsidRPr="00505353">
        <w:rPr>
          <w:rFonts w:asciiTheme="majorHAnsi" w:hAnsiTheme="majorHAnsi" w:cstheme="majorHAnsi"/>
          <w:bCs/>
        </w:rPr>
        <w:br w:type="page"/>
      </w:r>
    </w:p>
    <w:p w14:paraId="6C25AF41" w14:textId="3A2E19C1" w:rsidR="00452E41" w:rsidRPr="00505353" w:rsidRDefault="00B52B31" w:rsidP="004B2BF5">
      <w:pPr>
        <w:pStyle w:val="Heading1"/>
        <w:spacing w:before="0" w:line="240" w:lineRule="auto"/>
        <w:rPr>
          <w:rFonts w:asciiTheme="majorHAnsi" w:hAnsiTheme="majorHAnsi" w:cstheme="majorHAnsi"/>
          <w:bCs/>
        </w:rPr>
      </w:pPr>
      <w:bookmarkStart w:id="0" w:name="_1ci93xb" w:colFirst="0" w:colLast="0"/>
      <w:bookmarkStart w:id="1" w:name="_Toc204778605"/>
      <w:bookmarkEnd w:id="0"/>
      <w:r w:rsidRPr="00B52B31">
        <w:rPr>
          <w:rFonts w:asciiTheme="majorHAnsi" w:hAnsiTheme="majorHAnsi" w:cstheme="majorHAnsi"/>
          <w:bCs/>
        </w:rPr>
        <w:lastRenderedPageBreak/>
        <w:t>Executive Summary</w:t>
      </w:r>
      <w:bookmarkEnd w:id="1"/>
    </w:p>
    <w:p w14:paraId="1FF17441" w14:textId="77777777" w:rsidR="00282FF6" w:rsidRDefault="00282FF6" w:rsidP="004B2BF5">
      <w:pPr>
        <w:spacing w:after="0" w:line="240" w:lineRule="auto"/>
        <w:rPr>
          <w:rFonts w:asciiTheme="majorHAnsi" w:hAnsiTheme="majorHAnsi" w:cstheme="majorHAnsi"/>
        </w:rPr>
      </w:pPr>
    </w:p>
    <w:p w14:paraId="19CC7AFF" w14:textId="77777777" w:rsidR="00AF5E03" w:rsidRPr="00AF5E03" w:rsidRDefault="00AF5E03" w:rsidP="00AF5E03">
      <w:pPr>
        <w:spacing w:after="0" w:line="240" w:lineRule="auto"/>
        <w:rPr>
          <w:rFonts w:asciiTheme="majorHAnsi" w:hAnsiTheme="majorHAnsi" w:cstheme="majorHAnsi"/>
        </w:rPr>
      </w:pPr>
      <w:r w:rsidRPr="00AF5E03">
        <w:rPr>
          <w:rFonts w:asciiTheme="majorHAnsi" w:hAnsiTheme="majorHAnsi" w:cstheme="majorHAnsi"/>
        </w:rPr>
        <w:t>RK Wales Property Management Ltd is a South Wales-based construction and property refurbishment company, specialising in high-quality, full-scope refurbishment projects for property investors, landlords, and developers. With five years of hands-on experience, the company has developed a reputation for reliability, efficiency, and professional delivery across residential and commercial settings.</w:t>
      </w:r>
    </w:p>
    <w:p w14:paraId="549757FC" w14:textId="77777777" w:rsidR="00AF5E03" w:rsidRPr="00AF5E03" w:rsidRDefault="00AF5E03" w:rsidP="00AF5E03">
      <w:pPr>
        <w:spacing w:after="0" w:line="240" w:lineRule="auto"/>
        <w:rPr>
          <w:rFonts w:asciiTheme="majorHAnsi" w:hAnsiTheme="majorHAnsi" w:cstheme="majorHAnsi"/>
        </w:rPr>
      </w:pPr>
      <w:r w:rsidRPr="00AF5E03">
        <w:rPr>
          <w:rFonts w:asciiTheme="majorHAnsi" w:hAnsiTheme="majorHAnsi" w:cstheme="majorHAnsi"/>
        </w:rPr>
        <w:t>This business plan outlines the company’s current operational model, market positioning, financial trajectory, and growth strategy. It reflects the company's practical approach to project management, its all-in-one refurbishment service offering, and a long-term commitment to reinvesting profits into infrastructure. With a projected turnover of £280,000, RK Wales is set to continue expanding its reach in a competitive and opportunity-rich market.</w:t>
      </w:r>
    </w:p>
    <w:p w14:paraId="68B88DDE" w14:textId="77777777" w:rsidR="00274FAB" w:rsidRPr="00505353" w:rsidRDefault="00274FAB" w:rsidP="004B2BF5">
      <w:pPr>
        <w:spacing w:after="0" w:line="240" w:lineRule="auto"/>
        <w:rPr>
          <w:rFonts w:asciiTheme="majorHAnsi" w:hAnsiTheme="majorHAnsi" w:cstheme="majorHAnsi"/>
          <w:bCs/>
        </w:rPr>
      </w:pPr>
    </w:p>
    <w:p w14:paraId="41C9903B" w14:textId="77777777" w:rsidR="00B52B31" w:rsidRPr="00505353" w:rsidRDefault="00B52B31" w:rsidP="00B52B31">
      <w:pPr>
        <w:pStyle w:val="Heading1"/>
        <w:spacing w:before="0" w:line="240" w:lineRule="auto"/>
        <w:rPr>
          <w:rFonts w:asciiTheme="majorHAnsi" w:hAnsiTheme="majorHAnsi" w:cstheme="majorHAnsi"/>
          <w:bCs/>
        </w:rPr>
      </w:pPr>
      <w:bookmarkStart w:id="2" w:name="_Toc204778606"/>
      <w:r w:rsidRPr="00505353">
        <w:rPr>
          <w:rFonts w:asciiTheme="majorHAnsi" w:hAnsiTheme="majorHAnsi" w:cstheme="majorHAnsi"/>
          <w:bCs/>
        </w:rPr>
        <w:t>Introduction</w:t>
      </w:r>
      <w:bookmarkEnd w:id="2"/>
    </w:p>
    <w:p w14:paraId="63DA3A9D" w14:textId="77777777" w:rsidR="002C496F" w:rsidRDefault="002C496F" w:rsidP="002C496F"/>
    <w:p w14:paraId="50115E27" w14:textId="77777777" w:rsidR="00AF5E03" w:rsidRDefault="00AF5E03" w:rsidP="00AF5E03">
      <w:pPr>
        <w:tabs>
          <w:tab w:val="left" w:pos="3634"/>
        </w:tabs>
        <w:spacing w:after="0" w:line="240" w:lineRule="auto"/>
      </w:pPr>
      <w:r w:rsidRPr="00AF5E03">
        <w:rPr>
          <w:b/>
          <w:bCs/>
        </w:rPr>
        <w:t>Business Idea &amp; Background:</w:t>
      </w:r>
      <w:r w:rsidRPr="00AF5E03">
        <w:br/>
        <w:t>RK Wales Property Management Ltd was established to offer a dependable and professional refurbishment solution for investors and developers in South Wales. The company fills a crucial market gap by delivering all-in-one project management and construction services under one roof, minimising delays and reducing the need for multiple subcontractors.</w:t>
      </w:r>
    </w:p>
    <w:p w14:paraId="0AC80DFB" w14:textId="77777777" w:rsidR="00AF5E03" w:rsidRPr="00AF5E03" w:rsidRDefault="00AF5E03" w:rsidP="00AF5E03">
      <w:pPr>
        <w:tabs>
          <w:tab w:val="left" w:pos="3634"/>
        </w:tabs>
        <w:spacing w:after="0" w:line="240" w:lineRule="auto"/>
      </w:pPr>
    </w:p>
    <w:p w14:paraId="4555EAF7" w14:textId="77777777" w:rsidR="00AF5E03" w:rsidRDefault="00AF5E03" w:rsidP="00AF5E03">
      <w:pPr>
        <w:tabs>
          <w:tab w:val="left" w:pos="3634"/>
        </w:tabs>
        <w:spacing w:after="0" w:line="240" w:lineRule="auto"/>
      </w:pPr>
      <w:r w:rsidRPr="00AF5E03">
        <w:rPr>
          <w:b/>
          <w:bCs/>
        </w:rPr>
        <w:t>Business Details:</w:t>
      </w:r>
      <w:r w:rsidRPr="00AF5E03">
        <w:br/>
        <w:t>The company provides full property refurbishments, kitchen and bathroom installations, fire safety improvements, snagging and remedial work, and reactive maintenance for both residential and commercial clients.</w:t>
      </w:r>
    </w:p>
    <w:p w14:paraId="1CABD523" w14:textId="77777777" w:rsidR="00AF5E03" w:rsidRPr="00AF5E03" w:rsidRDefault="00AF5E03" w:rsidP="00AF5E03">
      <w:pPr>
        <w:tabs>
          <w:tab w:val="left" w:pos="3634"/>
        </w:tabs>
        <w:spacing w:after="0" w:line="240" w:lineRule="auto"/>
      </w:pPr>
    </w:p>
    <w:p w14:paraId="0C23D5AF" w14:textId="77777777" w:rsidR="00AF5E03" w:rsidRDefault="00AF5E03" w:rsidP="00AF5E03">
      <w:pPr>
        <w:tabs>
          <w:tab w:val="left" w:pos="3634"/>
        </w:tabs>
        <w:spacing w:after="0" w:line="240" w:lineRule="auto"/>
      </w:pPr>
      <w:r w:rsidRPr="00AF5E03">
        <w:rPr>
          <w:b/>
          <w:bCs/>
        </w:rPr>
        <w:t>Legal Status:</w:t>
      </w:r>
      <w:r w:rsidRPr="00AF5E03">
        <w:br/>
        <w:t>RK Wales is a registered private limited company (Ltd) in the United Kingdom, operating in compliance with UK construction, employment, and health &amp; safety laws.</w:t>
      </w:r>
    </w:p>
    <w:p w14:paraId="68ACC28F" w14:textId="77777777" w:rsidR="00AF5E03" w:rsidRPr="00AF5E03" w:rsidRDefault="00AF5E03" w:rsidP="00AF5E03">
      <w:pPr>
        <w:tabs>
          <w:tab w:val="left" w:pos="3634"/>
        </w:tabs>
        <w:spacing w:after="0" w:line="240" w:lineRule="auto"/>
      </w:pPr>
    </w:p>
    <w:p w14:paraId="55C946C8" w14:textId="764C6281" w:rsidR="00AF5E03" w:rsidRDefault="00AF5E03" w:rsidP="00AF5E03">
      <w:pPr>
        <w:tabs>
          <w:tab w:val="left" w:pos="3634"/>
        </w:tabs>
        <w:spacing w:after="0" w:line="240" w:lineRule="auto"/>
      </w:pPr>
      <w:r w:rsidRPr="00AF5E03">
        <w:rPr>
          <w:b/>
          <w:bCs/>
        </w:rPr>
        <w:t>Owner/Management Team:</w:t>
      </w:r>
      <w:r w:rsidRPr="00AF5E03">
        <w:br/>
        <w:t xml:space="preserve">The business is owned and managed by Robert </w:t>
      </w:r>
      <w:r>
        <w:t>Kurylo</w:t>
      </w:r>
      <w:r w:rsidRPr="00AF5E03">
        <w:t xml:space="preserve">, who leads a trusted team of subcontractors and tradespeople. The company also collaborates with investor networks and </w:t>
      </w:r>
      <w:r w:rsidRPr="00AF5E03">
        <w:t>sources</w:t>
      </w:r>
      <w:r w:rsidRPr="00AF5E03">
        <w:t xml:space="preserve"> to find and deliver refurbishment opportunities.</w:t>
      </w:r>
    </w:p>
    <w:p w14:paraId="0AEF5B8B" w14:textId="77777777" w:rsidR="00AF5E03" w:rsidRPr="00AF5E03" w:rsidRDefault="00AF5E03" w:rsidP="00AF5E03">
      <w:pPr>
        <w:tabs>
          <w:tab w:val="left" w:pos="3634"/>
        </w:tabs>
        <w:spacing w:after="0" w:line="240" w:lineRule="auto"/>
      </w:pPr>
    </w:p>
    <w:p w14:paraId="25AD46F1" w14:textId="77777777" w:rsidR="00AF5E03" w:rsidRDefault="00AF5E03" w:rsidP="00AF5E03">
      <w:pPr>
        <w:tabs>
          <w:tab w:val="left" w:pos="3634"/>
        </w:tabs>
        <w:spacing w:after="0" w:line="240" w:lineRule="auto"/>
      </w:pPr>
      <w:r w:rsidRPr="00AF5E03">
        <w:rPr>
          <w:b/>
          <w:bCs/>
        </w:rPr>
        <w:t>Product/Service Details:</w:t>
      </w:r>
      <w:r w:rsidRPr="00AF5E03">
        <w:br/>
        <w:t>RK Wales offers comprehensive refurbishment services including plumbing, electrical work, carpentry, plastering, decoration, and ongoing client support. A key part of its offering is project transparency: clients receive photo/video updates and are welcome to visit sites.</w:t>
      </w:r>
    </w:p>
    <w:p w14:paraId="2615987B" w14:textId="77777777" w:rsidR="00AF5E03" w:rsidRDefault="00AF5E03" w:rsidP="00AF5E03">
      <w:pPr>
        <w:tabs>
          <w:tab w:val="left" w:pos="3634"/>
        </w:tabs>
        <w:spacing w:after="0" w:line="240" w:lineRule="auto"/>
      </w:pPr>
    </w:p>
    <w:p w14:paraId="047E6C99" w14:textId="77777777" w:rsidR="00274FAB" w:rsidRPr="00505353" w:rsidRDefault="00274FAB" w:rsidP="004B2BF5">
      <w:pPr>
        <w:tabs>
          <w:tab w:val="left" w:pos="3634"/>
        </w:tabs>
        <w:spacing w:after="0" w:line="240" w:lineRule="auto"/>
        <w:rPr>
          <w:rFonts w:asciiTheme="majorHAnsi" w:eastAsia="Arial" w:hAnsiTheme="majorHAnsi" w:cstheme="majorHAnsi"/>
          <w:bCs/>
        </w:rPr>
      </w:pPr>
    </w:p>
    <w:p w14:paraId="41151879" w14:textId="455E438E" w:rsidR="00583709" w:rsidRDefault="008312FD" w:rsidP="004B2BF5">
      <w:pPr>
        <w:pStyle w:val="Heading1"/>
        <w:spacing w:before="0" w:line="240" w:lineRule="auto"/>
        <w:rPr>
          <w:rFonts w:asciiTheme="majorHAnsi" w:hAnsiTheme="majorHAnsi" w:cstheme="majorHAnsi"/>
          <w:bCs/>
        </w:rPr>
      </w:pPr>
      <w:bookmarkStart w:id="3" w:name="_2p2csry" w:colFirst="0" w:colLast="0"/>
      <w:bookmarkStart w:id="4" w:name="_Toc204778607"/>
      <w:bookmarkEnd w:id="3"/>
      <w:r w:rsidRPr="00505353">
        <w:rPr>
          <w:rFonts w:asciiTheme="majorHAnsi" w:hAnsiTheme="majorHAnsi" w:cstheme="majorHAnsi"/>
          <w:bCs/>
        </w:rPr>
        <w:t xml:space="preserve">Section </w:t>
      </w:r>
      <w:r w:rsidR="001F413F">
        <w:rPr>
          <w:rFonts w:asciiTheme="majorHAnsi" w:hAnsiTheme="majorHAnsi" w:cstheme="majorHAnsi"/>
          <w:bCs/>
        </w:rPr>
        <w:t>1</w:t>
      </w:r>
      <w:r w:rsidRPr="00505353">
        <w:rPr>
          <w:rFonts w:asciiTheme="majorHAnsi" w:hAnsiTheme="majorHAnsi" w:cstheme="majorHAnsi"/>
          <w:bCs/>
        </w:rPr>
        <w:t xml:space="preserve">: </w:t>
      </w:r>
      <w:r w:rsidR="00F14BC5" w:rsidRPr="00F14BC5">
        <w:rPr>
          <w:rFonts w:asciiTheme="majorHAnsi" w:hAnsiTheme="majorHAnsi" w:cstheme="majorHAnsi"/>
          <w:bCs/>
        </w:rPr>
        <w:t>Market and Competitors</w:t>
      </w:r>
      <w:bookmarkEnd w:id="4"/>
    </w:p>
    <w:p w14:paraId="24CC38EA" w14:textId="77777777" w:rsidR="00F14BC5" w:rsidRDefault="00F14BC5" w:rsidP="00F14BC5"/>
    <w:p w14:paraId="777497CD" w14:textId="5D3CB4C6" w:rsidR="00F14BC5" w:rsidRDefault="00F14BC5" w:rsidP="00F1765D">
      <w:r w:rsidRPr="00F14BC5">
        <w:t xml:space="preserve">The construction and property refurbishment sector in South Wales continues to grow, driven by increased demand for rental-ready properties, investor-led renovations, and government-backed regeneration schemes. </w:t>
      </w:r>
      <w:proofErr w:type="gramStart"/>
      <w:r w:rsidRPr="00F14BC5">
        <w:t>In particular, areas</w:t>
      </w:r>
      <w:proofErr w:type="gramEnd"/>
      <w:r w:rsidRPr="00F14BC5">
        <w:t xml:space="preserve"> like Swansea, Llanelli, and Cardiff are experiencing renewed </w:t>
      </w:r>
      <w:r w:rsidRPr="00F14BC5">
        <w:lastRenderedPageBreak/>
        <w:t>interest from developers and buy-to-let landlords, many of whom seek reliable contractors to carry out cost-effective, high-quality refurbishment work.</w:t>
      </w:r>
    </w:p>
    <w:p w14:paraId="1C57EBB0" w14:textId="77777777" w:rsidR="00F14BC5" w:rsidRPr="00F1765D" w:rsidRDefault="00F14BC5" w:rsidP="00F1765D"/>
    <w:p w14:paraId="08928F67" w14:textId="6EEAE8B1" w:rsidR="00C95E24" w:rsidRDefault="00F14BC5" w:rsidP="00F14BC5">
      <w:pPr>
        <w:pStyle w:val="Heading2"/>
        <w:numPr>
          <w:ilvl w:val="1"/>
          <w:numId w:val="25"/>
        </w:numPr>
      </w:pPr>
      <w:bookmarkStart w:id="5" w:name="_Toc204778608"/>
      <w:r w:rsidRPr="00F14BC5">
        <w:t>Market Overview and Trends</w:t>
      </w:r>
      <w:bookmarkEnd w:id="5"/>
    </w:p>
    <w:p w14:paraId="02ED9146" w14:textId="77777777" w:rsidR="00F14BC5" w:rsidRPr="00F14BC5" w:rsidRDefault="00F14BC5" w:rsidP="00F14BC5"/>
    <w:p w14:paraId="01DC2FCE" w14:textId="77777777" w:rsidR="00F14BC5" w:rsidRPr="00F14BC5" w:rsidRDefault="00F14BC5" w:rsidP="00F14BC5">
      <w:pPr>
        <w:spacing w:after="0" w:line="240" w:lineRule="auto"/>
        <w:rPr>
          <w:rFonts w:asciiTheme="majorHAnsi" w:hAnsiTheme="majorHAnsi" w:cstheme="majorHAnsi"/>
        </w:rPr>
      </w:pPr>
      <w:r w:rsidRPr="00F14BC5">
        <w:rPr>
          <w:rFonts w:asciiTheme="majorHAnsi" w:hAnsiTheme="majorHAnsi" w:cstheme="majorHAnsi"/>
        </w:rPr>
        <w:t>The UK refurbishment and maintenance sector accounts for a significant portion of construction activity, with small and medium-sized enterprises (SMEs) playing a dominant role in delivering localised, tailored services. In the South Wales region, the demand for refurbishment services is sustained by a combination of ageing housing stock, economic redevelopment, and investor interest in converting properties into HMOs or high-yield rentals.</w:t>
      </w:r>
    </w:p>
    <w:p w14:paraId="77229BDE" w14:textId="77777777" w:rsidR="00F14BC5" w:rsidRPr="00F14BC5" w:rsidRDefault="00F14BC5" w:rsidP="00F14BC5">
      <w:pPr>
        <w:spacing w:after="0" w:line="240" w:lineRule="auto"/>
        <w:rPr>
          <w:rFonts w:asciiTheme="majorHAnsi" w:hAnsiTheme="majorHAnsi" w:cstheme="majorHAnsi"/>
        </w:rPr>
      </w:pPr>
      <w:r w:rsidRPr="00F14BC5">
        <w:rPr>
          <w:rFonts w:asciiTheme="majorHAnsi" w:hAnsiTheme="majorHAnsi" w:cstheme="majorHAnsi"/>
        </w:rPr>
        <w:t>According to Hinks and Cook (2021), SMEs that offer full-package services—project management, labour, and compliance—are more likely to secure repeat business in this evolving landscape. RK Wales operates precisely in this space, giving it a strong foothold in a growing, service-conscious market.</w:t>
      </w:r>
    </w:p>
    <w:p w14:paraId="1C816CEF" w14:textId="77777777" w:rsidR="00226E6B" w:rsidRPr="00505353" w:rsidRDefault="00226E6B" w:rsidP="00226E6B">
      <w:pPr>
        <w:spacing w:after="0" w:line="240" w:lineRule="auto"/>
        <w:rPr>
          <w:rFonts w:asciiTheme="majorHAnsi" w:hAnsiTheme="majorHAnsi" w:cstheme="majorHAnsi"/>
        </w:rPr>
      </w:pPr>
    </w:p>
    <w:p w14:paraId="7B1C8B18" w14:textId="77777777" w:rsidR="00F14BC5" w:rsidRDefault="00F14BC5" w:rsidP="00226E6B">
      <w:pPr>
        <w:spacing w:after="0" w:line="240" w:lineRule="auto"/>
        <w:rPr>
          <w:rFonts w:asciiTheme="majorHAnsi" w:hAnsiTheme="majorHAnsi" w:cstheme="majorHAnsi"/>
        </w:rPr>
      </w:pPr>
    </w:p>
    <w:p w14:paraId="43E76F09" w14:textId="2E2B842A" w:rsidR="00F1765D" w:rsidRDefault="00F14BC5" w:rsidP="00F1765D">
      <w:pPr>
        <w:pStyle w:val="Heading2"/>
      </w:pPr>
      <w:bookmarkStart w:id="6" w:name="_Toc204778609"/>
      <w:r>
        <w:t>1.2 Pestel Analysis</w:t>
      </w:r>
      <w:bookmarkEnd w:id="6"/>
    </w:p>
    <w:p w14:paraId="4DC15519" w14:textId="77777777" w:rsidR="00F1765D" w:rsidRDefault="00F1765D" w:rsidP="00F1765D"/>
    <w:p w14:paraId="468E4EDC" w14:textId="13A07AAF" w:rsidR="00F14BC5" w:rsidRPr="00F14BC5" w:rsidRDefault="00F14BC5" w:rsidP="00F14BC5">
      <w:pPr>
        <w:pStyle w:val="ListParagraph"/>
        <w:numPr>
          <w:ilvl w:val="0"/>
          <w:numId w:val="26"/>
        </w:numPr>
      </w:pPr>
      <w:r w:rsidRPr="00F14BC5">
        <w:rPr>
          <w:b/>
          <w:bCs/>
        </w:rPr>
        <w:t>Political</w:t>
      </w:r>
      <w:r w:rsidRPr="00F14BC5">
        <w:t>: Stable UK construction regulations; emphasis on building safety post-Grenfell.</w:t>
      </w:r>
    </w:p>
    <w:p w14:paraId="5C7433AC" w14:textId="0B7CDC19" w:rsidR="00F14BC5" w:rsidRPr="00F14BC5" w:rsidRDefault="00F14BC5" w:rsidP="00F14BC5">
      <w:pPr>
        <w:pStyle w:val="ListParagraph"/>
        <w:numPr>
          <w:ilvl w:val="0"/>
          <w:numId w:val="26"/>
        </w:numPr>
      </w:pPr>
      <w:r w:rsidRPr="00F14BC5">
        <w:rPr>
          <w:b/>
          <w:bCs/>
        </w:rPr>
        <w:t>Economic</w:t>
      </w:r>
      <w:r w:rsidRPr="00F14BC5">
        <w:t>: Rising interest rates affect buyer sentiment but increase rental demand.</w:t>
      </w:r>
    </w:p>
    <w:p w14:paraId="70EF40F2" w14:textId="75F3FA9B" w:rsidR="00F14BC5" w:rsidRPr="00F14BC5" w:rsidRDefault="00F14BC5" w:rsidP="00F14BC5">
      <w:pPr>
        <w:pStyle w:val="ListParagraph"/>
        <w:numPr>
          <w:ilvl w:val="0"/>
          <w:numId w:val="26"/>
        </w:numPr>
      </w:pPr>
      <w:r w:rsidRPr="00F14BC5">
        <w:rPr>
          <w:b/>
          <w:bCs/>
        </w:rPr>
        <w:t>Social</w:t>
      </w:r>
      <w:r w:rsidRPr="00F14BC5">
        <w:t>: Growth in housing associations and demand for quality rental properties.</w:t>
      </w:r>
    </w:p>
    <w:p w14:paraId="259B8099" w14:textId="3D871E26" w:rsidR="00F14BC5" w:rsidRPr="00F14BC5" w:rsidRDefault="00F14BC5" w:rsidP="00F14BC5">
      <w:pPr>
        <w:pStyle w:val="ListParagraph"/>
        <w:numPr>
          <w:ilvl w:val="0"/>
          <w:numId w:val="26"/>
        </w:numPr>
      </w:pPr>
      <w:r w:rsidRPr="00F14BC5">
        <w:rPr>
          <w:b/>
          <w:bCs/>
        </w:rPr>
        <w:t>Technological</w:t>
      </w:r>
      <w:r w:rsidRPr="00F14BC5">
        <w:t>: Increased use of digital tools for project tracking and remote client updates.</w:t>
      </w:r>
    </w:p>
    <w:p w14:paraId="59A12AA6" w14:textId="75689AAE" w:rsidR="00F14BC5" w:rsidRPr="00F14BC5" w:rsidRDefault="00F14BC5" w:rsidP="00F14BC5">
      <w:pPr>
        <w:pStyle w:val="ListParagraph"/>
        <w:numPr>
          <w:ilvl w:val="0"/>
          <w:numId w:val="26"/>
        </w:numPr>
      </w:pPr>
      <w:r w:rsidRPr="00F14BC5">
        <w:rPr>
          <w:b/>
          <w:bCs/>
        </w:rPr>
        <w:t>Legal</w:t>
      </w:r>
      <w:r w:rsidRPr="00F14BC5">
        <w:t>: Ever-changing building control rules and fire safety laws require compliance-ready contractors.</w:t>
      </w:r>
    </w:p>
    <w:p w14:paraId="16EDFD92" w14:textId="5DE79068" w:rsidR="00F14BC5" w:rsidRPr="00F14BC5" w:rsidRDefault="00F14BC5" w:rsidP="00F14BC5">
      <w:pPr>
        <w:pStyle w:val="ListParagraph"/>
        <w:numPr>
          <w:ilvl w:val="0"/>
          <w:numId w:val="26"/>
        </w:numPr>
      </w:pPr>
      <w:r w:rsidRPr="00F14BC5">
        <w:rPr>
          <w:b/>
          <w:bCs/>
        </w:rPr>
        <w:t>Environmental</w:t>
      </w:r>
      <w:r w:rsidRPr="00F14BC5">
        <w:t>: Greater focus on energy-efficient refurbishments and low-waste construction.</w:t>
      </w:r>
    </w:p>
    <w:p w14:paraId="221C688B" w14:textId="77777777" w:rsidR="00F14BC5" w:rsidRDefault="00F14BC5" w:rsidP="00F1765D"/>
    <w:p w14:paraId="08B6FA62" w14:textId="59CB28C7" w:rsidR="00F1765D" w:rsidRDefault="00F14BC5" w:rsidP="00F14BC5">
      <w:pPr>
        <w:pStyle w:val="Heading2"/>
        <w:numPr>
          <w:ilvl w:val="1"/>
          <w:numId w:val="27"/>
        </w:numPr>
      </w:pPr>
      <w:bookmarkStart w:id="7" w:name="_Toc204778610"/>
      <w:r>
        <w:t>SWOT Analysis</w:t>
      </w:r>
      <w:bookmarkEnd w:id="7"/>
    </w:p>
    <w:p w14:paraId="2E03E859" w14:textId="77777777" w:rsidR="00F14BC5" w:rsidRDefault="00F14BC5" w:rsidP="00F14BC5"/>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53"/>
        <w:gridCol w:w="4994"/>
      </w:tblGrid>
      <w:tr w:rsidR="00F14BC5" w:rsidRPr="00F14BC5" w14:paraId="7F6E5439" w14:textId="77777777">
        <w:trPr>
          <w:tblHeader/>
          <w:tblCellSpacing w:w="15" w:type="dxa"/>
        </w:trPr>
        <w:tc>
          <w:tcPr>
            <w:tcW w:w="0" w:type="auto"/>
            <w:vAlign w:val="center"/>
            <w:hideMark/>
          </w:tcPr>
          <w:p w14:paraId="528C46F7" w14:textId="77777777" w:rsidR="00F14BC5" w:rsidRPr="00F14BC5" w:rsidRDefault="00F14BC5" w:rsidP="00F14BC5">
            <w:pPr>
              <w:rPr>
                <w:b/>
                <w:bCs/>
              </w:rPr>
            </w:pPr>
            <w:r w:rsidRPr="00F14BC5">
              <w:rPr>
                <w:b/>
                <w:bCs/>
              </w:rPr>
              <w:t>Strengths</w:t>
            </w:r>
          </w:p>
        </w:tc>
        <w:tc>
          <w:tcPr>
            <w:tcW w:w="0" w:type="auto"/>
            <w:vAlign w:val="center"/>
            <w:hideMark/>
          </w:tcPr>
          <w:p w14:paraId="6A8B5CA7" w14:textId="272A2E27" w:rsidR="00F14BC5" w:rsidRPr="00F14BC5" w:rsidRDefault="00F14BC5" w:rsidP="00F14BC5">
            <w:pPr>
              <w:rPr>
                <w:b/>
                <w:bCs/>
              </w:rPr>
            </w:pPr>
            <w:r>
              <w:rPr>
                <w:b/>
                <w:bCs/>
              </w:rPr>
              <w:t xml:space="preserve">           </w:t>
            </w:r>
            <w:r w:rsidRPr="00F14BC5">
              <w:rPr>
                <w:b/>
                <w:bCs/>
              </w:rPr>
              <w:t>Weaknesses</w:t>
            </w:r>
          </w:p>
        </w:tc>
      </w:tr>
      <w:tr w:rsidR="00F14BC5" w:rsidRPr="00F14BC5" w14:paraId="79F76EE4" w14:textId="77777777">
        <w:trPr>
          <w:tblCellSpacing w:w="15" w:type="dxa"/>
        </w:trPr>
        <w:tc>
          <w:tcPr>
            <w:tcW w:w="0" w:type="auto"/>
            <w:vAlign w:val="center"/>
            <w:hideMark/>
          </w:tcPr>
          <w:p w14:paraId="46A1FB94" w14:textId="77777777" w:rsidR="00F14BC5" w:rsidRPr="00F14BC5" w:rsidRDefault="00F14BC5" w:rsidP="00F14BC5">
            <w:r w:rsidRPr="00F14BC5">
              <w:t>Trusted by investors; strong leadership</w:t>
            </w:r>
          </w:p>
        </w:tc>
        <w:tc>
          <w:tcPr>
            <w:tcW w:w="0" w:type="auto"/>
            <w:vAlign w:val="center"/>
            <w:hideMark/>
          </w:tcPr>
          <w:p w14:paraId="4F3D33C2" w14:textId="50FD9FB6" w:rsidR="00F14BC5" w:rsidRPr="00F14BC5" w:rsidRDefault="00F14BC5" w:rsidP="00F14BC5">
            <w:r>
              <w:t xml:space="preserve">           </w:t>
            </w:r>
            <w:r w:rsidRPr="00F14BC5">
              <w:t>Limited in-house team capacity for large projects</w:t>
            </w:r>
          </w:p>
        </w:tc>
      </w:tr>
      <w:tr w:rsidR="00F14BC5" w:rsidRPr="00F14BC5" w14:paraId="1F492818" w14:textId="77777777">
        <w:trPr>
          <w:tblCellSpacing w:w="15" w:type="dxa"/>
        </w:trPr>
        <w:tc>
          <w:tcPr>
            <w:tcW w:w="0" w:type="auto"/>
            <w:vAlign w:val="center"/>
            <w:hideMark/>
          </w:tcPr>
          <w:p w14:paraId="246623BB" w14:textId="77777777" w:rsidR="00F14BC5" w:rsidRPr="00F14BC5" w:rsidRDefault="00F14BC5" w:rsidP="00F14BC5">
            <w:r w:rsidRPr="00F14BC5">
              <w:t>Full-scope project delivery</w:t>
            </w:r>
          </w:p>
        </w:tc>
        <w:tc>
          <w:tcPr>
            <w:tcW w:w="0" w:type="auto"/>
            <w:vAlign w:val="center"/>
            <w:hideMark/>
          </w:tcPr>
          <w:p w14:paraId="7D757CFE" w14:textId="5B564923" w:rsidR="00F14BC5" w:rsidRPr="00F14BC5" w:rsidRDefault="00F14BC5" w:rsidP="00F14BC5">
            <w:r>
              <w:t xml:space="preserve">           </w:t>
            </w:r>
            <w:r w:rsidRPr="00F14BC5">
              <w:t>High early-stage reinvestment costs</w:t>
            </w:r>
          </w:p>
        </w:tc>
      </w:tr>
      <w:tr w:rsidR="00F14BC5" w:rsidRPr="00F14BC5" w14:paraId="1D297D32" w14:textId="77777777">
        <w:trPr>
          <w:tblCellSpacing w:w="15" w:type="dxa"/>
        </w:trPr>
        <w:tc>
          <w:tcPr>
            <w:tcW w:w="0" w:type="auto"/>
            <w:vAlign w:val="center"/>
            <w:hideMark/>
          </w:tcPr>
          <w:p w14:paraId="5493D218" w14:textId="77777777" w:rsidR="00F14BC5" w:rsidRPr="00F14BC5" w:rsidRDefault="00F14BC5" w:rsidP="00F14BC5">
            <w:r w:rsidRPr="00F14BC5">
              <w:t>High client satisfaction and referrals</w:t>
            </w:r>
          </w:p>
        </w:tc>
        <w:tc>
          <w:tcPr>
            <w:tcW w:w="0" w:type="auto"/>
            <w:vAlign w:val="center"/>
            <w:hideMark/>
          </w:tcPr>
          <w:p w14:paraId="45EFD775" w14:textId="4621DD06" w:rsidR="00F14BC5" w:rsidRPr="00F14BC5" w:rsidRDefault="00F14BC5" w:rsidP="00F14BC5">
            <w:r>
              <w:t xml:space="preserve">           </w:t>
            </w:r>
            <w:r w:rsidRPr="00F14BC5">
              <w:t>Limited brand exposure outside South Wales</w:t>
            </w:r>
          </w:p>
        </w:tc>
      </w:tr>
    </w:tbl>
    <w:p w14:paraId="5BB4AAE6" w14:textId="77777777" w:rsidR="00F14BC5" w:rsidRPr="00F14BC5" w:rsidRDefault="00F14BC5" w:rsidP="00F14BC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90"/>
        <w:gridCol w:w="3538"/>
      </w:tblGrid>
      <w:tr w:rsidR="00F14BC5" w:rsidRPr="00F14BC5" w14:paraId="2A605CCE" w14:textId="77777777">
        <w:trPr>
          <w:tblHeader/>
          <w:tblCellSpacing w:w="15" w:type="dxa"/>
        </w:trPr>
        <w:tc>
          <w:tcPr>
            <w:tcW w:w="0" w:type="auto"/>
            <w:vAlign w:val="center"/>
            <w:hideMark/>
          </w:tcPr>
          <w:p w14:paraId="3D0D1B30" w14:textId="77777777" w:rsidR="00F14BC5" w:rsidRPr="00F14BC5" w:rsidRDefault="00F14BC5" w:rsidP="00F14BC5">
            <w:pPr>
              <w:rPr>
                <w:b/>
                <w:bCs/>
              </w:rPr>
            </w:pPr>
            <w:r w:rsidRPr="00F14BC5">
              <w:rPr>
                <w:b/>
                <w:bCs/>
              </w:rPr>
              <w:t>Opportunities</w:t>
            </w:r>
          </w:p>
        </w:tc>
        <w:tc>
          <w:tcPr>
            <w:tcW w:w="0" w:type="auto"/>
            <w:vAlign w:val="center"/>
            <w:hideMark/>
          </w:tcPr>
          <w:p w14:paraId="3AD8CDEA" w14:textId="77777777" w:rsidR="00F14BC5" w:rsidRPr="00F14BC5" w:rsidRDefault="00F14BC5" w:rsidP="00F14BC5">
            <w:pPr>
              <w:rPr>
                <w:b/>
                <w:bCs/>
              </w:rPr>
            </w:pPr>
            <w:r w:rsidRPr="00F14BC5">
              <w:rPr>
                <w:b/>
                <w:bCs/>
              </w:rPr>
              <w:t>Threats</w:t>
            </w:r>
          </w:p>
        </w:tc>
      </w:tr>
      <w:tr w:rsidR="00F14BC5" w:rsidRPr="00F14BC5" w14:paraId="39E643C7" w14:textId="77777777">
        <w:trPr>
          <w:tblCellSpacing w:w="15" w:type="dxa"/>
        </w:trPr>
        <w:tc>
          <w:tcPr>
            <w:tcW w:w="0" w:type="auto"/>
            <w:vAlign w:val="center"/>
            <w:hideMark/>
          </w:tcPr>
          <w:p w14:paraId="4DD519A9" w14:textId="77777777" w:rsidR="00F14BC5" w:rsidRPr="00F14BC5" w:rsidRDefault="00F14BC5" w:rsidP="00F14BC5">
            <w:r w:rsidRPr="00F14BC5">
              <w:t>Housing association partnerships</w:t>
            </w:r>
          </w:p>
        </w:tc>
        <w:tc>
          <w:tcPr>
            <w:tcW w:w="0" w:type="auto"/>
            <w:vAlign w:val="center"/>
            <w:hideMark/>
          </w:tcPr>
          <w:p w14:paraId="03464589" w14:textId="77777777" w:rsidR="00F14BC5" w:rsidRPr="00F14BC5" w:rsidRDefault="00F14BC5" w:rsidP="00F14BC5">
            <w:r w:rsidRPr="00F14BC5">
              <w:t>Price competition from sole traders</w:t>
            </w:r>
          </w:p>
        </w:tc>
      </w:tr>
      <w:tr w:rsidR="00F14BC5" w:rsidRPr="00F14BC5" w14:paraId="3DEE0237" w14:textId="77777777">
        <w:trPr>
          <w:tblCellSpacing w:w="15" w:type="dxa"/>
        </w:trPr>
        <w:tc>
          <w:tcPr>
            <w:tcW w:w="0" w:type="auto"/>
            <w:vAlign w:val="center"/>
            <w:hideMark/>
          </w:tcPr>
          <w:p w14:paraId="51C30D2D" w14:textId="77777777" w:rsidR="00F14BC5" w:rsidRPr="00F14BC5" w:rsidRDefault="00F14BC5" w:rsidP="00F14BC5">
            <w:r w:rsidRPr="00F14BC5">
              <w:lastRenderedPageBreak/>
              <w:t>Regeneration funding in South Wales</w:t>
            </w:r>
          </w:p>
        </w:tc>
        <w:tc>
          <w:tcPr>
            <w:tcW w:w="0" w:type="auto"/>
            <w:vAlign w:val="center"/>
            <w:hideMark/>
          </w:tcPr>
          <w:p w14:paraId="42DD46B2" w14:textId="77777777" w:rsidR="00F14BC5" w:rsidRPr="00F14BC5" w:rsidRDefault="00F14BC5" w:rsidP="00F14BC5">
            <w:r w:rsidRPr="00F14BC5">
              <w:t>Rising material costs and supply delays</w:t>
            </w:r>
          </w:p>
        </w:tc>
      </w:tr>
      <w:tr w:rsidR="00F14BC5" w:rsidRPr="00F14BC5" w14:paraId="60B81F39" w14:textId="77777777">
        <w:trPr>
          <w:tblCellSpacing w:w="15" w:type="dxa"/>
        </w:trPr>
        <w:tc>
          <w:tcPr>
            <w:tcW w:w="0" w:type="auto"/>
            <w:vAlign w:val="center"/>
            <w:hideMark/>
          </w:tcPr>
          <w:p w14:paraId="6ED7D2DE" w14:textId="77777777" w:rsidR="00F14BC5" w:rsidRPr="00F14BC5" w:rsidRDefault="00F14BC5" w:rsidP="00F14BC5">
            <w:r w:rsidRPr="00F14BC5">
              <w:t>Growing demand for turnkey investment services</w:t>
            </w:r>
          </w:p>
        </w:tc>
        <w:tc>
          <w:tcPr>
            <w:tcW w:w="0" w:type="auto"/>
            <w:vAlign w:val="center"/>
            <w:hideMark/>
          </w:tcPr>
          <w:p w14:paraId="68C17526" w14:textId="77777777" w:rsidR="00F14BC5" w:rsidRPr="00F14BC5" w:rsidRDefault="00F14BC5" w:rsidP="00F14BC5">
            <w:r w:rsidRPr="00F14BC5">
              <w:t>Regulatory burden on small firms</w:t>
            </w:r>
          </w:p>
        </w:tc>
      </w:tr>
    </w:tbl>
    <w:p w14:paraId="73303CEE" w14:textId="3A077173" w:rsidR="00F14BC5" w:rsidRDefault="00F14BC5" w:rsidP="00F14BC5">
      <w:pPr>
        <w:pStyle w:val="Heading2"/>
        <w:numPr>
          <w:ilvl w:val="1"/>
          <w:numId w:val="27"/>
        </w:numPr>
      </w:pPr>
      <w:bookmarkStart w:id="8" w:name="_Toc204778611"/>
      <w:r w:rsidRPr="00F14BC5">
        <w:t>Customers and Target Market</w:t>
      </w:r>
      <w:bookmarkEnd w:id="8"/>
    </w:p>
    <w:p w14:paraId="7D762F74" w14:textId="77777777" w:rsidR="00F14BC5" w:rsidRDefault="00F14BC5" w:rsidP="00F14BC5"/>
    <w:p w14:paraId="4F0A0573" w14:textId="77777777" w:rsidR="00F14BC5" w:rsidRPr="00F14BC5" w:rsidRDefault="00F14BC5" w:rsidP="00F14BC5">
      <w:r w:rsidRPr="00F14BC5">
        <w:t>RK Wales targets the following customer segments:</w:t>
      </w:r>
    </w:p>
    <w:p w14:paraId="4E7FF467" w14:textId="77777777" w:rsidR="00F14BC5" w:rsidRPr="00F14BC5" w:rsidRDefault="00F14BC5" w:rsidP="00F14BC5">
      <w:pPr>
        <w:pStyle w:val="ListParagraph"/>
        <w:numPr>
          <w:ilvl w:val="0"/>
          <w:numId w:val="30"/>
        </w:numPr>
      </w:pPr>
      <w:r w:rsidRPr="00F14BC5">
        <w:rPr>
          <w:b/>
          <w:bCs/>
        </w:rPr>
        <w:t>Property developers</w:t>
      </w:r>
      <w:r w:rsidRPr="00F14BC5">
        <w:t xml:space="preserve"> seeking reliable refurb partners</w:t>
      </w:r>
    </w:p>
    <w:p w14:paraId="1DCFF547" w14:textId="77777777" w:rsidR="00F14BC5" w:rsidRPr="00F14BC5" w:rsidRDefault="00F14BC5" w:rsidP="00F14BC5">
      <w:pPr>
        <w:pStyle w:val="ListParagraph"/>
        <w:numPr>
          <w:ilvl w:val="0"/>
          <w:numId w:val="30"/>
        </w:numPr>
      </w:pPr>
      <w:r w:rsidRPr="00F14BC5">
        <w:rPr>
          <w:b/>
          <w:bCs/>
        </w:rPr>
        <w:t>Landlords</w:t>
      </w:r>
      <w:r w:rsidRPr="00F14BC5">
        <w:t xml:space="preserve"> requiring tenant-ready upgrades</w:t>
      </w:r>
    </w:p>
    <w:p w14:paraId="4E0160CF" w14:textId="77777777" w:rsidR="00F14BC5" w:rsidRPr="00F14BC5" w:rsidRDefault="00F14BC5" w:rsidP="00F14BC5">
      <w:pPr>
        <w:pStyle w:val="ListParagraph"/>
        <w:numPr>
          <w:ilvl w:val="0"/>
          <w:numId w:val="30"/>
        </w:numPr>
      </w:pPr>
      <w:r w:rsidRPr="00F14BC5">
        <w:rPr>
          <w:b/>
          <w:bCs/>
        </w:rPr>
        <w:t>Housing associations</w:t>
      </w:r>
      <w:r w:rsidRPr="00F14BC5">
        <w:t xml:space="preserve"> needing compliant upgrades</w:t>
      </w:r>
    </w:p>
    <w:p w14:paraId="25EBD1FF" w14:textId="77777777" w:rsidR="00F14BC5" w:rsidRDefault="00F14BC5" w:rsidP="00F14BC5">
      <w:pPr>
        <w:pStyle w:val="ListParagraph"/>
        <w:numPr>
          <w:ilvl w:val="0"/>
          <w:numId w:val="30"/>
        </w:numPr>
      </w:pPr>
      <w:r w:rsidRPr="00F14BC5">
        <w:rPr>
          <w:b/>
          <w:bCs/>
        </w:rPr>
        <w:t>Property sourcers and investors</w:t>
      </w:r>
      <w:r w:rsidRPr="00F14BC5">
        <w:t>, especially those outside Wales</w:t>
      </w:r>
    </w:p>
    <w:p w14:paraId="17314A75" w14:textId="77777777" w:rsidR="008104C1" w:rsidRPr="00F14BC5" w:rsidRDefault="008104C1" w:rsidP="008104C1">
      <w:pPr>
        <w:pStyle w:val="ListParagraph"/>
      </w:pPr>
    </w:p>
    <w:p w14:paraId="62E3F395" w14:textId="77777777" w:rsidR="00F14BC5" w:rsidRPr="00F14BC5" w:rsidRDefault="00F14BC5" w:rsidP="00F14BC5">
      <w:r w:rsidRPr="00F14BC5">
        <w:t>The company’s project management capability is a major selling point for remote investors who want hands-off refurbishments with regular updates and guaranteed standards.</w:t>
      </w:r>
    </w:p>
    <w:p w14:paraId="47A99180" w14:textId="77777777" w:rsidR="00F14BC5" w:rsidRDefault="00F14BC5" w:rsidP="00226E6B">
      <w:pPr>
        <w:spacing w:after="0" w:line="240" w:lineRule="auto"/>
      </w:pPr>
    </w:p>
    <w:p w14:paraId="5D369201" w14:textId="19A84245" w:rsidR="00F14BC5" w:rsidRDefault="00F14BC5" w:rsidP="00F14BC5">
      <w:pPr>
        <w:pStyle w:val="Heading2"/>
        <w:numPr>
          <w:ilvl w:val="1"/>
          <w:numId w:val="27"/>
        </w:numPr>
      </w:pPr>
      <w:bookmarkStart w:id="9" w:name="_Toc204778612"/>
      <w:r w:rsidRPr="00F14BC5">
        <w:t>Competitor Analysis</w:t>
      </w:r>
      <w:bookmarkEnd w:id="9"/>
    </w:p>
    <w:p w14:paraId="0E6D7EDB" w14:textId="77777777" w:rsidR="00F14BC5" w:rsidRDefault="00F14BC5" w:rsidP="00F14BC5"/>
    <w:p w14:paraId="67A80B12" w14:textId="77777777" w:rsidR="008104C1" w:rsidRPr="008104C1" w:rsidRDefault="008104C1" w:rsidP="008104C1">
      <w:r w:rsidRPr="008104C1">
        <w:t>The market includes:</w:t>
      </w:r>
    </w:p>
    <w:p w14:paraId="34BD944C" w14:textId="77777777" w:rsidR="008104C1" w:rsidRPr="008104C1" w:rsidRDefault="008104C1" w:rsidP="008104C1">
      <w:pPr>
        <w:pStyle w:val="ListParagraph"/>
        <w:numPr>
          <w:ilvl w:val="0"/>
          <w:numId w:val="32"/>
        </w:numPr>
      </w:pPr>
      <w:r w:rsidRPr="008104C1">
        <w:rPr>
          <w:b/>
          <w:bCs/>
        </w:rPr>
        <w:t>Local sole traders</w:t>
      </w:r>
      <w:r w:rsidRPr="008104C1">
        <w:t xml:space="preserve"> offering low-cost services without guarantees</w:t>
      </w:r>
    </w:p>
    <w:p w14:paraId="67EEF5FB" w14:textId="77777777" w:rsidR="008104C1" w:rsidRPr="008104C1" w:rsidRDefault="008104C1" w:rsidP="008104C1">
      <w:pPr>
        <w:pStyle w:val="ListParagraph"/>
        <w:numPr>
          <w:ilvl w:val="0"/>
          <w:numId w:val="32"/>
        </w:numPr>
      </w:pPr>
      <w:r w:rsidRPr="008104C1">
        <w:rPr>
          <w:b/>
          <w:bCs/>
        </w:rPr>
        <w:t>Larger firms</w:t>
      </w:r>
      <w:r w:rsidRPr="008104C1">
        <w:t xml:space="preserve"> focused on new builds rather than refurbs</w:t>
      </w:r>
    </w:p>
    <w:p w14:paraId="555F9E3C" w14:textId="77777777" w:rsidR="008104C1" w:rsidRDefault="008104C1" w:rsidP="008104C1">
      <w:pPr>
        <w:pStyle w:val="ListParagraph"/>
        <w:numPr>
          <w:ilvl w:val="0"/>
          <w:numId w:val="32"/>
        </w:numPr>
      </w:pPr>
      <w:r w:rsidRPr="008104C1">
        <w:rPr>
          <w:b/>
          <w:bCs/>
        </w:rPr>
        <w:t>Non-local contractors</w:t>
      </w:r>
      <w:r w:rsidRPr="008104C1">
        <w:t xml:space="preserve"> with inconsistent availability and quality</w:t>
      </w:r>
    </w:p>
    <w:p w14:paraId="77BF780E" w14:textId="77777777" w:rsidR="008104C1" w:rsidRPr="008104C1" w:rsidRDefault="008104C1" w:rsidP="008104C1">
      <w:pPr>
        <w:pStyle w:val="ListParagraph"/>
      </w:pPr>
    </w:p>
    <w:p w14:paraId="50464DE5" w14:textId="77777777" w:rsidR="008104C1" w:rsidRPr="008104C1" w:rsidRDefault="008104C1" w:rsidP="008104C1">
      <w:r w:rsidRPr="008104C1">
        <w:t>RK Wales competes by offering professionalism, full project oversight, and the ability to manage all trades under one contract. As Walker (2015) argues, client trust in leadership and consistent team performance are key to long-term competitiveness—something RK Wales has prioritised through strong relationships and transparency.</w:t>
      </w:r>
    </w:p>
    <w:p w14:paraId="47951A5A" w14:textId="77777777" w:rsidR="00F14BC5" w:rsidRPr="00505353" w:rsidRDefault="00F14BC5" w:rsidP="00226E6B">
      <w:pPr>
        <w:spacing w:after="0" w:line="240" w:lineRule="auto"/>
        <w:rPr>
          <w:rFonts w:asciiTheme="majorHAnsi" w:hAnsiTheme="majorHAnsi" w:cstheme="majorHAnsi"/>
        </w:rPr>
      </w:pPr>
    </w:p>
    <w:p w14:paraId="468D5161" w14:textId="3BBDDB95" w:rsidR="004C09DC" w:rsidRDefault="00A41127" w:rsidP="0010501B">
      <w:pPr>
        <w:pStyle w:val="Heading1"/>
        <w:spacing w:before="0" w:line="240" w:lineRule="auto"/>
        <w:rPr>
          <w:rFonts w:asciiTheme="majorHAnsi" w:hAnsiTheme="majorHAnsi" w:cstheme="majorHAnsi"/>
          <w:bCs/>
        </w:rPr>
      </w:pPr>
      <w:bookmarkStart w:id="10" w:name="_Toc204778613"/>
      <w:r w:rsidRPr="00505353">
        <w:rPr>
          <w:rFonts w:asciiTheme="majorHAnsi" w:hAnsiTheme="majorHAnsi" w:cstheme="majorHAnsi"/>
          <w:bCs/>
        </w:rPr>
        <w:t xml:space="preserve">Section </w:t>
      </w:r>
      <w:r w:rsidR="000F2452">
        <w:rPr>
          <w:rFonts w:asciiTheme="majorHAnsi" w:hAnsiTheme="majorHAnsi" w:cstheme="majorHAnsi"/>
          <w:bCs/>
        </w:rPr>
        <w:t>2</w:t>
      </w:r>
      <w:r w:rsidRPr="00505353">
        <w:rPr>
          <w:rFonts w:asciiTheme="majorHAnsi" w:hAnsiTheme="majorHAnsi" w:cstheme="majorHAnsi"/>
          <w:bCs/>
        </w:rPr>
        <w:t>:</w:t>
      </w:r>
      <w:r w:rsidR="00F1765D">
        <w:rPr>
          <w:rFonts w:asciiTheme="majorHAnsi" w:hAnsiTheme="majorHAnsi" w:cstheme="majorHAnsi"/>
          <w:bCs/>
        </w:rPr>
        <w:t xml:space="preserve"> </w:t>
      </w:r>
      <w:r w:rsidR="0010501B" w:rsidRPr="0010501B">
        <w:rPr>
          <w:rFonts w:asciiTheme="majorHAnsi" w:hAnsiTheme="majorHAnsi" w:cstheme="majorHAnsi"/>
          <w:bCs/>
        </w:rPr>
        <w:t>Sales and Marketing Strategy</w:t>
      </w:r>
      <w:bookmarkEnd w:id="10"/>
    </w:p>
    <w:p w14:paraId="1B55BB5B" w14:textId="77777777" w:rsidR="0010501B" w:rsidRDefault="0010501B" w:rsidP="0010501B"/>
    <w:p w14:paraId="226B0F3B" w14:textId="69F3FBA6" w:rsidR="0010501B" w:rsidRDefault="0010501B" w:rsidP="0010501B">
      <w:pPr>
        <w:pStyle w:val="Heading2"/>
      </w:pPr>
      <w:bookmarkStart w:id="11" w:name="_Toc204778614"/>
      <w:r>
        <w:t>2.1 Marketing Objectives</w:t>
      </w:r>
      <w:bookmarkEnd w:id="11"/>
    </w:p>
    <w:p w14:paraId="0FD08DA8" w14:textId="77777777" w:rsidR="0010501B" w:rsidRDefault="0010501B" w:rsidP="0010501B"/>
    <w:p w14:paraId="3F050CF8" w14:textId="77777777" w:rsidR="0010501B" w:rsidRPr="0010501B" w:rsidRDefault="0010501B" w:rsidP="0010501B">
      <w:r w:rsidRPr="0010501B">
        <w:t>The marketing strategy for RK Wales Property Management Ltd is focused on driving visibility, credibility, and steady lead generation in the competitive refurbishment and construction sector across South Wales. Over the next 12 months, the company aims to:</w:t>
      </w:r>
    </w:p>
    <w:p w14:paraId="3FCF6BB2" w14:textId="77777777" w:rsidR="0010501B" w:rsidRPr="0010501B" w:rsidRDefault="0010501B" w:rsidP="0010501B">
      <w:pPr>
        <w:numPr>
          <w:ilvl w:val="0"/>
          <w:numId w:val="35"/>
        </w:numPr>
      </w:pPr>
      <w:r w:rsidRPr="0010501B">
        <w:t>Increase brand awareness among property developers and housing associations across three major towns in South Wales.</w:t>
      </w:r>
    </w:p>
    <w:p w14:paraId="13637132" w14:textId="77777777" w:rsidR="0010501B" w:rsidRPr="0010501B" w:rsidRDefault="0010501B" w:rsidP="0010501B">
      <w:pPr>
        <w:numPr>
          <w:ilvl w:val="0"/>
          <w:numId w:val="35"/>
        </w:numPr>
      </w:pPr>
      <w:r w:rsidRPr="0010501B">
        <w:lastRenderedPageBreak/>
        <w:t>Generate a 25% increase in inbound enquiries from property investors and letting agents.</w:t>
      </w:r>
    </w:p>
    <w:p w14:paraId="68FA435C" w14:textId="10E13C7D" w:rsidR="0010501B" w:rsidRPr="0010501B" w:rsidRDefault="0010501B" w:rsidP="0010501B">
      <w:pPr>
        <w:numPr>
          <w:ilvl w:val="0"/>
          <w:numId w:val="35"/>
        </w:numPr>
      </w:pPr>
      <w:r w:rsidRPr="0010501B">
        <w:t xml:space="preserve">Build and maintain relationships with at least five property </w:t>
      </w:r>
      <w:r w:rsidRPr="000F2452">
        <w:t>sources</w:t>
      </w:r>
      <w:r w:rsidRPr="0010501B">
        <w:t xml:space="preserve"> or investor groups.</w:t>
      </w:r>
    </w:p>
    <w:p w14:paraId="63F7031A" w14:textId="77777777" w:rsidR="0010501B" w:rsidRPr="0010501B" w:rsidRDefault="0010501B" w:rsidP="0010501B">
      <w:pPr>
        <w:numPr>
          <w:ilvl w:val="0"/>
          <w:numId w:val="35"/>
        </w:numPr>
      </w:pPr>
      <w:r w:rsidRPr="0010501B">
        <w:t>Convert at least 75% of referrals and repeat customers into signed refurbishment contracts.</w:t>
      </w:r>
    </w:p>
    <w:p w14:paraId="163EDEC1" w14:textId="77777777" w:rsidR="0010501B" w:rsidRPr="0010501B" w:rsidRDefault="0010501B" w:rsidP="0010501B">
      <w:r w:rsidRPr="0010501B">
        <w:t xml:space="preserve">These goals follow the SMART framework, ensuring each objective is specific, measurable, achievable, relevant, and </w:t>
      </w:r>
      <w:proofErr w:type="gramStart"/>
      <w:r w:rsidRPr="0010501B">
        <w:t>time-bound</w:t>
      </w:r>
      <w:proofErr w:type="gramEnd"/>
      <w:r w:rsidRPr="0010501B">
        <w:t>. Progress will be monitored through enquiry tracking, conversion rates, and project value reports.</w:t>
      </w:r>
    </w:p>
    <w:p w14:paraId="2DA9BA03" w14:textId="77777777" w:rsidR="0010501B" w:rsidRPr="0010501B" w:rsidRDefault="0010501B" w:rsidP="0010501B"/>
    <w:p w14:paraId="1E86390A" w14:textId="738DBCB6" w:rsidR="004C09DC" w:rsidRDefault="0010501B" w:rsidP="0010501B">
      <w:pPr>
        <w:pStyle w:val="Heading2"/>
      </w:pPr>
      <w:bookmarkStart w:id="12" w:name="_Toc204778615"/>
      <w:r>
        <w:t xml:space="preserve">2.2 </w:t>
      </w:r>
      <w:r w:rsidRPr="0010501B">
        <w:t>Marketing Strategies</w:t>
      </w:r>
      <w:bookmarkEnd w:id="12"/>
    </w:p>
    <w:p w14:paraId="70EEBBAC" w14:textId="77777777" w:rsidR="0010501B" w:rsidRDefault="0010501B" w:rsidP="0010501B"/>
    <w:p w14:paraId="5977FDB2" w14:textId="77777777" w:rsidR="0010501B" w:rsidRPr="0010501B" w:rsidRDefault="0010501B" w:rsidP="0010501B">
      <w:r w:rsidRPr="0010501B">
        <w:t>RK Wales employs a practical and reputation-based marketing approach, rooted in its delivery-focused identity. The following strategies are used to attract, retain, and grow its customer base:</w:t>
      </w:r>
    </w:p>
    <w:p w14:paraId="6B4C71C0" w14:textId="77777777" w:rsidR="0010501B" w:rsidRPr="0010501B" w:rsidRDefault="0010501B" w:rsidP="0010501B">
      <w:pPr>
        <w:numPr>
          <w:ilvl w:val="0"/>
          <w:numId w:val="36"/>
        </w:numPr>
      </w:pPr>
      <w:r w:rsidRPr="0010501B">
        <w:rPr>
          <w:b/>
          <w:bCs/>
        </w:rPr>
        <w:t>Word of Mouth and Referrals</w:t>
      </w:r>
      <w:r w:rsidRPr="0010501B">
        <w:t>: The company’s most effective marketing channel. Satisfied clients frequently refer new projects, especially when impressed by the transparency, punctuality, and professional finish.</w:t>
      </w:r>
    </w:p>
    <w:p w14:paraId="6EB4B5A7" w14:textId="59764DAE" w:rsidR="0010501B" w:rsidRPr="0010501B" w:rsidRDefault="0010501B" w:rsidP="0010501B">
      <w:pPr>
        <w:numPr>
          <w:ilvl w:val="0"/>
          <w:numId w:val="36"/>
        </w:numPr>
      </w:pPr>
      <w:r w:rsidRPr="0010501B">
        <w:rPr>
          <w:b/>
          <w:bCs/>
        </w:rPr>
        <w:t>Visual Documentation</w:t>
      </w:r>
      <w:r w:rsidRPr="0010501B">
        <w:t xml:space="preserve">: High-quality before-and-after photos, work-in-progress videos, and snagging completion reports are sent to clients and shared selectively with potential leads and </w:t>
      </w:r>
      <w:r w:rsidR="001A3EAA" w:rsidRPr="0010501B">
        <w:t>sources</w:t>
      </w:r>
      <w:r w:rsidRPr="0010501B">
        <w:t>.</w:t>
      </w:r>
    </w:p>
    <w:p w14:paraId="25A9BEE1" w14:textId="77777777" w:rsidR="0010501B" w:rsidRPr="0010501B" w:rsidRDefault="0010501B" w:rsidP="0010501B">
      <w:pPr>
        <w:numPr>
          <w:ilvl w:val="0"/>
          <w:numId w:val="36"/>
        </w:numPr>
      </w:pPr>
      <w:proofErr w:type="gramStart"/>
      <w:r w:rsidRPr="0010501B">
        <w:rPr>
          <w:b/>
          <w:bCs/>
        </w:rPr>
        <w:t>Social Media</w:t>
      </w:r>
      <w:proofErr w:type="gramEnd"/>
      <w:r w:rsidRPr="0010501B">
        <w:rPr>
          <w:b/>
          <w:bCs/>
        </w:rPr>
        <w:t xml:space="preserve"> and Direct Contact</w:t>
      </w:r>
      <w:r w:rsidRPr="0010501B">
        <w:t>: WhatsApp, Instagram, and Facebook are used to share completed projects and updates with investor circles. The business also maintains group chats for private investors, encouraging open dialogue and updates.</w:t>
      </w:r>
    </w:p>
    <w:p w14:paraId="7C0C9746" w14:textId="77777777" w:rsidR="0010501B" w:rsidRPr="0010501B" w:rsidRDefault="0010501B" w:rsidP="0010501B">
      <w:pPr>
        <w:numPr>
          <w:ilvl w:val="0"/>
          <w:numId w:val="36"/>
        </w:numPr>
      </w:pPr>
      <w:r w:rsidRPr="0010501B">
        <w:rPr>
          <w:b/>
          <w:bCs/>
        </w:rPr>
        <w:t>Networking and Strategic Partnerships</w:t>
      </w:r>
      <w:r w:rsidRPr="0010501B">
        <w:t>: Robert actively engages with UK-based and international property investor networks. In-person meetings and online investor forums often lead to new partnerships and deals.</w:t>
      </w:r>
    </w:p>
    <w:p w14:paraId="0A145AF5" w14:textId="77777777" w:rsidR="0010501B" w:rsidRPr="0010501B" w:rsidRDefault="0010501B" w:rsidP="0010501B">
      <w:r w:rsidRPr="0010501B">
        <w:t xml:space="preserve">Using the </w:t>
      </w:r>
      <w:r w:rsidRPr="0010501B">
        <w:rPr>
          <w:b/>
          <w:bCs/>
        </w:rPr>
        <w:t>7Ps marketing mix</w:t>
      </w:r>
      <w:r w:rsidRPr="0010501B">
        <w:t xml:space="preserve"> framework (Kotler &amp; Keller, 2016), RK Wales places emphasis on:</w:t>
      </w:r>
    </w:p>
    <w:p w14:paraId="49F22CAA" w14:textId="77777777" w:rsidR="0010501B" w:rsidRPr="0010501B" w:rsidRDefault="0010501B" w:rsidP="0010501B">
      <w:pPr>
        <w:numPr>
          <w:ilvl w:val="0"/>
          <w:numId w:val="37"/>
        </w:numPr>
      </w:pPr>
      <w:r w:rsidRPr="0010501B">
        <w:rPr>
          <w:b/>
          <w:bCs/>
        </w:rPr>
        <w:t>Product</w:t>
      </w:r>
      <w:r w:rsidRPr="0010501B">
        <w:t>: Full-scope refurbishments and project management</w:t>
      </w:r>
    </w:p>
    <w:p w14:paraId="6AA8506B" w14:textId="77777777" w:rsidR="0010501B" w:rsidRPr="0010501B" w:rsidRDefault="0010501B" w:rsidP="0010501B">
      <w:pPr>
        <w:numPr>
          <w:ilvl w:val="0"/>
          <w:numId w:val="37"/>
        </w:numPr>
      </w:pPr>
      <w:r w:rsidRPr="0010501B">
        <w:rPr>
          <w:b/>
          <w:bCs/>
        </w:rPr>
        <w:t>Price</w:t>
      </w:r>
      <w:r w:rsidRPr="0010501B">
        <w:t>: Fixed-price quotations based on value and transparency</w:t>
      </w:r>
    </w:p>
    <w:p w14:paraId="562210D5" w14:textId="77777777" w:rsidR="0010501B" w:rsidRPr="0010501B" w:rsidRDefault="0010501B" w:rsidP="0010501B">
      <w:pPr>
        <w:numPr>
          <w:ilvl w:val="0"/>
          <w:numId w:val="37"/>
        </w:numPr>
      </w:pPr>
      <w:r w:rsidRPr="0010501B">
        <w:rPr>
          <w:b/>
          <w:bCs/>
        </w:rPr>
        <w:t>Place</w:t>
      </w:r>
      <w:r w:rsidRPr="0010501B">
        <w:t>: South Wales, with on-site service and online communication</w:t>
      </w:r>
    </w:p>
    <w:p w14:paraId="73EC8DCC" w14:textId="77777777" w:rsidR="0010501B" w:rsidRPr="0010501B" w:rsidRDefault="0010501B" w:rsidP="0010501B">
      <w:pPr>
        <w:numPr>
          <w:ilvl w:val="0"/>
          <w:numId w:val="37"/>
        </w:numPr>
      </w:pPr>
      <w:r w:rsidRPr="0010501B">
        <w:rPr>
          <w:b/>
          <w:bCs/>
        </w:rPr>
        <w:t>Promotion</w:t>
      </w:r>
      <w:r w:rsidRPr="0010501B">
        <w:t>: Word of mouth, WhatsApp, social media, referrals</w:t>
      </w:r>
    </w:p>
    <w:p w14:paraId="5508C3D1" w14:textId="77777777" w:rsidR="0010501B" w:rsidRPr="0010501B" w:rsidRDefault="0010501B" w:rsidP="0010501B">
      <w:pPr>
        <w:numPr>
          <w:ilvl w:val="0"/>
          <w:numId w:val="37"/>
        </w:numPr>
      </w:pPr>
      <w:r w:rsidRPr="0010501B">
        <w:rPr>
          <w:b/>
          <w:bCs/>
        </w:rPr>
        <w:t>People</w:t>
      </w:r>
      <w:r w:rsidRPr="0010501B">
        <w:t>: Skilled, reliable tradespeople and hands-on project management</w:t>
      </w:r>
    </w:p>
    <w:p w14:paraId="4C4D1ABE" w14:textId="77777777" w:rsidR="0010501B" w:rsidRPr="0010501B" w:rsidRDefault="0010501B" w:rsidP="0010501B">
      <w:pPr>
        <w:numPr>
          <w:ilvl w:val="0"/>
          <w:numId w:val="37"/>
        </w:numPr>
      </w:pPr>
      <w:r w:rsidRPr="0010501B">
        <w:rPr>
          <w:b/>
          <w:bCs/>
        </w:rPr>
        <w:t>Process</w:t>
      </w:r>
      <w:r w:rsidRPr="0010501B">
        <w:t>: Streamlined job planning, quote approval, and update reporting</w:t>
      </w:r>
    </w:p>
    <w:p w14:paraId="4507C17E" w14:textId="77777777" w:rsidR="0010501B" w:rsidRPr="0010501B" w:rsidRDefault="0010501B" w:rsidP="0010501B">
      <w:pPr>
        <w:numPr>
          <w:ilvl w:val="0"/>
          <w:numId w:val="37"/>
        </w:numPr>
      </w:pPr>
      <w:r w:rsidRPr="0010501B">
        <w:rPr>
          <w:b/>
          <w:bCs/>
        </w:rPr>
        <w:t>Physical Evidence</w:t>
      </w:r>
      <w:r w:rsidRPr="0010501B">
        <w:t>: Project visuals and live-site visit options</w:t>
      </w:r>
    </w:p>
    <w:p w14:paraId="26B165CC" w14:textId="528E2A21" w:rsidR="0010501B" w:rsidRDefault="0010501B" w:rsidP="0010501B">
      <w:r w:rsidRPr="0010501B">
        <w:t>This aligns with strategies outlined by Smyth and Fitch (2015), who argue that reputation, relationship-building, and tailored marketing approaches are central to success for SMEs in construction.</w:t>
      </w:r>
    </w:p>
    <w:p w14:paraId="32FE7D53" w14:textId="77777777" w:rsidR="0010501B" w:rsidRDefault="0010501B" w:rsidP="0010501B"/>
    <w:p w14:paraId="61CA9D88" w14:textId="4D59BB6C" w:rsidR="0010501B" w:rsidRDefault="0010501B" w:rsidP="0010501B">
      <w:pPr>
        <w:pStyle w:val="Heading2"/>
      </w:pPr>
      <w:bookmarkStart w:id="13" w:name="_Toc204778616"/>
      <w:r>
        <w:t xml:space="preserve">2.3 </w:t>
      </w:r>
      <w:r w:rsidRPr="0010501B">
        <w:t>Target Market and Positioning</w:t>
      </w:r>
      <w:bookmarkEnd w:id="13"/>
    </w:p>
    <w:p w14:paraId="41A7BC76" w14:textId="77777777" w:rsidR="0010501B" w:rsidRDefault="0010501B" w:rsidP="0010501B"/>
    <w:p w14:paraId="19F1F0F7" w14:textId="77777777" w:rsidR="0010501B" w:rsidRPr="0010501B" w:rsidRDefault="0010501B" w:rsidP="0010501B">
      <w:r w:rsidRPr="0010501B">
        <w:t>RK Wales targets the following primary customer groups:</w:t>
      </w:r>
    </w:p>
    <w:p w14:paraId="71B5F238" w14:textId="77777777" w:rsidR="0010501B" w:rsidRPr="0010501B" w:rsidRDefault="0010501B" w:rsidP="0010501B">
      <w:pPr>
        <w:numPr>
          <w:ilvl w:val="0"/>
          <w:numId w:val="38"/>
        </w:numPr>
      </w:pPr>
      <w:r w:rsidRPr="0010501B">
        <w:rPr>
          <w:b/>
          <w:bCs/>
        </w:rPr>
        <w:t>Property investors</w:t>
      </w:r>
      <w:r w:rsidRPr="0010501B">
        <w:t xml:space="preserve"> seeking reliable, fixed-price refurbishments</w:t>
      </w:r>
    </w:p>
    <w:p w14:paraId="6C1A3AEA" w14:textId="77777777" w:rsidR="0010501B" w:rsidRPr="0010501B" w:rsidRDefault="0010501B" w:rsidP="0010501B">
      <w:pPr>
        <w:numPr>
          <w:ilvl w:val="0"/>
          <w:numId w:val="38"/>
        </w:numPr>
      </w:pPr>
      <w:r w:rsidRPr="0010501B">
        <w:rPr>
          <w:b/>
          <w:bCs/>
        </w:rPr>
        <w:t>Landlords and letting agents</w:t>
      </w:r>
      <w:r w:rsidRPr="0010501B">
        <w:t xml:space="preserve"> managing multiple properties</w:t>
      </w:r>
    </w:p>
    <w:p w14:paraId="4553047D" w14:textId="77777777" w:rsidR="0010501B" w:rsidRPr="0010501B" w:rsidRDefault="0010501B" w:rsidP="0010501B">
      <w:pPr>
        <w:numPr>
          <w:ilvl w:val="0"/>
          <w:numId w:val="38"/>
        </w:numPr>
      </w:pPr>
      <w:r w:rsidRPr="0010501B">
        <w:rPr>
          <w:b/>
          <w:bCs/>
        </w:rPr>
        <w:t>Housing associations</w:t>
      </w:r>
      <w:r w:rsidRPr="0010501B">
        <w:t xml:space="preserve"> requiring fire safety and compliance upgrades</w:t>
      </w:r>
    </w:p>
    <w:p w14:paraId="1CE01564" w14:textId="77777777" w:rsidR="0010501B" w:rsidRPr="0010501B" w:rsidRDefault="0010501B" w:rsidP="0010501B">
      <w:pPr>
        <w:numPr>
          <w:ilvl w:val="0"/>
          <w:numId w:val="38"/>
        </w:numPr>
      </w:pPr>
      <w:r w:rsidRPr="0010501B">
        <w:rPr>
          <w:b/>
          <w:bCs/>
        </w:rPr>
        <w:t>Remote or international clients</w:t>
      </w:r>
      <w:r w:rsidRPr="0010501B">
        <w:t xml:space="preserve"> needing a trustworthy, UK-based team</w:t>
      </w:r>
    </w:p>
    <w:p w14:paraId="5BA158F8" w14:textId="77777777" w:rsidR="0010501B" w:rsidRPr="0010501B" w:rsidRDefault="0010501B" w:rsidP="0010501B">
      <w:r w:rsidRPr="0010501B">
        <w:t>The company positions itself as a professional and transparent refurbishment partner — ideal for clients who want results without micro-managing every stage of the project. The value proposition includes:</w:t>
      </w:r>
    </w:p>
    <w:p w14:paraId="57DF1269" w14:textId="77777777" w:rsidR="0010501B" w:rsidRPr="0010501B" w:rsidRDefault="0010501B" w:rsidP="0010501B">
      <w:pPr>
        <w:numPr>
          <w:ilvl w:val="0"/>
          <w:numId w:val="39"/>
        </w:numPr>
      </w:pPr>
      <w:r w:rsidRPr="0010501B">
        <w:t>End-to-end service (no need for separate trades)</w:t>
      </w:r>
    </w:p>
    <w:p w14:paraId="23D22AB3" w14:textId="77777777" w:rsidR="0010501B" w:rsidRPr="0010501B" w:rsidRDefault="0010501B" w:rsidP="0010501B">
      <w:pPr>
        <w:numPr>
          <w:ilvl w:val="0"/>
          <w:numId w:val="39"/>
        </w:numPr>
      </w:pPr>
      <w:r w:rsidRPr="0010501B">
        <w:t>Regular updates with photo/video proof</w:t>
      </w:r>
    </w:p>
    <w:p w14:paraId="50BCE5B9" w14:textId="77777777" w:rsidR="0010501B" w:rsidRPr="0010501B" w:rsidRDefault="0010501B" w:rsidP="0010501B">
      <w:pPr>
        <w:numPr>
          <w:ilvl w:val="0"/>
          <w:numId w:val="39"/>
        </w:numPr>
      </w:pPr>
      <w:r w:rsidRPr="0010501B">
        <w:t>Strong project management and accountability</w:t>
      </w:r>
    </w:p>
    <w:p w14:paraId="79C5DC18" w14:textId="77777777" w:rsidR="0010501B" w:rsidRPr="0010501B" w:rsidRDefault="0010501B" w:rsidP="0010501B">
      <w:pPr>
        <w:numPr>
          <w:ilvl w:val="0"/>
          <w:numId w:val="39"/>
        </w:numPr>
      </w:pPr>
      <w:r w:rsidRPr="0010501B">
        <w:t>Full compliance with UK building and safety regulations</w:t>
      </w:r>
    </w:p>
    <w:p w14:paraId="36998885" w14:textId="77777777" w:rsidR="0010501B" w:rsidRPr="0010501B" w:rsidRDefault="0010501B" w:rsidP="0010501B">
      <w:r w:rsidRPr="0010501B">
        <w:t>As Hinks and Cook (2021) note, construction firms that prioritise communication, consistency, and technical competence are more likely to secure repeat work and long-term growth.</w:t>
      </w:r>
    </w:p>
    <w:p w14:paraId="23A338CA" w14:textId="77777777" w:rsidR="0010501B" w:rsidRDefault="0010501B" w:rsidP="0010501B"/>
    <w:p w14:paraId="5A7E01EA" w14:textId="5F88968E" w:rsidR="0010501B" w:rsidRDefault="0010501B" w:rsidP="0010501B">
      <w:pPr>
        <w:pStyle w:val="Heading2"/>
      </w:pPr>
      <w:bookmarkStart w:id="14" w:name="_Toc204778617"/>
      <w:r>
        <w:t xml:space="preserve">2.4 </w:t>
      </w:r>
      <w:r w:rsidRPr="0010501B">
        <w:t>Pricing Strategy</w:t>
      </w:r>
      <w:bookmarkEnd w:id="14"/>
    </w:p>
    <w:p w14:paraId="24BB0A79" w14:textId="77777777" w:rsidR="0010501B" w:rsidRDefault="0010501B" w:rsidP="0010501B"/>
    <w:p w14:paraId="67032AC9" w14:textId="77777777" w:rsidR="0010501B" w:rsidRPr="0010501B" w:rsidRDefault="0010501B" w:rsidP="0010501B">
      <w:r w:rsidRPr="0010501B">
        <w:t>RK Wales applies a cost-plus pricing model: all project costs (labour, materials, overheads) are calculated in detail, then a profit margin is applied. This model ensures transparency and sustainability. For regular clients or larger jobs, value-based pricing may also apply.</w:t>
      </w:r>
    </w:p>
    <w:p w14:paraId="7F8D5CA6" w14:textId="77777777" w:rsidR="0010501B" w:rsidRPr="0010501B" w:rsidRDefault="0010501B" w:rsidP="0010501B">
      <w:r w:rsidRPr="0010501B">
        <w:t>Project values typically range from £8,000 to £45,000, with most full refurbishments averaging around £14,000–£25,000. Emergency work, fire upgrades, and high-spec installations may reach the top end of the range.</w:t>
      </w:r>
    </w:p>
    <w:p w14:paraId="6D284144" w14:textId="77777777" w:rsidR="0010501B" w:rsidRPr="0010501B" w:rsidRDefault="0010501B" w:rsidP="0010501B">
      <w:r w:rsidRPr="0010501B">
        <w:t>Discounts or incentives may apply for:</w:t>
      </w:r>
    </w:p>
    <w:p w14:paraId="3C5CBC5F" w14:textId="77777777" w:rsidR="0010501B" w:rsidRPr="0010501B" w:rsidRDefault="0010501B" w:rsidP="0010501B">
      <w:pPr>
        <w:numPr>
          <w:ilvl w:val="0"/>
          <w:numId w:val="40"/>
        </w:numPr>
      </w:pPr>
      <w:r w:rsidRPr="0010501B">
        <w:t>Multiple units or repeat contracts</w:t>
      </w:r>
    </w:p>
    <w:p w14:paraId="4CB36D4A" w14:textId="77777777" w:rsidR="0010501B" w:rsidRPr="0010501B" w:rsidRDefault="0010501B" w:rsidP="0010501B">
      <w:pPr>
        <w:numPr>
          <w:ilvl w:val="0"/>
          <w:numId w:val="40"/>
        </w:numPr>
      </w:pPr>
      <w:r w:rsidRPr="0010501B">
        <w:t>Work booked during low-demand months</w:t>
      </w:r>
    </w:p>
    <w:p w14:paraId="1A74957D" w14:textId="77777777" w:rsidR="0010501B" w:rsidRPr="0010501B" w:rsidRDefault="0010501B" w:rsidP="0010501B">
      <w:pPr>
        <w:numPr>
          <w:ilvl w:val="0"/>
          <w:numId w:val="40"/>
        </w:numPr>
      </w:pPr>
      <w:r w:rsidRPr="0010501B">
        <w:t>Clients providing material supply or part-prep</w:t>
      </w:r>
    </w:p>
    <w:p w14:paraId="6D0BE4E8" w14:textId="28ACDE2E" w:rsidR="0010501B" w:rsidRDefault="0010501B" w:rsidP="0010501B">
      <w:r w:rsidRPr="0010501B">
        <w:t>Each quote is issued with a detailed scope of work, timeline, and materials list. This approach aligns with Walker’s (2015) view that clear pricing documentation builds trust and reduces post-contract conflict.</w:t>
      </w:r>
    </w:p>
    <w:p w14:paraId="0C1D60B5" w14:textId="77777777" w:rsidR="0010501B" w:rsidRDefault="0010501B" w:rsidP="0010501B"/>
    <w:p w14:paraId="34D84FB8" w14:textId="0EF73C83" w:rsidR="0010501B" w:rsidRDefault="0010501B" w:rsidP="0010501B">
      <w:pPr>
        <w:pStyle w:val="Heading2"/>
      </w:pPr>
      <w:bookmarkStart w:id="15" w:name="_Toc204778618"/>
      <w:r>
        <w:lastRenderedPageBreak/>
        <w:t>2.5 Sale Forecast</w:t>
      </w:r>
      <w:bookmarkEnd w:id="15"/>
    </w:p>
    <w:p w14:paraId="4D85DE78" w14:textId="77777777" w:rsidR="0010501B" w:rsidRDefault="0010501B" w:rsidP="0010501B"/>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97"/>
        <w:gridCol w:w="1765"/>
        <w:gridCol w:w="2379"/>
        <w:gridCol w:w="1923"/>
      </w:tblGrid>
      <w:tr w:rsidR="0010501B" w:rsidRPr="0010501B" w14:paraId="4B2F941E" w14:textId="77777777">
        <w:trPr>
          <w:tblHeader/>
          <w:tblCellSpacing w:w="15" w:type="dxa"/>
        </w:trPr>
        <w:tc>
          <w:tcPr>
            <w:tcW w:w="0" w:type="auto"/>
            <w:vAlign w:val="center"/>
            <w:hideMark/>
          </w:tcPr>
          <w:p w14:paraId="4ABBEE3F" w14:textId="77777777" w:rsidR="0010501B" w:rsidRPr="0010501B" w:rsidRDefault="0010501B" w:rsidP="0010501B">
            <w:pPr>
              <w:rPr>
                <w:b/>
                <w:bCs/>
              </w:rPr>
            </w:pPr>
            <w:r w:rsidRPr="0010501B">
              <w:rPr>
                <w:b/>
                <w:bCs/>
              </w:rPr>
              <w:t>Quarter</w:t>
            </w:r>
          </w:p>
        </w:tc>
        <w:tc>
          <w:tcPr>
            <w:tcW w:w="0" w:type="auto"/>
            <w:vAlign w:val="center"/>
            <w:hideMark/>
          </w:tcPr>
          <w:p w14:paraId="26AFC872" w14:textId="77777777" w:rsidR="0010501B" w:rsidRPr="0010501B" w:rsidRDefault="0010501B" w:rsidP="0010501B">
            <w:pPr>
              <w:rPr>
                <w:b/>
                <w:bCs/>
              </w:rPr>
            </w:pPr>
            <w:r w:rsidRPr="0010501B">
              <w:rPr>
                <w:b/>
                <w:bCs/>
              </w:rPr>
              <w:t>Estimated Projects</w:t>
            </w:r>
          </w:p>
        </w:tc>
        <w:tc>
          <w:tcPr>
            <w:tcW w:w="0" w:type="auto"/>
            <w:vAlign w:val="center"/>
            <w:hideMark/>
          </w:tcPr>
          <w:p w14:paraId="40A983EC" w14:textId="77777777" w:rsidR="0010501B" w:rsidRPr="0010501B" w:rsidRDefault="0010501B" w:rsidP="0010501B">
            <w:pPr>
              <w:rPr>
                <w:b/>
                <w:bCs/>
              </w:rPr>
            </w:pPr>
            <w:r w:rsidRPr="0010501B">
              <w:rPr>
                <w:b/>
                <w:bCs/>
              </w:rPr>
              <w:t>Average Project Value (£)</w:t>
            </w:r>
          </w:p>
        </w:tc>
        <w:tc>
          <w:tcPr>
            <w:tcW w:w="0" w:type="auto"/>
            <w:vAlign w:val="center"/>
            <w:hideMark/>
          </w:tcPr>
          <w:p w14:paraId="4236CBA7" w14:textId="77777777" w:rsidR="0010501B" w:rsidRPr="0010501B" w:rsidRDefault="0010501B" w:rsidP="0010501B">
            <w:pPr>
              <w:rPr>
                <w:b/>
                <w:bCs/>
              </w:rPr>
            </w:pPr>
            <w:r w:rsidRPr="0010501B">
              <w:rPr>
                <w:b/>
                <w:bCs/>
              </w:rPr>
              <w:t>Forecasted Revenue</w:t>
            </w:r>
          </w:p>
        </w:tc>
      </w:tr>
      <w:tr w:rsidR="0010501B" w:rsidRPr="0010501B" w14:paraId="4F80C878" w14:textId="77777777">
        <w:trPr>
          <w:tblCellSpacing w:w="15" w:type="dxa"/>
        </w:trPr>
        <w:tc>
          <w:tcPr>
            <w:tcW w:w="0" w:type="auto"/>
            <w:vAlign w:val="center"/>
            <w:hideMark/>
          </w:tcPr>
          <w:p w14:paraId="7B52238D" w14:textId="77777777" w:rsidR="0010501B" w:rsidRPr="0010501B" w:rsidRDefault="0010501B" w:rsidP="0010501B">
            <w:r w:rsidRPr="0010501B">
              <w:t>Q1</w:t>
            </w:r>
          </w:p>
        </w:tc>
        <w:tc>
          <w:tcPr>
            <w:tcW w:w="0" w:type="auto"/>
            <w:vAlign w:val="center"/>
            <w:hideMark/>
          </w:tcPr>
          <w:p w14:paraId="192AE491" w14:textId="77777777" w:rsidR="0010501B" w:rsidRPr="0010501B" w:rsidRDefault="0010501B" w:rsidP="0010501B">
            <w:r w:rsidRPr="0010501B">
              <w:t>3</w:t>
            </w:r>
          </w:p>
        </w:tc>
        <w:tc>
          <w:tcPr>
            <w:tcW w:w="0" w:type="auto"/>
            <w:vAlign w:val="center"/>
            <w:hideMark/>
          </w:tcPr>
          <w:p w14:paraId="1D8F4A65" w14:textId="77777777" w:rsidR="0010501B" w:rsidRPr="0010501B" w:rsidRDefault="0010501B" w:rsidP="0010501B">
            <w:r w:rsidRPr="0010501B">
              <w:t>£9,000</w:t>
            </w:r>
          </w:p>
        </w:tc>
        <w:tc>
          <w:tcPr>
            <w:tcW w:w="0" w:type="auto"/>
            <w:vAlign w:val="center"/>
            <w:hideMark/>
          </w:tcPr>
          <w:p w14:paraId="1D25D59E" w14:textId="77777777" w:rsidR="0010501B" w:rsidRPr="0010501B" w:rsidRDefault="0010501B" w:rsidP="0010501B">
            <w:r w:rsidRPr="0010501B">
              <w:t>£27,000</w:t>
            </w:r>
          </w:p>
        </w:tc>
      </w:tr>
      <w:tr w:rsidR="0010501B" w:rsidRPr="0010501B" w14:paraId="0F56F126" w14:textId="77777777">
        <w:trPr>
          <w:tblCellSpacing w:w="15" w:type="dxa"/>
        </w:trPr>
        <w:tc>
          <w:tcPr>
            <w:tcW w:w="0" w:type="auto"/>
            <w:vAlign w:val="center"/>
            <w:hideMark/>
          </w:tcPr>
          <w:p w14:paraId="1A9774AB" w14:textId="77777777" w:rsidR="0010501B" w:rsidRPr="0010501B" w:rsidRDefault="0010501B" w:rsidP="0010501B">
            <w:r w:rsidRPr="0010501B">
              <w:t>Q2</w:t>
            </w:r>
          </w:p>
        </w:tc>
        <w:tc>
          <w:tcPr>
            <w:tcW w:w="0" w:type="auto"/>
            <w:vAlign w:val="center"/>
            <w:hideMark/>
          </w:tcPr>
          <w:p w14:paraId="3F638C21" w14:textId="77777777" w:rsidR="0010501B" w:rsidRPr="0010501B" w:rsidRDefault="0010501B" w:rsidP="0010501B">
            <w:r w:rsidRPr="0010501B">
              <w:t>5</w:t>
            </w:r>
          </w:p>
        </w:tc>
        <w:tc>
          <w:tcPr>
            <w:tcW w:w="0" w:type="auto"/>
            <w:vAlign w:val="center"/>
            <w:hideMark/>
          </w:tcPr>
          <w:p w14:paraId="690396D1" w14:textId="77777777" w:rsidR="0010501B" w:rsidRPr="0010501B" w:rsidRDefault="0010501B" w:rsidP="0010501B">
            <w:r w:rsidRPr="0010501B">
              <w:t>£11,000</w:t>
            </w:r>
          </w:p>
        </w:tc>
        <w:tc>
          <w:tcPr>
            <w:tcW w:w="0" w:type="auto"/>
            <w:vAlign w:val="center"/>
            <w:hideMark/>
          </w:tcPr>
          <w:p w14:paraId="49BDBF0B" w14:textId="77777777" w:rsidR="0010501B" w:rsidRPr="0010501B" w:rsidRDefault="0010501B" w:rsidP="0010501B">
            <w:r w:rsidRPr="0010501B">
              <w:t>£55,000</w:t>
            </w:r>
          </w:p>
        </w:tc>
      </w:tr>
      <w:tr w:rsidR="0010501B" w:rsidRPr="0010501B" w14:paraId="67210866" w14:textId="77777777">
        <w:trPr>
          <w:tblCellSpacing w:w="15" w:type="dxa"/>
        </w:trPr>
        <w:tc>
          <w:tcPr>
            <w:tcW w:w="0" w:type="auto"/>
            <w:vAlign w:val="center"/>
            <w:hideMark/>
          </w:tcPr>
          <w:p w14:paraId="156E04B7" w14:textId="77777777" w:rsidR="0010501B" w:rsidRPr="0010501B" w:rsidRDefault="0010501B" w:rsidP="0010501B">
            <w:r w:rsidRPr="0010501B">
              <w:t>Q3</w:t>
            </w:r>
          </w:p>
        </w:tc>
        <w:tc>
          <w:tcPr>
            <w:tcW w:w="0" w:type="auto"/>
            <w:vAlign w:val="center"/>
            <w:hideMark/>
          </w:tcPr>
          <w:p w14:paraId="38B7A604" w14:textId="77777777" w:rsidR="0010501B" w:rsidRPr="0010501B" w:rsidRDefault="0010501B" w:rsidP="0010501B">
            <w:r w:rsidRPr="0010501B">
              <w:t>6</w:t>
            </w:r>
          </w:p>
        </w:tc>
        <w:tc>
          <w:tcPr>
            <w:tcW w:w="0" w:type="auto"/>
            <w:vAlign w:val="center"/>
            <w:hideMark/>
          </w:tcPr>
          <w:p w14:paraId="7868B081" w14:textId="77777777" w:rsidR="0010501B" w:rsidRPr="0010501B" w:rsidRDefault="0010501B" w:rsidP="0010501B">
            <w:r w:rsidRPr="0010501B">
              <w:t>£14,000</w:t>
            </w:r>
          </w:p>
        </w:tc>
        <w:tc>
          <w:tcPr>
            <w:tcW w:w="0" w:type="auto"/>
            <w:vAlign w:val="center"/>
            <w:hideMark/>
          </w:tcPr>
          <w:p w14:paraId="634848E3" w14:textId="77777777" w:rsidR="0010501B" w:rsidRPr="0010501B" w:rsidRDefault="0010501B" w:rsidP="0010501B">
            <w:r w:rsidRPr="0010501B">
              <w:t>£84,000</w:t>
            </w:r>
          </w:p>
        </w:tc>
      </w:tr>
      <w:tr w:rsidR="0010501B" w:rsidRPr="0010501B" w14:paraId="080CAE5C" w14:textId="77777777">
        <w:trPr>
          <w:tblCellSpacing w:w="15" w:type="dxa"/>
        </w:trPr>
        <w:tc>
          <w:tcPr>
            <w:tcW w:w="0" w:type="auto"/>
            <w:vAlign w:val="center"/>
            <w:hideMark/>
          </w:tcPr>
          <w:p w14:paraId="794C2C62" w14:textId="77777777" w:rsidR="0010501B" w:rsidRPr="0010501B" w:rsidRDefault="0010501B" w:rsidP="0010501B">
            <w:r w:rsidRPr="0010501B">
              <w:t>Q4</w:t>
            </w:r>
          </w:p>
        </w:tc>
        <w:tc>
          <w:tcPr>
            <w:tcW w:w="0" w:type="auto"/>
            <w:vAlign w:val="center"/>
            <w:hideMark/>
          </w:tcPr>
          <w:p w14:paraId="7A4FAB0D" w14:textId="77777777" w:rsidR="0010501B" w:rsidRPr="0010501B" w:rsidRDefault="0010501B" w:rsidP="0010501B">
            <w:r w:rsidRPr="0010501B">
              <w:t>6</w:t>
            </w:r>
          </w:p>
        </w:tc>
        <w:tc>
          <w:tcPr>
            <w:tcW w:w="0" w:type="auto"/>
            <w:vAlign w:val="center"/>
            <w:hideMark/>
          </w:tcPr>
          <w:p w14:paraId="5D6210E0" w14:textId="77777777" w:rsidR="0010501B" w:rsidRPr="0010501B" w:rsidRDefault="0010501B" w:rsidP="0010501B">
            <w:r w:rsidRPr="0010501B">
              <w:t>£19,000</w:t>
            </w:r>
          </w:p>
        </w:tc>
        <w:tc>
          <w:tcPr>
            <w:tcW w:w="0" w:type="auto"/>
            <w:vAlign w:val="center"/>
            <w:hideMark/>
          </w:tcPr>
          <w:p w14:paraId="162E44A8" w14:textId="77777777" w:rsidR="0010501B" w:rsidRPr="0010501B" w:rsidRDefault="0010501B" w:rsidP="0010501B">
            <w:r w:rsidRPr="0010501B">
              <w:t>£114,000</w:t>
            </w:r>
          </w:p>
        </w:tc>
      </w:tr>
      <w:tr w:rsidR="0010501B" w:rsidRPr="0010501B" w14:paraId="123D1415" w14:textId="77777777">
        <w:trPr>
          <w:tblCellSpacing w:w="15" w:type="dxa"/>
        </w:trPr>
        <w:tc>
          <w:tcPr>
            <w:tcW w:w="0" w:type="auto"/>
            <w:vAlign w:val="center"/>
            <w:hideMark/>
          </w:tcPr>
          <w:p w14:paraId="6989C447" w14:textId="77777777" w:rsidR="0010501B" w:rsidRPr="0010501B" w:rsidRDefault="0010501B" w:rsidP="0010501B">
            <w:r w:rsidRPr="0010501B">
              <w:rPr>
                <w:b/>
                <w:bCs/>
              </w:rPr>
              <w:t>Total</w:t>
            </w:r>
          </w:p>
        </w:tc>
        <w:tc>
          <w:tcPr>
            <w:tcW w:w="0" w:type="auto"/>
            <w:vAlign w:val="center"/>
            <w:hideMark/>
          </w:tcPr>
          <w:p w14:paraId="653BD539" w14:textId="77777777" w:rsidR="0010501B" w:rsidRPr="0010501B" w:rsidRDefault="0010501B" w:rsidP="0010501B">
            <w:r w:rsidRPr="0010501B">
              <w:rPr>
                <w:b/>
                <w:bCs/>
              </w:rPr>
              <w:t>20</w:t>
            </w:r>
          </w:p>
        </w:tc>
        <w:tc>
          <w:tcPr>
            <w:tcW w:w="0" w:type="auto"/>
            <w:vAlign w:val="center"/>
            <w:hideMark/>
          </w:tcPr>
          <w:p w14:paraId="436FC818" w14:textId="77777777" w:rsidR="0010501B" w:rsidRPr="0010501B" w:rsidRDefault="0010501B" w:rsidP="0010501B"/>
        </w:tc>
        <w:tc>
          <w:tcPr>
            <w:tcW w:w="0" w:type="auto"/>
            <w:vAlign w:val="center"/>
            <w:hideMark/>
          </w:tcPr>
          <w:p w14:paraId="325C1923" w14:textId="77777777" w:rsidR="0010501B" w:rsidRPr="0010501B" w:rsidRDefault="0010501B" w:rsidP="0010501B">
            <w:r w:rsidRPr="0010501B">
              <w:rPr>
                <w:b/>
                <w:bCs/>
              </w:rPr>
              <w:t>£280,000</w:t>
            </w:r>
          </w:p>
        </w:tc>
      </w:tr>
    </w:tbl>
    <w:p w14:paraId="4C381E3A" w14:textId="77777777" w:rsidR="0010501B" w:rsidRPr="0010501B" w:rsidRDefault="0010501B" w:rsidP="0010501B">
      <w:r w:rsidRPr="0010501B">
        <w:t>This forecast reflects the company’s goal to balance smaller refurbishments with mid-range and higher-value projects throughout the year, maintaining cash flow and client diversity.</w:t>
      </w:r>
    </w:p>
    <w:p w14:paraId="5DEA6341" w14:textId="77777777" w:rsidR="0010501B" w:rsidRPr="0010501B" w:rsidRDefault="0010501B" w:rsidP="0010501B"/>
    <w:p w14:paraId="07BA279A" w14:textId="77777777" w:rsidR="00A41127" w:rsidRPr="00505353" w:rsidRDefault="00A41127" w:rsidP="004B2BF5">
      <w:pPr>
        <w:spacing w:after="0" w:line="240" w:lineRule="auto"/>
        <w:rPr>
          <w:rFonts w:asciiTheme="majorHAnsi" w:hAnsiTheme="majorHAnsi" w:cstheme="majorHAnsi"/>
        </w:rPr>
      </w:pPr>
    </w:p>
    <w:p w14:paraId="063E842D" w14:textId="1285BEB5" w:rsidR="00C0689D" w:rsidRDefault="00A41127" w:rsidP="000F2452">
      <w:pPr>
        <w:pStyle w:val="Heading1"/>
        <w:spacing w:before="0" w:line="240" w:lineRule="auto"/>
        <w:rPr>
          <w:rFonts w:asciiTheme="majorHAnsi" w:hAnsiTheme="majorHAnsi" w:cstheme="majorHAnsi"/>
          <w:bCs/>
        </w:rPr>
      </w:pPr>
      <w:bookmarkStart w:id="16" w:name="_Toc204778619"/>
      <w:r w:rsidRPr="00505353">
        <w:rPr>
          <w:rFonts w:asciiTheme="majorHAnsi" w:hAnsiTheme="majorHAnsi" w:cstheme="majorHAnsi"/>
          <w:bCs/>
        </w:rPr>
        <w:t xml:space="preserve">Section </w:t>
      </w:r>
      <w:r w:rsidR="000F2452">
        <w:rPr>
          <w:rFonts w:asciiTheme="majorHAnsi" w:hAnsiTheme="majorHAnsi" w:cstheme="majorHAnsi"/>
          <w:bCs/>
        </w:rPr>
        <w:t>3</w:t>
      </w:r>
      <w:r w:rsidRPr="00505353">
        <w:rPr>
          <w:rFonts w:asciiTheme="majorHAnsi" w:hAnsiTheme="majorHAnsi" w:cstheme="majorHAnsi"/>
          <w:bCs/>
        </w:rPr>
        <w:t xml:space="preserve">: </w:t>
      </w:r>
      <w:r w:rsidR="000F2452" w:rsidRPr="000F2452">
        <w:rPr>
          <w:rFonts w:asciiTheme="majorHAnsi" w:hAnsiTheme="majorHAnsi" w:cstheme="majorHAnsi"/>
          <w:bCs/>
        </w:rPr>
        <w:t>Operations</w:t>
      </w:r>
      <w:bookmarkEnd w:id="16"/>
    </w:p>
    <w:p w14:paraId="6E0089CF" w14:textId="77777777" w:rsidR="000F2452" w:rsidRDefault="000F2452" w:rsidP="000F2452"/>
    <w:p w14:paraId="793E3311" w14:textId="0559D948" w:rsidR="000F2452" w:rsidRDefault="000F2452" w:rsidP="000F2452">
      <w:pPr>
        <w:pStyle w:val="Heading2"/>
      </w:pPr>
      <w:bookmarkStart w:id="17" w:name="_Toc204778620"/>
      <w:r>
        <w:t xml:space="preserve">3.1 </w:t>
      </w:r>
      <w:r w:rsidRPr="000F2452">
        <w:t>Overview of Operations</w:t>
      </w:r>
      <w:bookmarkEnd w:id="17"/>
    </w:p>
    <w:p w14:paraId="061EA98B" w14:textId="77777777" w:rsidR="000F2452" w:rsidRDefault="000F2452" w:rsidP="000F2452"/>
    <w:p w14:paraId="02553934" w14:textId="77777777" w:rsidR="000F2452" w:rsidRPr="000F2452" w:rsidRDefault="000F2452" w:rsidP="000F2452">
      <w:r w:rsidRPr="000F2452">
        <w:t>Operations at RK Wales Property Management Ltd are designed to deliver efficient, high-quality refurbishment services across South Wales. From the moment a project is secured, a structured process ensures everything — from labour coordination to final inspection — is managed in-house with clear responsibility and control.</w:t>
      </w:r>
    </w:p>
    <w:p w14:paraId="1A802129" w14:textId="77777777" w:rsidR="000F2452" w:rsidRPr="000F2452" w:rsidRDefault="000F2452" w:rsidP="000F2452">
      <w:r w:rsidRPr="000F2452">
        <w:t>The company primarily serves property investors, letting agents, and housing associations. Its focus on reliability, transparency, and proof of progress through photographic updates makes it highly appealing to remote or repeat clients. As highlighted by Brookson (2016), operational efficiency in construction firms hinges on both process standardisation and flexible on-the-ground decision-making — a balance RK Wales achieves through hands-on project management and lean systems.</w:t>
      </w:r>
    </w:p>
    <w:p w14:paraId="7AC0016A" w14:textId="77777777" w:rsidR="000F2452" w:rsidRDefault="000F2452" w:rsidP="000F2452"/>
    <w:p w14:paraId="34C70DA2" w14:textId="4A0B608B" w:rsidR="000F2452" w:rsidRDefault="000F2452" w:rsidP="000F2452">
      <w:pPr>
        <w:pStyle w:val="Heading2"/>
      </w:pPr>
      <w:bookmarkStart w:id="18" w:name="_Toc204778621"/>
      <w:r>
        <w:t xml:space="preserve">3.2 </w:t>
      </w:r>
      <w:r w:rsidRPr="000F2452">
        <w:t>Premises and Equipment</w:t>
      </w:r>
      <w:bookmarkEnd w:id="18"/>
    </w:p>
    <w:p w14:paraId="36400F5E" w14:textId="77777777" w:rsidR="000F2452" w:rsidRDefault="000F2452" w:rsidP="000F2452"/>
    <w:p w14:paraId="4E0AE17B" w14:textId="77777777" w:rsidR="000F2452" w:rsidRPr="000F2452" w:rsidRDefault="000F2452" w:rsidP="000F2452">
      <w:r w:rsidRPr="000F2452">
        <w:t>RK Wales operates without a fixed office location, significantly reducing overheads. Tools and consumables are stored securely in company vehicles, and materials are delivered directly to sites. This approach increases logistical flexibility and supports a just-in-time method of supply, minimising downtime and storage issues.</w:t>
      </w:r>
    </w:p>
    <w:p w14:paraId="12791137" w14:textId="77777777" w:rsidR="000F2452" w:rsidRPr="000F2452" w:rsidRDefault="000F2452" w:rsidP="000F2452">
      <w:r w:rsidRPr="000F2452">
        <w:t>Essential operational assets include:</w:t>
      </w:r>
    </w:p>
    <w:p w14:paraId="4996232D" w14:textId="49A818E8" w:rsidR="000F2452" w:rsidRPr="000F2452" w:rsidRDefault="000F2452" w:rsidP="000F2452">
      <w:pPr>
        <w:numPr>
          <w:ilvl w:val="0"/>
          <w:numId w:val="41"/>
        </w:numPr>
      </w:pPr>
      <w:r>
        <w:lastRenderedPageBreak/>
        <w:t>4</w:t>
      </w:r>
      <w:r w:rsidRPr="000F2452">
        <w:t xml:space="preserve"> fully equipped company vans</w:t>
      </w:r>
    </w:p>
    <w:p w14:paraId="1FD05808" w14:textId="77777777" w:rsidR="000F2452" w:rsidRPr="000F2452" w:rsidRDefault="000F2452" w:rsidP="000F2452">
      <w:pPr>
        <w:numPr>
          <w:ilvl w:val="0"/>
          <w:numId w:val="41"/>
        </w:numPr>
      </w:pPr>
      <w:r w:rsidRPr="000F2452">
        <w:t>Industrial-grade tools (tile cutters, chop saws, wall chasers, etc.)</w:t>
      </w:r>
    </w:p>
    <w:p w14:paraId="16CDE6DA" w14:textId="77777777" w:rsidR="000F2452" w:rsidRPr="000F2452" w:rsidRDefault="000F2452" w:rsidP="000F2452">
      <w:pPr>
        <w:numPr>
          <w:ilvl w:val="0"/>
          <w:numId w:val="41"/>
        </w:numPr>
      </w:pPr>
      <w:r w:rsidRPr="000F2452">
        <w:t>Cement mixers and mobile power tools</w:t>
      </w:r>
    </w:p>
    <w:p w14:paraId="741DF8A8" w14:textId="77777777" w:rsidR="000F2452" w:rsidRPr="000F2452" w:rsidRDefault="000F2452" w:rsidP="000F2452">
      <w:pPr>
        <w:numPr>
          <w:ilvl w:val="0"/>
          <w:numId w:val="41"/>
        </w:numPr>
      </w:pPr>
      <w:r w:rsidRPr="000F2452">
        <w:t>Inspection tools (laser level, moisture meters)</w:t>
      </w:r>
    </w:p>
    <w:p w14:paraId="3CD93F77" w14:textId="77777777" w:rsidR="000F2452" w:rsidRPr="000F2452" w:rsidRDefault="000F2452" w:rsidP="000F2452">
      <w:pPr>
        <w:numPr>
          <w:ilvl w:val="0"/>
          <w:numId w:val="41"/>
        </w:numPr>
      </w:pPr>
      <w:r w:rsidRPr="000F2452">
        <w:t>Safety equipment (PPE, signage, mobile scaffold systems)</w:t>
      </w:r>
    </w:p>
    <w:p w14:paraId="75648A93" w14:textId="77777777" w:rsidR="000F2452" w:rsidRDefault="000F2452" w:rsidP="000F2452">
      <w:r w:rsidRPr="000F2452">
        <w:t>The decision to rent specialist equipment (such as core drills or demolition tools) where necessary aligns with advice by Fewings (2013), who argues that small construction firms benefit from hiring non-core equipment to control fixed costs and avoid underutilisation.</w:t>
      </w:r>
    </w:p>
    <w:p w14:paraId="63C6D1F5" w14:textId="77777777" w:rsidR="000F2452" w:rsidRDefault="000F2452" w:rsidP="000F2452"/>
    <w:p w14:paraId="68EF56DE" w14:textId="330FB1D1" w:rsidR="000F2452" w:rsidRDefault="000F2452" w:rsidP="000F2452">
      <w:pPr>
        <w:pStyle w:val="Heading2"/>
      </w:pPr>
      <w:bookmarkStart w:id="19" w:name="_Toc204778622"/>
      <w:r>
        <w:t xml:space="preserve">3.3 </w:t>
      </w:r>
      <w:r w:rsidRPr="000F2452">
        <w:t>Core Operational Workflow</w:t>
      </w:r>
      <w:bookmarkEnd w:id="19"/>
    </w:p>
    <w:p w14:paraId="5D97CCC4" w14:textId="77777777" w:rsidR="000F2452" w:rsidRDefault="000F2452" w:rsidP="000F2452"/>
    <w:p w14:paraId="5222B613" w14:textId="77777777" w:rsidR="000F2452" w:rsidRPr="000F2452" w:rsidRDefault="000F2452" w:rsidP="000F2452">
      <w:r w:rsidRPr="000F2452">
        <w:t>Projects typically follow a clear six-stage operational structure:</w:t>
      </w:r>
    </w:p>
    <w:p w14:paraId="18AFE4FA" w14:textId="77777777" w:rsidR="000F2452" w:rsidRPr="000F2452" w:rsidRDefault="000F2452" w:rsidP="000F2452">
      <w:pPr>
        <w:numPr>
          <w:ilvl w:val="0"/>
          <w:numId w:val="42"/>
        </w:numPr>
      </w:pPr>
      <w:r w:rsidRPr="000F2452">
        <w:rPr>
          <w:b/>
          <w:bCs/>
        </w:rPr>
        <w:t>Initial Site Survey</w:t>
      </w:r>
      <w:r w:rsidRPr="000F2452">
        <w:t xml:space="preserve"> – Assessment of scope, measurements, and compliance needs</w:t>
      </w:r>
    </w:p>
    <w:p w14:paraId="2EEFF7C7" w14:textId="77777777" w:rsidR="000F2452" w:rsidRPr="000F2452" w:rsidRDefault="000F2452" w:rsidP="000F2452">
      <w:pPr>
        <w:numPr>
          <w:ilvl w:val="0"/>
          <w:numId w:val="42"/>
        </w:numPr>
      </w:pPr>
      <w:r w:rsidRPr="000F2452">
        <w:rPr>
          <w:b/>
          <w:bCs/>
        </w:rPr>
        <w:t>Detailed Quotation</w:t>
      </w:r>
      <w:r w:rsidRPr="000F2452">
        <w:t xml:space="preserve"> – Costed line items with timelines and optional extras</w:t>
      </w:r>
    </w:p>
    <w:p w14:paraId="47016688" w14:textId="77777777" w:rsidR="000F2452" w:rsidRPr="000F2452" w:rsidRDefault="000F2452" w:rsidP="000F2452">
      <w:pPr>
        <w:numPr>
          <w:ilvl w:val="0"/>
          <w:numId w:val="42"/>
        </w:numPr>
      </w:pPr>
      <w:r w:rsidRPr="000F2452">
        <w:rPr>
          <w:b/>
          <w:bCs/>
        </w:rPr>
        <w:t>Scheduling</w:t>
      </w:r>
      <w:r w:rsidRPr="000F2452">
        <w:t xml:space="preserve"> – Labour and delivery planning using Trello-based tracking</w:t>
      </w:r>
    </w:p>
    <w:p w14:paraId="1BC7560F" w14:textId="77777777" w:rsidR="000F2452" w:rsidRPr="000F2452" w:rsidRDefault="000F2452" w:rsidP="000F2452">
      <w:pPr>
        <w:numPr>
          <w:ilvl w:val="0"/>
          <w:numId w:val="42"/>
        </w:numPr>
      </w:pPr>
      <w:r w:rsidRPr="000F2452">
        <w:rPr>
          <w:b/>
          <w:bCs/>
        </w:rPr>
        <w:t>Execution Phase</w:t>
      </w:r>
      <w:r w:rsidRPr="000F2452">
        <w:t xml:space="preserve"> – Full on-site refurbishment with photographic updates</w:t>
      </w:r>
    </w:p>
    <w:p w14:paraId="493D5172" w14:textId="77777777" w:rsidR="000F2452" w:rsidRPr="000F2452" w:rsidRDefault="000F2452" w:rsidP="000F2452">
      <w:pPr>
        <w:numPr>
          <w:ilvl w:val="0"/>
          <w:numId w:val="42"/>
        </w:numPr>
      </w:pPr>
      <w:r w:rsidRPr="000F2452">
        <w:rPr>
          <w:b/>
          <w:bCs/>
        </w:rPr>
        <w:t>Snagging Review</w:t>
      </w:r>
      <w:r w:rsidRPr="000F2452">
        <w:t xml:space="preserve"> – Final inspection with client input</w:t>
      </w:r>
    </w:p>
    <w:p w14:paraId="506A4DA4" w14:textId="77777777" w:rsidR="000F2452" w:rsidRPr="000F2452" w:rsidRDefault="000F2452" w:rsidP="000F2452">
      <w:pPr>
        <w:numPr>
          <w:ilvl w:val="0"/>
          <w:numId w:val="42"/>
        </w:numPr>
      </w:pPr>
      <w:r w:rsidRPr="000F2452">
        <w:rPr>
          <w:b/>
          <w:bCs/>
        </w:rPr>
        <w:t>Handover</w:t>
      </w:r>
      <w:r w:rsidRPr="000F2452">
        <w:t xml:space="preserve"> – Documented completion, invoice, and client feedback</w:t>
      </w:r>
    </w:p>
    <w:p w14:paraId="19317482" w14:textId="77777777" w:rsidR="000F2452" w:rsidRPr="000F2452" w:rsidRDefault="000F2452" w:rsidP="000F2452">
      <w:r w:rsidRPr="000F2452">
        <w:t>Clients receive at least one progress update per week, including photos and notes — a strategy that increases satisfaction and trust, especially for off-site investors. According to Loosemore et al. (2012), maintaining visible project progress and strong communication greatly improves client confidence in small-scale construction businesses.</w:t>
      </w:r>
    </w:p>
    <w:p w14:paraId="02D6B3F2" w14:textId="77777777" w:rsidR="000F2452" w:rsidRDefault="000F2452" w:rsidP="000F2452"/>
    <w:p w14:paraId="56F33556" w14:textId="544786C4" w:rsidR="000F2452" w:rsidRDefault="000F2452" w:rsidP="000F2452">
      <w:pPr>
        <w:pStyle w:val="Heading2"/>
      </w:pPr>
      <w:bookmarkStart w:id="20" w:name="_Toc204778623"/>
      <w:r>
        <w:t xml:space="preserve">3.4 </w:t>
      </w:r>
      <w:r w:rsidRPr="000F2452">
        <w:t>People: Staff, Contractors and Culture</w:t>
      </w:r>
      <w:bookmarkEnd w:id="20"/>
    </w:p>
    <w:p w14:paraId="02782926" w14:textId="77777777" w:rsidR="000F2452" w:rsidRDefault="000F2452" w:rsidP="000F2452"/>
    <w:p w14:paraId="4C040D5E" w14:textId="77777777" w:rsidR="000F2452" w:rsidRPr="000F2452" w:rsidRDefault="000F2452" w:rsidP="000F2452">
      <w:r w:rsidRPr="000F2452">
        <w:t>The business runs with a lean team of full-time multi-skilled operatives. Subcontractors (electricians, roofers, Gas Safe engineers, etc.) are brought in as needed. All personnel are chosen for both their technical skill and their reliability — with a strict no-nonsense approach to worksite professionalism.</w:t>
      </w:r>
    </w:p>
    <w:p w14:paraId="5281A3BE" w14:textId="77777777" w:rsidR="000F2452" w:rsidRPr="000F2452" w:rsidRDefault="000F2452" w:rsidP="000F2452">
      <w:r w:rsidRPr="000F2452">
        <w:t>RK Wales fosters a project-oriented culture where each team member understands the value of timing, tidiness, and proactive thinking. Subcontractors are checked for:</w:t>
      </w:r>
    </w:p>
    <w:p w14:paraId="52738CA2" w14:textId="77777777" w:rsidR="000F2452" w:rsidRPr="000F2452" w:rsidRDefault="000F2452" w:rsidP="000F2452">
      <w:pPr>
        <w:numPr>
          <w:ilvl w:val="0"/>
          <w:numId w:val="43"/>
        </w:numPr>
      </w:pPr>
      <w:r w:rsidRPr="000F2452">
        <w:t>UTR numbers and CSCS cards</w:t>
      </w:r>
    </w:p>
    <w:p w14:paraId="35E7102C" w14:textId="77777777" w:rsidR="000F2452" w:rsidRPr="000F2452" w:rsidRDefault="000F2452" w:rsidP="000F2452">
      <w:pPr>
        <w:numPr>
          <w:ilvl w:val="0"/>
          <w:numId w:val="43"/>
        </w:numPr>
      </w:pPr>
      <w:r w:rsidRPr="000F2452">
        <w:t>Insurance and certification (e.g. Part P, Gas Safe)</w:t>
      </w:r>
    </w:p>
    <w:p w14:paraId="7C644258" w14:textId="77777777" w:rsidR="000F2452" w:rsidRPr="000F2452" w:rsidRDefault="000F2452" w:rsidP="000F2452">
      <w:pPr>
        <w:numPr>
          <w:ilvl w:val="0"/>
          <w:numId w:val="43"/>
        </w:numPr>
      </w:pPr>
      <w:r w:rsidRPr="000F2452">
        <w:lastRenderedPageBreak/>
        <w:t>References from previous projects</w:t>
      </w:r>
    </w:p>
    <w:p w14:paraId="2D522C6C" w14:textId="77777777" w:rsidR="000F2452" w:rsidRPr="000F2452" w:rsidRDefault="000F2452" w:rsidP="000F2452">
      <w:pPr>
        <w:numPr>
          <w:ilvl w:val="0"/>
          <w:numId w:val="43"/>
        </w:numPr>
      </w:pPr>
      <w:r w:rsidRPr="000F2452">
        <w:t>Willingness to adhere to strict client update protocols</w:t>
      </w:r>
    </w:p>
    <w:p w14:paraId="447EE7DA" w14:textId="77777777" w:rsidR="000F2452" w:rsidRPr="000F2452" w:rsidRDefault="000F2452" w:rsidP="000F2452">
      <w:r w:rsidRPr="000F2452">
        <w:t>This selection process ensures a consistent level of output across projects and helps avoid delays caused by unreliable labour — a key risk area in property refurbishment.</w:t>
      </w:r>
    </w:p>
    <w:p w14:paraId="6AB1CEB2" w14:textId="77777777" w:rsidR="000F2452" w:rsidRDefault="000F2452" w:rsidP="000F2452"/>
    <w:p w14:paraId="610AF9D3" w14:textId="34806182" w:rsidR="000F2452" w:rsidRDefault="000F2452" w:rsidP="000F2452">
      <w:pPr>
        <w:pStyle w:val="Heading2"/>
      </w:pPr>
      <w:bookmarkStart w:id="21" w:name="_Toc204778624"/>
      <w:r>
        <w:t xml:space="preserve">3.5 </w:t>
      </w:r>
      <w:r w:rsidRPr="000F2452">
        <w:t>Systems and Digital Tools</w:t>
      </w:r>
      <w:bookmarkEnd w:id="21"/>
    </w:p>
    <w:p w14:paraId="6FC42451" w14:textId="77777777" w:rsidR="000F2452" w:rsidRDefault="000F2452" w:rsidP="000F2452"/>
    <w:p w14:paraId="6B6D21E4" w14:textId="77777777" w:rsidR="000F2452" w:rsidRPr="000F2452" w:rsidRDefault="000F2452" w:rsidP="000F2452">
      <w:r w:rsidRPr="000F2452">
        <w:t>The company does not yet use enterprise software but makes effective use of low-cost, cloud-based solutions:</w:t>
      </w:r>
    </w:p>
    <w:p w14:paraId="54BA1AEB" w14:textId="18C70901" w:rsidR="000F2452" w:rsidRPr="000F2452" w:rsidRDefault="000F2452" w:rsidP="000F2452">
      <w:pPr>
        <w:numPr>
          <w:ilvl w:val="0"/>
          <w:numId w:val="44"/>
        </w:numPr>
      </w:pPr>
      <w:proofErr w:type="spellStart"/>
      <w:r w:rsidRPr="000F2452">
        <w:rPr>
          <w:b/>
          <w:bCs/>
        </w:rPr>
        <w:t>Tr</w:t>
      </w:r>
      <w:r>
        <w:rPr>
          <w:b/>
          <w:bCs/>
        </w:rPr>
        <w:t>adify</w:t>
      </w:r>
      <w:proofErr w:type="spellEnd"/>
      <w:r w:rsidRPr="000F2452">
        <w:t xml:space="preserve"> for project timelines and site logistics</w:t>
      </w:r>
    </w:p>
    <w:p w14:paraId="02A78337" w14:textId="77777777" w:rsidR="000F2452" w:rsidRPr="000F2452" w:rsidRDefault="000F2452" w:rsidP="000F2452">
      <w:pPr>
        <w:numPr>
          <w:ilvl w:val="0"/>
          <w:numId w:val="44"/>
        </w:numPr>
      </w:pPr>
      <w:r w:rsidRPr="000F2452">
        <w:rPr>
          <w:b/>
          <w:bCs/>
        </w:rPr>
        <w:t>WhatsApp</w:t>
      </w:r>
      <w:r w:rsidRPr="000F2452">
        <w:t xml:space="preserve"> for internal and client updates</w:t>
      </w:r>
    </w:p>
    <w:p w14:paraId="6F618049" w14:textId="77777777" w:rsidR="000F2452" w:rsidRPr="000F2452" w:rsidRDefault="000F2452" w:rsidP="000F2452">
      <w:pPr>
        <w:numPr>
          <w:ilvl w:val="0"/>
          <w:numId w:val="44"/>
        </w:numPr>
      </w:pPr>
      <w:r w:rsidRPr="000F2452">
        <w:rPr>
          <w:b/>
          <w:bCs/>
        </w:rPr>
        <w:t>QuickBooks</w:t>
      </w:r>
      <w:r w:rsidRPr="000F2452">
        <w:t xml:space="preserve"> for financial tracking and invoicing</w:t>
      </w:r>
    </w:p>
    <w:p w14:paraId="0A837047" w14:textId="77777777" w:rsidR="000F2452" w:rsidRPr="000F2452" w:rsidRDefault="000F2452" w:rsidP="000F2452">
      <w:pPr>
        <w:numPr>
          <w:ilvl w:val="0"/>
          <w:numId w:val="44"/>
        </w:numPr>
      </w:pPr>
      <w:r w:rsidRPr="000F2452">
        <w:rPr>
          <w:b/>
          <w:bCs/>
        </w:rPr>
        <w:t>Google Drive</w:t>
      </w:r>
      <w:r w:rsidRPr="000F2452">
        <w:t xml:space="preserve"> for quotes, client reports, and image documentation</w:t>
      </w:r>
    </w:p>
    <w:p w14:paraId="6F7712A8" w14:textId="77777777" w:rsidR="000F2452" w:rsidRPr="000F2452" w:rsidRDefault="000F2452" w:rsidP="000F2452">
      <w:pPr>
        <w:numPr>
          <w:ilvl w:val="0"/>
          <w:numId w:val="44"/>
        </w:numPr>
      </w:pPr>
      <w:r w:rsidRPr="000F2452">
        <w:rPr>
          <w:b/>
          <w:bCs/>
        </w:rPr>
        <w:t>Canva</w:t>
      </w:r>
      <w:r w:rsidRPr="000F2452">
        <w:t xml:space="preserve"> to generate polished progress reports for investors</w:t>
      </w:r>
    </w:p>
    <w:p w14:paraId="4613A015" w14:textId="77777777" w:rsidR="000F2452" w:rsidRPr="000F2452" w:rsidRDefault="000F2452" w:rsidP="000F2452">
      <w:r w:rsidRPr="000F2452">
        <w:t>These tools allow Robert and his team to stay responsive and organised across multiple jobs simultaneously. For a business of this size, such tools offer scalability without high software overhead.</w:t>
      </w:r>
    </w:p>
    <w:p w14:paraId="155E433E" w14:textId="77777777" w:rsidR="000F2452" w:rsidRPr="000F2452" w:rsidRDefault="000F2452" w:rsidP="000F2452"/>
    <w:p w14:paraId="065326EA" w14:textId="2FD47171" w:rsidR="000F2452" w:rsidRDefault="000F2452" w:rsidP="000F2452">
      <w:pPr>
        <w:pStyle w:val="Heading2"/>
      </w:pPr>
      <w:bookmarkStart w:id="22" w:name="_Toc204778625"/>
      <w:r>
        <w:t xml:space="preserve">3.6 </w:t>
      </w:r>
      <w:r w:rsidRPr="000F2452">
        <w:t>Legal Compliance and Safety</w:t>
      </w:r>
      <w:bookmarkEnd w:id="22"/>
    </w:p>
    <w:p w14:paraId="18AFB0B9" w14:textId="77777777" w:rsidR="000F2452" w:rsidRDefault="000F2452" w:rsidP="000F2452"/>
    <w:p w14:paraId="75DFD518" w14:textId="77777777" w:rsidR="00122B0B" w:rsidRPr="00122B0B" w:rsidRDefault="00122B0B" w:rsidP="00122B0B">
      <w:r w:rsidRPr="00122B0B">
        <w:t>RK Wales operates in full alignment with construction safety and business legislation:</w:t>
      </w:r>
    </w:p>
    <w:p w14:paraId="26FEE265" w14:textId="77777777" w:rsidR="00122B0B" w:rsidRPr="00122B0B" w:rsidRDefault="00122B0B" w:rsidP="00122B0B">
      <w:pPr>
        <w:numPr>
          <w:ilvl w:val="0"/>
          <w:numId w:val="45"/>
        </w:numPr>
      </w:pPr>
      <w:r w:rsidRPr="00122B0B">
        <w:t>Public and employers’ liability insurance</w:t>
      </w:r>
    </w:p>
    <w:p w14:paraId="1B400D18" w14:textId="77777777" w:rsidR="00122B0B" w:rsidRPr="00122B0B" w:rsidRDefault="00122B0B" w:rsidP="00122B0B">
      <w:pPr>
        <w:numPr>
          <w:ilvl w:val="0"/>
          <w:numId w:val="45"/>
        </w:numPr>
      </w:pPr>
      <w:r w:rsidRPr="00122B0B">
        <w:t>Regular RAMS (Risk Assessment and Method Statement) documents</w:t>
      </w:r>
    </w:p>
    <w:p w14:paraId="03430161" w14:textId="77777777" w:rsidR="00122B0B" w:rsidRPr="00122B0B" w:rsidRDefault="00122B0B" w:rsidP="00122B0B">
      <w:pPr>
        <w:numPr>
          <w:ilvl w:val="0"/>
          <w:numId w:val="45"/>
        </w:numPr>
      </w:pPr>
      <w:r w:rsidRPr="00122B0B">
        <w:t>Fire compliance and Building Regs adherence for all housing upgrades</w:t>
      </w:r>
    </w:p>
    <w:p w14:paraId="3C98876F" w14:textId="77777777" w:rsidR="00122B0B" w:rsidRPr="00122B0B" w:rsidRDefault="00122B0B" w:rsidP="00122B0B">
      <w:pPr>
        <w:numPr>
          <w:ilvl w:val="0"/>
          <w:numId w:val="45"/>
        </w:numPr>
      </w:pPr>
      <w:r w:rsidRPr="00122B0B">
        <w:t>Waste removal contracts and appropriate skip hire</w:t>
      </w:r>
    </w:p>
    <w:p w14:paraId="429072B6" w14:textId="77777777" w:rsidR="00122B0B" w:rsidRPr="00122B0B" w:rsidRDefault="00122B0B" w:rsidP="00122B0B">
      <w:pPr>
        <w:numPr>
          <w:ilvl w:val="0"/>
          <w:numId w:val="45"/>
        </w:numPr>
      </w:pPr>
      <w:r w:rsidRPr="00122B0B">
        <w:t>Scaffolding permits and access licences as needed</w:t>
      </w:r>
    </w:p>
    <w:p w14:paraId="3A8D823D" w14:textId="77777777" w:rsidR="00122B0B" w:rsidRPr="00122B0B" w:rsidRDefault="00122B0B" w:rsidP="00122B0B">
      <w:pPr>
        <w:numPr>
          <w:ilvl w:val="0"/>
          <w:numId w:val="45"/>
        </w:numPr>
      </w:pPr>
      <w:r w:rsidRPr="00122B0B">
        <w:t>Electrical certificates and gas safety records issued on completion</w:t>
      </w:r>
    </w:p>
    <w:p w14:paraId="61CA3AFF" w14:textId="77777777" w:rsidR="00122B0B" w:rsidRPr="00122B0B" w:rsidRDefault="00122B0B" w:rsidP="00122B0B">
      <w:r w:rsidRPr="00122B0B">
        <w:t>Compliance is seen not just as a legal necessity but a competitive advantage — especially when working with associations or developers who require documented proof of professional standards.</w:t>
      </w:r>
    </w:p>
    <w:p w14:paraId="61072880" w14:textId="77777777" w:rsidR="000F2452" w:rsidRDefault="000F2452" w:rsidP="000F2452"/>
    <w:p w14:paraId="66041E1E" w14:textId="27F9DF59" w:rsidR="00122B0B" w:rsidRDefault="00122B0B" w:rsidP="00122B0B">
      <w:pPr>
        <w:pStyle w:val="Heading2"/>
      </w:pPr>
      <w:bookmarkStart w:id="23" w:name="_Toc204778626"/>
      <w:r>
        <w:t xml:space="preserve">3.7 </w:t>
      </w:r>
      <w:r w:rsidRPr="00122B0B">
        <w:t>Annual Operational Costs</w:t>
      </w:r>
      <w:bookmarkEnd w:id="23"/>
    </w:p>
    <w:p w14:paraId="50BAFCB0" w14:textId="77777777" w:rsidR="00122B0B" w:rsidRDefault="00122B0B" w:rsidP="00122B0B"/>
    <w:p w14:paraId="57BF2E50" w14:textId="13F399D6" w:rsidR="00122B0B" w:rsidRPr="00122B0B" w:rsidRDefault="00122B0B" w:rsidP="00122B0B">
      <w:r w:rsidRPr="00122B0B">
        <w:lastRenderedPageBreak/>
        <w:t>The company’s estimated annual operational costs based on existing workload and turnover</w:t>
      </w:r>
      <w:r w:rsidR="000F32D6">
        <w:t xml:space="preserve"> should be approx. £240,000.</w:t>
      </w:r>
    </w:p>
    <w:p w14:paraId="2EABE0B6" w14:textId="77777777" w:rsidR="00122B0B" w:rsidRPr="00122B0B" w:rsidRDefault="00122B0B" w:rsidP="00122B0B">
      <w:r w:rsidRPr="00122B0B">
        <w:t>This cost base supports a projected annual turnover of £280,000. Investments into tools and systems have reduced delays and helped maintain a consistent delivery standard, creating better capacity to handle overlapping jobs.</w:t>
      </w:r>
    </w:p>
    <w:p w14:paraId="5E6F4626" w14:textId="77777777" w:rsidR="00122B0B" w:rsidRDefault="00122B0B" w:rsidP="00122B0B"/>
    <w:p w14:paraId="4B446BB1" w14:textId="3371DC72" w:rsidR="000F32D6" w:rsidRDefault="000F32D6" w:rsidP="000F32D6">
      <w:pPr>
        <w:pStyle w:val="Heading1"/>
      </w:pPr>
      <w:bookmarkStart w:id="24" w:name="_Toc204778627"/>
      <w:r>
        <w:t xml:space="preserve">4.0 </w:t>
      </w:r>
      <w:r w:rsidRPr="000F32D6">
        <w:t>Financial Performance and Forecasts</w:t>
      </w:r>
      <w:bookmarkEnd w:id="24"/>
    </w:p>
    <w:p w14:paraId="63EE1B12" w14:textId="77777777" w:rsidR="000F32D6" w:rsidRDefault="000F32D6" w:rsidP="000F32D6"/>
    <w:p w14:paraId="2628CA5B" w14:textId="78DD094A" w:rsidR="000F32D6" w:rsidRPr="000F32D6" w:rsidRDefault="000F32D6" w:rsidP="000F32D6">
      <w:pPr>
        <w:pStyle w:val="Heading2"/>
      </w:pPr>
      <w:bookmarkStart w:id="25" w:name="_Toc204778628"/>
      <w:r>
        <w:t xml:space="preserve">4.1 </w:t>
      </w:r>
      <w:r w:rsidRPr="000F32D6">
        <w:t>Financial Summary</w:t>
      </w:r>
      <w:bookmarkEnd w:id="25"/>
    </w:p>
    <w:p w14:paraId="416C7A72" w14:textId="77777777" w:rsidR="00122B0B" w:rsidRDefault="00122B0B" w:rsidP="00122B0B"/>
    <w:p w14:paraId="6A567DFA" w14:textId="77777777" w:rsidR="000F32D6" w:rsidRPr="000F32D6" w:rsidRDefault="000F32D6" w:rsidP="000F32D6">
      <w:r w:rsidRPr="000F32D6">
        <w:t>RK Wales Property Management Ltd is projecting a turnover of approximately £280,000 for the current financial year, with net income expected to be £5,000. The relatively low net profit reflects intentional reinvestment into the business — specifically, the acquisition of high-quality tools, vehicles, and equipment that will support long-term efficiency and scalability.</w:t>
      </w:r>
    </w:p>
    <w:p w14:paraId="132BDD54" w14:textId="77777777" w:rsidR="000F32D6" w:rsidRPr="000F32D6" w:rsidRDefault="000F32D6" w:rsidP="000F32D6">
      <w:r w:rsidRPr="000F32D6">
        <w:t>This reinvestment aligns with strategic growth planning. In the early stages of business expansion, capital outlay is often front-loaded to increase future margins — a principle supported by Dyson (2010), who highlights the importance of early capital expenditure in asset-heavy sectors such as construction.</w:t>
      </w:r>
    </w:p>
    <w:p w14:paraId="4F270F4C" w14:textId="77777777" w:rsidR="000F32D6" w:rsidRDefault="000F32D6" w:rsidP="00122B0B"/>
    <w:p w14:paraId="0A86ED5E" w14:textId="695D5A95" w:rsidR="000F32D6" w:rsidRDefault="000F32D6" w:rsidP="000F32D6">
      <w:pPr>
        <w:pStyle w:val="Heading2"/>
      </w:pPr>
      <w:bookmarkStart w:id="26" w:name="_Toc204778629"/>
      <w:r>
        <w:t xml:space="preserve">4.2 </w:t>
      </w:r>
      <w:r w:rsidRPr="000F32D6">
        <w:t>12-Month Cash Flow Forecast</w:t>
      </w:r>
      <w:bookmarkEnd w:id="26"/>
    </w:p>
    <w:p w14:paraId="4EEDD838" w14:textId="77777777" w:rsidR="000F32D6" w:rsidRDefault="000F32D6" w:rsidP="000F32D6"/>
    <w:p w14:paraId="53C2A8E6" w14:textId="36561A89" w:rsidR="000F32D6" w:rsidRPr="000F32D6" w:rsidRDefault="000F32D6" w:rsidP="000F32D6">
      <w:r w:rsidRPr="000F32D6">
        <w:t>The following table outlines the projected monthly cash flow based on secured and forecasted work:</w:t>
      </w:r>
    </w:p>
    <w:p w14:paraId="58F2D404" w14:textId="77777777" w:rsidR="001D3C97" w:rsidRPr="00505353" w:rsidRDefault="001D3C97" w:rsidP="004B2BF5">
      <w:pPr>
        <w:spacing w:after="0" w:line="240" w:lineRule="auto"/>
        <w:rPr>
          <w:rFonts w:asciiTheme="majorHAnsi" w:hAnsiTheme="majorHAnsi" w:cstheme="majorHAnsi"/>
          <w:bCs/>
        </w:rPr>
      </w:pPr>
    </w:p>
    <w:tbl>
      <w:tblPr>
        <w:tblW w:w="9800" w:type="dxa"/>
        <w:tblLook w:val="04A0" w:firstRow="1" w:lastRow="0" w:firstColumn="1" w:lastColumn="0" w:noHBand="0" w:noVBand="1"/>
      </w:tblPr>
      <w:tblGrid>
        <w:gridCol w:w="2420"/>
        <w:gridCol w:w="1219"/>
        <w:gridCol w:w="1300"/>
        <w:gridCol w:w="1360"/>
        <w:gridCol w:w="1219"/>
        <w:gridCol w:w="1240"/>
        <w:gridCol w:w="1240"/>
      </w:tblGrid>
      <w:tr w:rsidR="000F32D6" w:rsidRPr="000F32D6" w14:paraId="6E53E437" w14:textId="77777777" w:rsidTr="000F32D6">
        <w:trPr>
          <w:trHeight w:val="315"/>
        </w:trPr>
        <w:tc>
          <w:tcPr>
            <w:tcW w:w="2420" w:type="dxa"/>
            <w:tcBorders>
              <w:top w:val="single" w:sz="4" w:space="0" w:color="auto"/>
              <w:left w:val="single" w:sz="4" w:space="0" w:color="auto"/>
              <w:bottom w:val="single" w:sz="4" w:space="0" w:color="auto"/>
              <w:right w:val="single" w:sz="4" w:space="0" w:color="auto"/>
            </w:tcBorders>
            <w:noWrap/>
            <w:vAlign w:val="bottom"/>
            <w:hideMark/>
          </w:tcPr>
          <w:p w14:paraId="61BB4169"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single" w:sz="4" w:space="0" w:color="auto"/>
              <w:left w:val="nil"/>
              <w:bottom w:val="single" w:sz="4" w:space="0" w:color="auto"/>
              <w:right w:val="single" w:sz="4" w:space="0" w:color="auto"/>
            </w:tcBorders>
            <w:shd w:val="clear" w:color="000000" w:fill="FFEB9C"/>
            <w:noWrap/>
            <w:vAlign w:val="bottom"/>
            <w:hideMark/>
          </w:tcPr>
          <w:p w14:paraId="67C9432A"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January</w:t>
            </w:r>
          </w:p>
        </w:tc>
        <w:tc>
          <w:tcPr>
            <w:tcW w:w="1300" w:type="dxa"/>
            <w:tcBorders>
              <w:top w:val="single" w:sz="4" w:space="0" w:color="auto"/>
              <w:left w:val="nil"/>
              <w:bottom w:val="single" w:sz="4" w:space="0" w:color="auto"/>
              <w:right w:val="single" w:sz="4" w:space="0" w:color="auto"/>
            </w:tcBorders>
            <w:shd w:val="clear" w:color="000000" w:fill="FFEB9C"/>
            <w:noWrap/>
            <w:vAlign w:val="bottom"/>
            <w:hideMark/>
          </w:tcPr>
          <w:p w14:paraId="2F22A349"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February</w:t>
            </w:r>
          </w:p>
        </w:tc>
        <w:tc>
          <w:tcPr>
            <w:tcW w:w="1360" w:type="dxa"/>
            <w:tcBorders>
              <w:top w:val="single" w:sz="4" w:space="0" w:color="auto"/>
              <w:left w:val="nil"/>
              <w:bottom w:val="single" w:sz="4" w:space="0" w:color="auto"/>
              <w:right w:val="single" w:sz="4" w:space="0" w:color="auto"/>
            </w:tcBorders>
            <w:shd w:val="clear" w:color="000000" w:fill="FFEB9C"/>
            <w:noWrap/>
            <w:vAlign w:val="bottom"/>
            <w:hideMark/>
          </w:tcPr>
          <w:p w14:paraId="5EDEF91D"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March</w:t>
            </w:r>
          </w:p>
        </w:tc>
        <w:tc>
          <w:tcPr>
            <w:tcW w:w="1120" w:type="dxa"/>
            <w:tcBorders>
              <w:top w:val="single" w:sz="4" w:space="0" w:color="auto"/>
              <w:left w:val="nil"/>
              <w:bottom w:val="single" w:sz="4" w:space="0" w:color="auto"/>
              <w:right w:val="single" w:sz="4" w:space="0" w:color="auto"/>
            </w:tcBorders>
            <w:shd w:val="clear" w:color="000000" w:fill="FFEB9C"/>
            <w:noWrap/>
            <w:vAlign w:val="bottom"/>
            <w:hideMark/>
          </w:tcPr>
          <w:p w14:paraId="2B07C652"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April</w:t>
            </w:r>
          </w:p>
        </w:tc>
        <w:tc>
          <w:tcPr>
            <w:tcW w:w="1240" w:type="dxa"/>
            <w:tcBorders>
              <w:top w:val="single" w:sz="4" w:space="0" w:color="auto"/>
              <w:left w:val="nil"/>
              <w:bottom w:val="single" w:sz="4" w:space="0" w:color="auto"/>
              <w:right w:val="single" w:sz="4" w:space="0" w:color="auto"/>
            </w:tcBorders>
            <w:shd w:val="clear" w:color="000000" w:fill="FFEB9C"/>
            <w:noWrap/>
            <w:vAlign w:val="bottom"/>
            <w:hideMark/>
          </w:tcPr>
          <w:p w14:paraId="64500A22"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xml:space="preserve">May </w:t>
            </w:r>
          </w:p>
        </w:tc>
        <w:tc>
          <w:tcPr>
            <w:tcW w:w="1240" w:type="dxa"/>
            <w:tcBorders>
              <w:top w:val="single" w:sz="4" w:space="0" w:color="auto"/>
              <w:left w:val="nil"/>
              <w:bottom w:val="single" w:sz="4" w:space="0" w:color="auto"/>
              <w:right w:val="single" w:sz="4" w:space="0" w:color="auto"/>
            </w:tcBorders>
            <w:shd w:val="clear" w:color="000000" w:fill="FFEB9C"/>
            <w:noWrap/>
            <w:vAlign w:val="bottom"/>
            <w:hideMark/>
          </w:tcPr>
          <w:p w14:paraId="6DA1AC17"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June</w:t>
            </w:r>
          </w:p>
        </w:tc>
      </w:tr>
      <w:tr w:rsidR="000F32D6" w:rsidRPr="000F32D6" w14:paraId="06E40157" w14:textId="77777777" w:rsidTr="000F32D6">
        <w:trPr>
          <w:trHeight w:val="330"/>
        </w:trPr>
        <w:tc>
          <w:tcPr>
            <w:tcW w:w="2420" w:type="dxa"/>
            <w:tcBorders>
              <w:top w:val="double" w:sz="6" w:space="0" w:color="3F3F3F"/>
              <w:left w:val="double" w:sz="6" w:space="0" w:color="3F3F3F"/>
              <w:bottom w:val="double" w:sz="6" w:space="0" w:color="3F3F3F"/>
              <w:right w:val="double" w:sz="6" w:space="0" w:color="3F3F3F"/>
            </w:tcBorders>
            <w:shd w:val="clear" w:color="000000" w:fill="C6EFCE"/>
            <w:noWrap/>
            <w:vAlign w:val="bottom"/>
            <w:hideMark/>
          </w:tcPr>
          <w:p w14:paraId="2367078C" w14:textId="77777777" w:rsidR="000F32D6" w:rsidRPr="000F32D6" w:rsidRDefault="000F32D6" w:rsidP="000F32D6">
            <w:pPr>
              <w:spacing w:after="0" w:line="240" w:lineRule="auto"/>
              <w:rPr>
                <w:rFonts w:eastAsia="Times New Roman"/>
                <w:i/>
                <w:iCs/>
                <w:color w:val="006100"/>
                <w:lang w:eastAsia="en-GB"/>
              </w:rPr>
            </w:pPr>
            <w:r w:rsidRPr="000F32D6">
              <w:rPr>
                <w:rFonts w:eastAsia="Times New Roman"/>
                <w:i/>
                <w:iCs/>
                <w:color w:val="006100"/>
                <w:lang w:eastAsia="en-GB"/>
              </w:rPr>
              <w:t>Income</w:t>
            </w:r>
          </w:p>
        </w:tc>
        <w:tc>
          <w:tcPr>
            <w:tcW w:w="1120" w:type="dxa"/>
            <w:tcBorders>
              <w:top w:val="nil"/>
              <w:left w:val="single" w:sz="4" w:space="0" w:color="auto"/>
              <w:bottom w:val="single" w:sz="4" w:space="0" w:color="auto"/>
              <w:right w:val="single" w:sz="4" w:space="0" w:color="auto"/>
            </w:tcBorders>
            <w:noWrap/>
            <w:vAlign w:val="bottom"/>
            <w:hideMark/>
          </w:tcPr>
          <w:p w14:paraId="4299392F"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00" w:type="dxa"/>
            <w:tcBorders>
              <w:top w:val="nil"/>
              <w:left w:val="nil"/>
              <w:bottom w:val="single" w:sz="4" w:space="0" w:color="auto"/>
              <w:right w:val="single" w:sz="4" w:space="0" w:color="auto"/>
            </w:tcBorders>
            <w:noWrap/>
            <w:vAlign w:val="bottom"/>
            <w:hideMark/>
          </w:tcPr>
          <w:p w14:paraId="0B33AA2D"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60" w:type="dxa"/>
            <w:tcBorders>
              <w:top w:val="nil"/>
              <w:left w:val="nil"/>
              <w:bottom w:val="single" w:sz="4" w:space="0" w:color="auto"/>
              <w:right w:val="single" w:sz="4" w:space="0" w:color="auto"/>
            </w:tcBorders>
            <w:noWrap/>
            <w:vAlign w:val="bottom"/>
            <w:hideMark/>
          </w:tcPr>
          <w:p w14:paraId="58143B9D"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nil"/>
              <w:left w:val="nil"/>
              <w:bottom w:val="single" w:sz="4" w:space="0" w:color="auto"/>
              <w:right w:val="single" w:sz="4" w:space="0" w:color="auto"/>
            </w:tcBorders>
            <w:noWrap/>
            <w:vAlign w:val="bottom"/>
            <w:hideMark/>
          </w:tcPr>
          <w:p w14:paraId="1B3FE9E0"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DFC092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8F8ABCF"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600EB728" w14:textId="77777777" w:rsidTr="000F32D6">
        <w:trPr>
          <w:trHeight w:val="315"/>
        </w:trPr>
        <w:tc>
          <w:tcPr>
            <w:tcW w:w="2420" w:type="dxa"/>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7414119D"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120" w:type="dxa"/>
            <w:tcBorders>
              <w:top w:val="nil"/>
              <w:left w:val="nil"/>
              <w:bottom w:val="single" w:sz="4" w:space="0" w:color="auto"/>
              <w:right w:val="single" w:sz="4" w:space="0" w:color="auto"/>
            </w:tcBorders>
            <w:noWrap/>
            <w:vAlign w:val="bottom"/>
            <w:hideMark/>
          </w:tcPr>
          <w:p w14:paraId="40F497EA"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00" w:type="dxa"/>
            <w:tcBorders>
              <w:top w:val="nil"/>
              <w:left w:val="nil"/>
              <w:bottom w:val="single" w:sz="4" w:space="0" w:color="auto"/>
              <w:right w:val="single" w:sz="4" w:space="0" w:color="auto"/>
            </w:tcBorders>
            <w:noWrap/>
            <w:vAlign w:val="bottom"/>
            <w:hideMark/>
          </w:tcPr>
          <w:p w14:paraId="0274CACC"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60" w:type="dxa"/>
            <w:tcBorders>
              <w:top w:val="nil"/>
              <w:left w:val="nil"/>
              <w:bottom w:val="single" w:sz="4" w:space="0" w:color="auto"/>
              <w:right w:val="single" w:sz="4" w:space="0" w:color="auto"/>
            </w:tcBorders>
            <w:noWrap/>
            <w:vAlign w:val="bottom"/>
            <w:hideMark/>
          </w:tcPr>
          <w:p w14:paraId="55949EF8"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nil"/>
              <w:left w:val="nil"/>
              <w:bottom w:val="single" w:sz="4" w:space="0" w:color="auto"/>
              <w:right w:val="single" w:sz="4" w:space="0" w:color="auto"/>
            </w:tcBorders>
            <w:noWrap/>
            <w:vAlign w:val="bottom"/>
            <w:hideMark/>
          </w:tcPr>
          <w:p w14:paraId="41A3660A"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348E653A"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55CE2282"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6E1A0826"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2F9562E2"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Sales Revenue</w:t>
            </w:r>
          </w:p>
        </w:tc>
        <w:tc>
          <w:tcPr>
            <w:tcW w:w="1120" w:type="dxa"/>
            <w:tcBorders>
              <w:top w:val="nil"/>
              <w:left w:val="nil"/>
              <w:bottom w:val="single" w:sz="4" w:space="0" w:color="auto"/>
              <w:right w:val="single" w:sz="4" w:space="0" w:color="auto"/>
            </w:tcBorders>
            <w:noWrap/>
            <w:vAlign w:val="bottom"/>
            <w:hideMark/>
          </w:tcPr>
          <w:p w14:paraId="10FF3A6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£15,000.00</w:t>
            </w:r>
          </w:p>
        </w:tc>
        <w:tc>
          <w:tcPr>
            <w:tcW w:w="1300" w:type="dxa"/>
            <w:tcBorders>
              <w:top w:val="nil"/>
              <w:left w:val="nil"/>
              <w:bottom w:val="single" w:sz="4" w:space="0" w:color="auto"/>
              <w:right w:val="single" w:sz="4" w:space="0" w:color="auto"/>
            </w:tcBorders>
            <w:noWrap/>
            <w:vAlign w:val="bottom"/>
            <w:hideMark/>
          </w:tcPr>
          <w:p w14:paraId="2A70C4D5"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£20,000.00</w:t>
            </w:r>
          </w:p>
        </w:tc>
        <w:tc>
          <w:tcPr>
            <w:tcW w:w="1360" w:type="dxa"/>
            <w:tcBorders>
              <w:top w:val="nil"/>
              <w:left w:val="nil"/>
              <w:bottom w:val="single" w:sz="4" w:space="0" w:color="auto"/>
              <w:right w:val="single" w:sz="4" w:space="0" w:color="auto"/>
            </w:tcBorders>
            <w:noWrap/>
            <w:vAlign w:val="bottom"/>
            <w:hideMark/>
          </w:tcPr>
          <w:p w14:paraId="433BEE6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£24,000.00</w:t>
            </w:r>
          </w:p>
        </w:tc>
        <w:tc>
          <w:tcPr>
            <w:tcW w:w="1120" w:type="dxa"/>
            <w:tcBorders>
              <w:top w:val="nil"/>
              <w:left w:val="nil"/>
              <w:bottom w:val="single" w:sz="4" w:space="0" w:color="auto"/>
              <w:right w:val="single" w:sz="4" w:space="0" w:color="auto"/>
            </w:tcBorders>
            <w:noWrap/>
            <w:vAlign w:val="bottom"/>
            <w:hideMark/>
          </w:tcPr>
          <w:p w14:paraId="6D36BDA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£26,000.00</w:t>
            </w:r>
          </w:p>
        </w:tc>
        <w:tc>
          <w:tcPr>
            <w:tcW w:w="1240" w:type="dxa"/>
            <w:tcBorders>
              <w:top w:val="nil"/>
              <w:left w:val="nil"/>
              <w:bottom w:val="single" w:sz="4" w:space="0" w:color="auto"/>
              <w:right w:val="single" w:sz="4" w:space="0" w:color="auto"/>
            </w:tcBorders>
            <w:noWrap/>
            <w:vAlign w:val="bottom"/>
            <w:hideMark/>
          </w:tcPr>
          <w:p w14:paraId="6816019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£30,000.00</w:t>
            </w:r>
          </w:p>
        </w:tc>
        <w:tc>
          <w:tcPr>
            <w:tcW w:w="1240" w:type="dxa"/>
            <w:tcBorders>
              <w:top w:val="nil"/>
              <w:left w:val="nil"/>
              <w:bottom w:val="single" w:sz="4" w:space="0" w:color="auto"/>
              <w:right w:val="single" w:sz="4" w:space="0" w:color="auto"/>
            </w:tcBorders>
            <w:noWrap/>
            <w:vAlign w:val="bottom"/>
            <w:hideMark/>
          </w:tcPr>
          <w:p w14:paraId="2F47BC92"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£28,000.00</w:t>
            </w:r>
          </w:p>
        </w:tc>
      </w:tr>
      <w:tr w:rsidR="000F32D6" w:rsidRPr="000F32D6" w14:paraId="2716358E"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77B79535"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120" w:type="dxa"/>
            <w:tcBorders>
              <w:top w:val="nil"/>
              <w:left w:val="nil"/>
              <w:bottom w:val="single" w:sz="4" w:space="0" w:color="auto"/>
              <w:right w:val="single" w:sz="4" w:space="0" w:color="auto"/>
            </w:tcBorders>
            <w:noWrap/>
            <w:vAlign w:val="bottom"/>
            <w:hideMark/>
          </w:tcPr>
          <w:p w14:paraId="58E418C0"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00" w:type="dxa"/>
            <w:tcBorders>
              <w:top w:val="nil"/>
              <w:left w:val="nil"/>
              <w:bottom w:val="single" w:sz="4" w:space="0" w:color="auto"/>
              <w:right w:val="single" w:sz="4" w:space="0" w:color="auto"/>
            </w:tcBorders>
            <w:noWrap/>
            <w:vAlign w:val="bottom"/>
            <w:hideMark/>
          </w:tcPr>
          <w:p w14:paraId="41965963"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60" w:type="dxa"/>
            <w:tcBorders>
              <w:top w:val="nil"/>
              <w:left w:val="nil"/>
              <w:bottom w:val="single" w:sz="4" w:space="0" w:color="auto"/>
              <w:right w:val="single" w:sz="4" w:space="0" w:color="auto"/>
            </w:tcBorders>
            <w:noWrap/>
            <w:vAlign w:val="bottom"/>
            <w:hideMark/>
          </w:tcPr>
          <w:p w14:paraId="3FF00A6C"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nil"/>
              <w:left w:val="nil"/>
              <w:bottom w:val="single" w:sz="4" w:space="0" w:color="auto"/>
              <w:right w:val="single" w:sz="4" w:space="0" w:color="auto"/>
            </w:tcBorders>
            <w:noWrap/>
            <w:vAlign w:val="bottom"/>
            <w:hideMark/>
          </w:tcPr>
          <w:p w14:paraId="76CCBACE"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27276E6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2EC3C2D5"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4407FABA"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4472C4"/>
            <w:noWrap/>
            <w:vAlign w:val="bottom"/>
            <w:hideMark/>
          </w:tcPr>
          <w:p w14:paraId="1A1149B4"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Total Inflows</w:t>
            </w:r>
          </w:p>
        </w:tc>
        <w:tc>
          <w:tcPr>
            <w:tcW w:w="1120" w:type="dxa"/>
            <w:tcBorders>
              <w:top w:val="nil"/>
              <w:left w:val="nil"/>
              <w:bottom w:val="single" w:sz="4" w:space="0" w:color="auto"/>
              <w:right w:val="single" w:sz="4" w:space="0" w:color="auto"/>
            </w:tcBorders>
            <w:noWrap/>
            <w:vAlign w:val="bottom"/>
            <w:hideMark/>
          </w:tcPr>
          <w:p w14:paraId="24452BF3"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£15,000.00</w:t>
            </w:r>
          </w:p>
        </w:tc>
        <w:tc>
          <w:tcPr>
            <w:tcW w:w="1300" w:type="dxa"/>
            <w:tcBorders>
              <w:top w:val="nil"/>
              <w:left w:val="nil"/>
              <w:bottom w:val="single" w:sz="4" w:space="0" w:color="auto"/>
              <w:right w:val="single" w:sz="4" w:space="0" w:color="auto"/>
            </w:tcBorders>
            <w:noWrap/>
            <w:vAlign w:val="bottom"/>
            <w:hideMark/>
          </w:tcPr>
          <w:p w14:paraId="0CB3CD8A"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£20,000.00</w:t>
            </w:r>
          </w:p>
        </w:tc>
        <w:tc>
          <w:tcPr>
            <w:tcW w:w="1360" w:type="dxa"/>
            <w:tcBorders>
              <w:top w:val="nil"/>
              <w:left w:val="nil"/>
              <w:bottom w:val="single" w:sz="4" w:space="0" w:color="auto"/>
              <w:right w:val="single" w:sz="4" w:space="0" w:color="auto"/>
            </w:tcBorders>
            <w:noWrap/>
            <w:vAlign w:val="bottom"/>
            <w:hideMark/>
          </w:tcPr>
          <w:p w14:paraId="68E0ECD0"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£24,000.00</w:t>
            </w:r>
          </w:p>
        </w:tc>
        <w:tc>
          <w:tcPr>
            <w:tcW w:w="1120" w:type="dxa"/>
            <w:tcBorders>
              <w:top w:val="nil"/>
              <w:left w:val="nil"/>
              <w:bottom w:val="single" w:sz="4" w:space="0" w:color="auto"/>
              <w:right w:val="single" w:sz="4" w:space="0" w:color="auto"/>
            </w:tcBorders>
            <w:noWrap/>
            <w:vAlign w:val="bottom"/>
            <w:hideMark/>
          </w:tcPr>
          <w:p w14:paraId="17E9E4EC"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£26,000.00</w:t>
            </w:r>
          </w:p>
        </w:tc>
        <w:tc>
          <w:tcPr>
            <w:tcW w:w="1240" w:type="dxa"/>
            <w:tcBorders>
              <w:top w:val="nil"/>
              <w:left w:val="nil"/>
              <w:bottom w:val="single" w:sz="4" w:space="0" w:color="auto"/>
              <w:right w:val="single" w:sz="4" w:space="0" w:color="auto"/>
            </w:tcBorders>
            <w:noWrap/>
            <w:vAlign w:val="bottom"/>
            <w:hideMark/>
          </w:tcPr>
          <w:p w14:paraId="02FFE0CB"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£30,000.00</w:t>
            </w:r>
          </w:p>
        </w:tc>
        <w:tc>
          <w:tcPr>
            <w:tcW w:w="1240" w:type="dxa"/>
            <w:tcBorders>
              <w:top w:val="nil"/>
              <w:left w:val="nil"/>
              <w:bottom w:val="single" w:sz="4" w:space="0" w:color="auto"/>
              <w:right w:val="single" w:sz="4" w:space="0" w:color="auto"/>
            </w:tcBorders>
            <w:noWrap/>
            <w:vAlign w:val="bottom"/>
            <w:hideMark/>
          </w:tcPr>
          <w:p w14:paraId="2D5F81EC"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£28,000.00</w:t>
            </w:r>
          </w:p>
        </w:tc>
      </w:tr>
      <w:tr w:rsidR="000F32D6" w:rsidRPr="000F32D6" w14:paraId="21522379" w14:textId="77777777" w:rsidTr="000F32D6">
        <w:trPr>
          <w:trHeight w:val="315"/>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012A80B3"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120" w:type="dxa"/>
            <w:tcBorders>
              <w:top w:val="nil"/>
              <w:left w:val="nil"/>
              <w:bottom w:val="single" w:sz="4" w:space="0" w:color="auto"/>
              <w:right w:val="single" w:sz="4" w:space="0" w:color="auto"/>
            </w:tcBorders>
            <w:noWrap/>
            <w:vAlign w:val="bottom"/>
            <w:hideMark/>
          </w:tcPr>
          <w:p w14:paraId="5697FF4F"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00" w:type="dxa"/>
            <w:tcBorders>
              <w:top w:val="nil"/>
              <w:left w:val="nil"/>
              <w:bottom w:val="single" w:sz="4" w:space="0" w:color="auto"/>
              <w:right w:val="single" w:sz="4" w:space="0" w:color="auto"/>
            </w:tcBorders>
            <w:noWrap/>
            <w:vAlign w:val="bottom"/>
            <w:hideMark/>
          </w:tcPr>
          <w:p w14:paraId="202A60F4"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60" w:type="dxa"/>
            <w:tcBorders>
              <w:top w:val="nil"/>
              <w:left w:val="nil"/>
              <w:bottom w:val="single" w:sz="4" w:space="0" w:color="auto"/>
              <w:right w:val="single" w:sz="4" w:space="0" w:color="auto"/>
            </w:tcBorders>
            <w:noWrap/>
            <w:vAlign w:val="bottom"/>
            <w:hideMark/>
          </w:tcPr>
          <w:p w14:paraId="14D63B1F"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nil"/>
              <w:left w:val="nil"/>
              <w:bottom w:val="single" w:sz="4" w:space="0" w:color="auto"/>
              <w:right w:val="single" w:sz="4" w:space="0" w:color="auto"/>
            </w:tcBorders>
            <w:noWrap/>
            <w:vAlign w:val="bottom"/>
            <w:hideMark/>
          </w:tcPr>
          <w:p w14:paraId="79A6DCDD"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11740ADE"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2BD18E70"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0B09D383" w14:textId="77777777" w:rsidTr="000F32D6">
        <w:trPr>
          <w:trHeight w:val="330"/>
        </w:trPr>
        <w:tc>
          <w:tcPr>
            <w:tcW w:w="2420" w:type="dxa"/>
            <w:tcBorders>
              <w:top w:val="double" w:sz="6" w:space="0" w:color="3F3F3F"/>
              <w:left w:val="double" w:sz="6" w:space="0" w:color="3F3F3F"/>
              <w:bottom w:val="double" w:sz="6" w:space="0" w:color="3F3F3F"/>
              <w:right w:val="double" w:sz="6" w:space="0" w:color="3F3F3F"/>
            </w:tcBorders>
            <w:shd w:val="clear" w:color="000000" w:fill="C6EFCE"/>
            <w:noWrap/>
            <w:vAlign w:val="bottom"/>
            <w:hideMark/>
          </w:tcPr>
          <w:p w14:paraId="6727A90E" w14:textId="77777777" w:rsidR="000F32D6" w:rsidRPr="000F32D6" w:rsidRDefault="000F32D6" w:rsidP="000F32D6">
            <w:pPr>
              <w:spacing w:after="0" w:line="240" w:lineRule="auto"/>
              <w:rPr>
                <w:rFonts w:eastAsia="Times New Roman"/>
                <w:i/>
                <w:iCs/>
                <w:color w:val="006100"/>
                <w:lang w:eastAsia="en-GB"/>
              </w:rPr>
            </w:pPr>
            <w:r w:rsidRPr="000F32D6">
              <w:rPr>
                <w:rFonts w:eastAsia="Times New Roman"/>
                <w:i/>
                <w:iCs/>
                <w:color w:val="006100"/>
                <w:lang w:eastAsia="en-GB"/>
              </w:rPr>
              <w:t>Outflows</w:t>
            </w:r>
          </w:p>
        </w:tc>
        <w:tc>
          <w:tcPr>
            <w:tcW w:w="1120" w:type="dxa"/>
            <w:tcBorders>
              <w:top w:val="nil"/>
              <w:left w:val="single" w:sz="4" w:space="0" w:color="auto"/>
              <w:bottom w:val="single" w:sz="4" w:space="0" w:color="auto"/>
              <w:right w:val="single" w:sz="4" w:space="0" w:color="auto"/>
            </w:tcBorders>
            <w:noWrap/>
            <w:vAlign w:val="bottom"/>
            <w:hideMark/>
          </w:tcPr>
          <w:p w14:paraId="778D5E9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00" w:type="dxa"/>
            <w:tcBorders>
              <w:top w:val="nil"/>
              <w:left w:val="nil"/>
              <w:bottom w:val="single" w:sz="4" w:space="0" w:color="auto"/>
              <w:right w:val="single" w:sz="4" w:space="0" w:color="auto"/>
            </w:tcBorders>
            <w:noWrap/>
            <w:vAlign w:val="bottom"/>
            <w:hideMark/>
          </w:tcPr>
          <w:p w14:paraId="0572C543"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60" w:type="dxa"/>
            <w:tcBorders>
              <w:top w:val="nil"/>
              <w:left w:val="nil"/>
              <w:bottom w:val="single" w:sz="4" w:space="0" w:color="auto"/>
              <w:right w:val="single" w:sz="4" w:space="0" w:color="auto"/>
            </w:tcBorders>
            <w:noWrap/>
            <w:vAlign w:val="bottom"/>
            <w:hideMark/>
          </w:tcPr>
          <w:p w14:paraId="1F065F4D"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nil"/>
              <w:left w:val="nil"/>
              <w:bottom w:val="single" w:sz="4" w:space="0" w:color="auto"/>
              <w:right w:val="single" w:sz="4" w:space="0" w:color="auto"/>
            </w:tcBorders>
            <w:noWrap/>
            <w:vAlign w:val="bottom"/>
            <w:hideMark/>
          </w:tcPr>
          <w:p w14:paraId="5282DD25"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016ABBEC"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6B7FA4A"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7F3078B6" w14:textId="77777777" w:rsidTr="000F32D6">
        <w:trPr>
          <w:trHeight w:val="315"/>
        </w:trPr>
        <w:tc>
          <w:tcPr>
            <w:tcW w:w="2420" w:type="dxa"/>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1303F387"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Labour</w:t>
            </w:r>
          </w:p>
        </w:tc>
        <w:tc>
          <w:tcPr>
            <w:tcW w:w="1120" w:type="dxa"/>
            <w:tcBorders>
              <w:top w:val="nil"/>
              <w:left w:val="nil"/>
              <w:bottom w:val="single" w:sz="4" w:space="0" w:color="auto"/>
              <w:right w:val="single" w:sz="4" w:space="0" w:color="auto"/>
            </w:tcBorders>
            <w:noWrap/>
            <w:vAlign w:val="bottom"/>
            <w:hideMark/>
          </w:tcPr>
          <w:p w14:paraId="19A23898"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c>
          <w:tcPr>
            <w:tcW w:w="1300" w:type="dxa"/>
            <w:tcBorders>
              <w:top w:val="nil"/>
              <w:left w:val="nil"/>
              <w:bottom w:val="single" w:sz="4" w:space="0" w:color="auto"/>
              <w:right w:val="single" w:sz="4" w:space="0" w:color="auto"/>
            </w:tcBorders>
            <w:noWrap/>
            <w:vAlign w:val="bottom"/>
            <w:hideMark/>
          </w:tcPr>
          <w:p w14:paraId="7F61DBAF"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£9,000.00</w:t>
            </w:r>
          </w:p>
        </w:tc>
        <w:tc>
          <w:tcPr>
            <w:tcW w:w="1360" w:type="dxa"/>
            <w:tcBorders>
              <w:top w:val="nil"/>
              <w:left w:val="nil"/>
              <w:bottom w:val="single" w:sz="4" w:space="0" w:color="auto"/>
              <w:right w:val="single" w:sz="4" w:space="0" w:color="auto"/>
            </w:tcBorders>
            <w:noWrap/>
            <w:vAlign w:val="bottom"/>
            <w:hideMark/>
          </w:tcPr>
          <w:p w14:paraId="6835B8D1"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c>
          <w:tcPr>
            <w:tcW w:w="1120" w:type="dxa"/>
            <w:tcBorders>
              <w:top w:val="nil"/>
              <w:left w:val="nil"/>
              <w:bottom w:val="single" w:sz="4" w:space="0" w:color="auto"/>
              <w:right w:val="single" w:sz="4" w:space="0" w:color="auto"/>
            </w:tcBorders>
            <w:noWrap/>
            <w:vAlign w:val="bottom"/>
            <w:hideMark/>
          </w:tcPr>
          <w:p w14:paraId="700007A9"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c>
          <w:tcPr>
            <w:tcW w:w="1240" w:type="dxa"/>
            <w:tcBorders>
              <w:top w:val="nil"/>
              <w:left w:val="nil"/>
              <w:bottom w:val="single" w:sz="4" w:space="0" w:color="auto"/>
              <w:right w:val="single" w:sz="4" w:space="0" w:color="auto"/>
            </w:tcBorders>
            <w:noWrap/>
            <w:vAlign w:val="bottom"/>
            <w:hideMark/>
          </w:tcPr>
          <w:p w14:paraId="4C32C12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£10,000.00</w:t>
            </w:r>
          </w:p>
        </w:tc>
        <w:tc>
          <w:tcPr>
            <w:tcW w:w="1240" w:type="dxa"/>
            <w:tcBorders>
              <w:top w:val="nil"/>
              <w:left w:val="nil"/>
              <w:bottom w:val="single" w:sz="4" w:space="0" w:color="auto"/>
              <w:right w:val="single" w:sz="4" w:space="0" w:color="auto"/>
            </w:tcBorders>
            <w:noWrap/>
            <w:vAlign w:val="bottom"/>
            <w:hideMark/>
          </w:tcPr>
          <w:p w14:paraId="5228B83A"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r>
      <w:tr w:rsidR="000F32D6" w:rsidRPr="000F32D6" w14:paraId="40B3D386"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0193D0B0"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Materials</w:t>
            </w:r>
          </w:p>
        </w:tc>
        <w:tc>
          <w:tcPr>
            <w:tcW w:w="1120" w:type="dxa"/>
            <w:tcBorders>
              <w:top w:val="nil"/>
              <w:left w:val="nil"/>
              <w:bottom w:val="single" w:sz="4" w:space="0" w:color="auto"/>
              <w:right w:val="single" w:sz="4" w:space="0" w:color="auto"/>
            </w:tcBorders>
            <w:noWrap/>
            <w:vAlign w:val="bottom"/>
            <w:hideMark/>
          </w:tcPr>
          <w:p w14:paraId="1EB9991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c>
          <w:tcPr>
            <w:tcW w:w="1300" w:type="dxa"/>
            <w:tcBorders>
              <w:top w:val="nil"/>
              <w:left w:val="nil"/>
              <w:bottom w:val="single" w:sz="4" w:space="0" w:color="auto"/>
              <w:right w:val="single" w:sz="4" w:space="0" w:color="auto"/>
            </w:tcBorders>
            <w:noWrap/>
            <w:vAlign w:val="bottom"/>
            <w:hideMark/>
          </w:tcPr>
          <w:p w14:paraId="51323D07"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c>
          <w:tcPr>
            <w:tcW w:w="1360" w:type="dxa"/>
            <w:tcBorders>
              <w:top w:val="nil"/>
              <w:left w:val="nil"/>
              <w:bottom w:val="single" w:sz="4" w:space="0" w:color="auto"/>
              <w:right w:val="single" w:sz="4" w:space="0" w:color="auto"/>
            </w:tcBorders>
            <w:noWrap/>
            <w:vAlign w:val="bottom"/>
            <w:hideMark/>
          </w:tcPr>
          <w:p w14:paraId="0F5C13B2"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c>
          <w:tcPr>
            <w:tcW w:w="1120" w:type="dxa"/>
            <w:tcBorders>
              <w:top w:val="nil"/>
              <w:left w:val="nil"/>
              <w:bottom w:val="single" w:sz="4" w:space="0" w:color="auto"/>
              <w:right w:val="single" w:sz="4" w:space="0" w:color="auto"/>
            </w:tcBorders>
            <w:noWrap/>
            <w:vAlign w:val="bottom"/>
            <w:hideMark/>
          </w:tcPr>
          <w:p w14:paraId="5A6C3CE0"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c>
          <w:tcPr>
            <w:tcW w:w="1240" w:type="dxa"/>
            <w:tcBorders>
              <w:top w:val="nil"/>
              <w:left w:val="nil"/>
              <w:bottom w:val="single" w:sz="4" w:space="0" w:color="auto"/>
              <w:right w:val="single" w:sz="4" w:space="0" w:color="auto"/>
            </w:tcBorders>
            <w:noWrap/>
            <w:vAlign w:val="bottom"/>
            <w:hideMark/>
          </w:tcPr>
          <w:p w14:paraId="05683379"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c>
          <w:tcPr>
            <w:tcW w:w="1240" w:type="dxa"/>
            <w:tcBorders>
              <w:top w:val="nil"/>
              <w:left w:val="nil"/>
              <w:bottom w:val="single" w:sz="4" w:space="0" w:color="auto"/>
              <w:right w:val="single" w:sz="4" w:space="0" w:color="auto"/>
            </w:tcBorders>
            <w:noWrap/>
            <w:vAlign w:val="bottom"/>
            <w:hideMark/>
          </w:tcPr>
          <w:p w14:paraId="098B511F"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r>
      <w:tr w:rsidR="000F32D6" w:rsidRPr="000F32D6" w14:paraId="726BC316"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4DC69D89"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Tools &amp; Equipment</w:t>
            </w:r>
          </w:p>
        </w:tc>
        <w:tc>
          <w:tcPr>
            <w:tcW w:w="1120" w:type="dxa"/>
            <w:tcBorders>
              <w:top w:val="nil"/>
              <w:left w:val="nil"/>
              <w:bottom w:val="single" w:sz="4" w:space="0" w:color="auto"/>
              <w:right w:val="single" w:sz="4" w:space="0" w:color="auto"/>
            </w:tcBorders>
            <w:noWrap/>
            <w:vAlign w:val="bottom"/>
            <w:hideMark/>
          </w:tcPr>
          <w:p w14:paraId="5796732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300" w:type="dxa"/>
            <w:tcBorders>
              <w:top w:val="nil"/>
              <w:left w:val="nil"/>
              <w:bottom w:val="single" w:sz="4" w:space="0" w:color="auto"/>
              <w:right w:val="single" w:sz="4" w:space="0" w:color="auto"/>
            </w:tcBorders>
            <w:noWrap/>
            <w:vAlign w:val="bottom"/>
            <w:hideMark/>
          </w:tcPr>
          <w:p w14:paraId="41CC659A"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360" w:type="dxa"/>
            <w:tcBorders>
              <w:top w:val="nil"/>
              <w:left w:val="nil"/>
              <w:bottom w:val="single" w:sz="4" w:space="0" w:color="auto"/>
              <w:right w:val="single" w:sz="4" w:space="0" w:color="auto"/>
            </w:tcBorders>
            <w:noWrap/>
            <w:vAlign w:val="bottom"/>
            <w:hideMark/>
          </w:tcPr>
          <w:p w14:paraId="596294E4"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120" w:type="dxa"/>
            <w:tcBorders>
              <w:top w:val="nil"/>
              <w:left w:val="nil"/>
              <w:bottom w:val="single" w:sz="4" w:space="0" w:color="auto"/>
              <w:right w:val="single" w:sz="4" w:space="0" w:color="auto"/>
            </w:tcBorders>
            <w:noWrap/>
            <w:vAlign w:val="bottom"/>
            <w:hideMark/>
          </w:tcPr>
          <w:p w14:paraId="35F6E7C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£3,000.00</w:t>
            </w:r>
          </w:p>
        </w:tc>
        <w:tc>
          <w:tcPr>
            <w:tcW w:w="1240" w:type="dxa"/>
            <w:tcBorders>
              <w:top w:val="nil"/>
              <w:left w:val="nil"/>
              <w:bottom w:val="single" w:sz="4" w:space="0" w:color="auto"/>
              <w:right w:val="single" w:sz="4" w:space="0" w:color="auto"/>
            </w:tcBorders>
            <w:noWrap/>
            <w:vAlign w:val="bottom"/>
            <w:hideMark/>
          </w:tcPr>
          <w:p w14:paraId="5C26041F"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240" w:type="dxa"/>
            <w:tcBorders>
              <w:top w:val="nil"/>
              <w:left w:val="nil"/>
              <w:bottom w:val="single" w:sz="4" w:space="0" w:color="auto"/>
              <w:right w:val="single" w:sz="4" w:space="0" w:color="auto"/>
            </w:tcBorders>
            <w:noWrap/>
            <w:vAlign w:val="bottom"/>
            <w:hideMark/>
          </w:tcPr>
          <w:p w14:paraId="397902C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£1,750.00</w:t>
            </w:r>
          </w:p>
        </w:tc>
      </w:tr>
      <w:tr w:rsidR="000F32D6" w:rsidRPr="000F32D6" w14:paraId="5E0A3851"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2B281170"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Fuel &amp; Transport</w:t>
            </w:r>
          </w:p>
        </w:tc>
        <w:tc>
          <w:tcPr>
            <w:tcW w:w="1120" w:type="dxa"/>
            <w:tcBorders>
              <w:top w:val="nil"/>
              <w:left w:val="nil"/>
              <w:bottom w:val="single" w:sz="4" w:space="0" w:color="auto"/>
              <w:right w:val="single" w:sz="4" w:space="0" w:color="auto"/>
            </w:tcBorders>
            <w:noWrap/>
            <w:vAlign w:val="bottom"/>
            <w:hideMark/>
          </w:tcPr>
          <w:p w14:paraId="3B31C5A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300" w:type="dxa"/>
            <w:tcBorders>
              <w:top w:val="nil"/>
              <w:left w:val="nil"/>
              <w:bottom w:val="single" w:sz="4" w:space="0" w:color="auto"/>
              <w:right w:val="single" w:sz="4" w:space="0" w:color="auto"/>
            </w:tcBorders>
            <w:noWrap/>
            <w:vAlign w:val="bottom"/>
            <w:hideMark/>
          </w:tcPr>
          <w:p w14:paraId="7F77D0C8"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360" w:type="dxa"/>
            <w:tcBorders>
              <w:top w:val="nil"/>
              <w:left w:val="nil"/>
              <w:bottom w:val="single" w:sz="4" w:space="0" w:color="auto"/>
              <w:right w:val="single" w:sz="4" w:space="0" w:color="auto"/>
            </w:tcBorders>
            <w:noWrap/>
            <w:vAlign w:val="bottom"/>
            <w:hideMark/>
          </w:tcPr>
          <w:p w14:paraId="32918F4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120" w:type="dxa"/>
            <w:tcBorders>
              <w:top w:val="nil"/>
              <w:left w:val="nil"/>
              <w:bottom w:val="single" w:sz="4" w:space="0" w:color="auto"/>
              <w:right w:val="single" w:sz="4" w:space="0" w:color="auto"/>
            </w:tcBorders>
            <w:noWrap/>
            <w:vAlign w:val="bottom"/>
            <w:hideMark/>
          </w:tcPr>
          <w:p w14:paraId="1533668D"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240" w:type="dxa"/>
            <w:tcBorders>
              <w:top w:val="nil"/>
              <w:left w:val="nil"/>
              <w:bottom w:val="single" w:sz="4" w:space="0" w:color="auto"/>
              <w:right w:val="single" w:sz="4" w:space="0" w:color="auto"/>
            </w:tcBorders>
            <w:noWrap/>
            <w:vAlign w:val="bottom"/>
            <w:hideMark/>
          </w:tcPr>
          <w:p w14:paraId="6FF1E01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240" w:type="dxa"/>
            <w:tcBorders>
              <w:top w:val="nil"/>
              <w:left w:val="nil"/>
              <w:bottom w:val="single" w:sz="4" w:space="0" w:color="auto"/>
              <w:right w:val="single" w:sz="4" w:space="0" w:color="auto"/>
            </w:tcBorders>
            <w:noWrap/>
            <w:vAlign w:val="bottom"/>
            <w:hideMark/>
          </w:tcPr>
          <w:p w14:paraId="2D2E233A"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r>
      <w:tr w:rsidR="000F32D6" w:rsidRPr="000F32D6" w14:paraId="2CA8E9D7"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491F69DF"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Marketing</w:t>
            </w:r>
          </w:p>
        </w:tc>
        <w:tc>
          <w:tcPr>
            <w:tcW w:w="1120" w:type="dxa"/>
            <w:tcBorders>
              <w:top w:val="nil"/>
              <w:left w:val="nil"/>
              <w:bottom w:val="single" w:sz="4" w:space="0" w:color="auto"/>
              <w:right w:val="single" w:sz="4" w:space="0" w:color="auto"/>
            </w:tcBorders>
            <w:noWrap/>
            <w:vAlign w:val="bottom"/>
            <w:hideMark/>
          </w:tcPr>
          <w:p w14:paraId="552D5FCF"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300" w:type="dxa"/>
            <w:tcBorders>
              <w:top w:val="nil"/>
              <w:left w:val="nil"/>
              <w:bottom w:val="single" w:sz="4" w:space="0" w:color="auto"/>
              <w:right w:val="single" w:sz="4" w:space="0" w:color="auto"/>
            </w:tcBorders>
            <w:noWrap/>
            <w:vAlign w:val="bottom"/>
            <w:hideMark/>
          </w:tcPr>
          <w:p w14:paraId="48C17332"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360" w:type="dxa"/>
            <w:tcBorders>
              <w:top w:val="nil"/>
              <w:left w:val="nil"/>
              <w:bottom w:val="single" w:sz="4" w:space="0" w:color="auto"/>
              <w:right w:val="single" w:sz="4" w:space="0" w:color="auto"/>
            </w:tcBorders>
            <w:noWrap/>
            <w:vAlign w:val="bottom"/>
            <w:hideMark/>
          </w:tcPr>
          <w:p w14:paraId="406D2DB0"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120" w:type="dxa"/>
            <w:tcBorders>
              <w:top w:val="nil"/>
              <w:left w:val="nil"/>
              <w:bottom w:val="single" w:sz="4" w:space="0" w:color="auto"/>
              <w:right w:val="single" w:sz="4" w:space="0" w:color="auto"/>
            </w:tcBorders>
            <w:noWrap/>
            <w:vAlign w:val="bottom"/>
            <w:hideMark/>
          </w:tcPr>
          <w:p w14:paraId="377EA1B0"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240" w:type="dxa"/>
            <w:tcBorders>
              <w:top w:val="nil"/>
              <w:left w:val="nil"/>
              <w:bottom w:val="single" w:sz="4" w:space="0" w:color="auto"/>
              <w:right w:val="single" w:sz="4" w:space="0" w:color="auto"/>
            </w:tcBorders>
            <w:noWrap/>
            <w:vAlign w:val="bottom"/>
            <w:hideMark/>
          </w:tcPr>
          <w:p w14:paraId="100DB43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240" w:type="dxa"/>
            <w:tcBorders>
              <w:top w:val="nil"/>
              <w:left w:val="nil"/>
              <w:bottom w:val="single" w:sz="4" w:space="0" w:color="auto"/>
              <w:right w:val="single" w:sz="4" w:space="0" w:color="auto"/>
            </w:tcBorders>
            <w:noWrap/>
            <w:vAlign w:val="bottom"/>
            <w:hideMark/>
          </w:tcPr>
          <w:p w14:paraId="78C8065C"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r>
      <w:tr w:rsidR="000F32D6" w:rsidRPr="000F32D6" w14:paraId="5428022C"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671F9EAA"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Insurance &amp; Compliance</w:t>
            </w:r>
          </w:p>
        </w:tc>
        <w:tc>
          <w:tcPr>
            <w:tcW w:w="1120" w:type="dxa"/>
            <w:tcBorders>
              <w:top w:val="nil"/>
              <w:left w:val="nil"/>
              <w:bottom w:val="single" w:sz="4" w:space="0" w:color="auto"/>
              <w:right w:val="single" w:sz="4" w:space="0" w:color="auto"/>
            </w:tcBorders>
            <w:noWrap/>
            <w:vAlign w:val="bottom"/>
            <w:hideMark/>
          </w:tcPr>
          <w:p w14:paraId="4316DD7D"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300" w:type="dxa"/>
            <w:tcBorders>
              <w:top w:val="nil"/>
              <w:left w:val="nil"/>
              <w:bottom w:val="single" w:sz="4" w:space="0" w:color="auto"/>
              <w:right w:val="single" w:sz="4" w:space="0" w:color="auto"/>
            </w:tcBorders>
            <w:noWrap/>
            <w:vAlign w:val="bottom"/>
            <w:hideMark/>
          </w:tcPr>
          <w:p w14:paraId="5F3BD64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360" w:type="dxa"/>
            <w:tcBorders>
              <w:top w:val="nil"/>
              <w:left w:val="nil"/>
              <w:bottom w:val="single" w:sz="4" w:space="0" w:color="auto"/>
              <w:right w:val="single" w:sz="4" w:space="0" w:color="auto"/>
            </w:tcBorders>
            <w:noWrap/>
            <w:vAlign w:val="bottom"/>
            <w:hideMark/>
          </w:tcPr>
          <w:p w14:paraId="15995CA2"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120" w:type="dxa"/>
            <w:tcBorders>
              <w:top w:val="nil"/>
              <w:left w:val="nil"/>
              <w:bottom w:val="single" w:sz="4" w:space="0" w:color="auto"/>
              <w:right w:val="single" w:sz="4" w:space="0" w:color="auto"/>
            </w:tcBorders>
            <w:noWrap/>
            <w:vAlign w:val="bottom"/>
            <w:hideMark/>
          </w:tcPr>
          <w:p w14:paraId="378374B7"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240" w:type="dxa"/>
            <w:tcBorders>
              <w:top w:val="nil"/>
              <w:left w:val="nil"/>
              <w:bottom w:val="single" w:sz="4" w:space="0" w:color="auto"/>
              <w:right w:val="single" w:sz="4" w:space="0" w:color="auto"/>
            </w:tcBorders>
            <w:noWrap/>
            <w:vAlign w:val="bottom"/>
            <w:hideMark/>
          </w:tcPr>
          <w:p w14:paraId="49215D5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240" w:type="dxa"/>
            <w:tcBorders>
              <w:top w:val="nil"/>
              <w:left w:val="nil"/>
              <w:bottom w:val="single" w:sz="4" w:space="0" w:color="auto"/>
              <w:right w:val="single" w:sz="4" w:space="0" w:color="auto"/>
            </w:tcBorders>
            <w:noWrap/>
            <w:vAlign w:val="bottom"/>
            <w:hideMark/>
          </w:tcPr>
          <w:p w14:paraId="200753D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r>
      <w:tr w:rsidR="000F32D6" w:rsidRPr="000F32D6" w14:paraId="5AE16DED"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1DE82C20"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lastRenderedPageBreak/>
              <w:t>Admin &amp; Miscellaneous</w:t>
            </w:r>
          </w:p>
        </w:tc>
        <w:tc>
          <w:tcPr>
            <w:tcW w:w="1120" w:type="dxa"/>
            <w:tcBorders>
              <w:top w:val="nil"/>
              <w:left w:val="nil"/>
              <w:bottom w:val="single" w:sz="4" w:space="0" w:color="auto"/>
              <w:right w:val="single" w:sz="4" w:space="0" w:color="auto"/>
            </w:tcBorders>
            <w:noWrap/>
            <w:vAlign w:val="bottom"/>
            <w:hideMark/>
          </w:tcPr>
          <w:p w14:paraId="6EF18EC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£2,500.00</w:t>
            </w:r>
          </w:p>
        </w:tc>
        <w:tc>
          <w:tcPr>
            <w:tcW w:w="1300" w:type="dxa"/>
            <w:tcBorders>
              <w:top w:val="nil"/>
              <w:left w:val="nil"/>
              <w:bottom w:val="single" w:sz="4" w:space="0" w:color="auto"/>
              <w:right w:val="single" w:sz="4" w:space="0" w:color="auto"/>
            </w:tcBorders>
            <w:noWrap/>
            <w:vAlign w:val="bottom"/>
            <w:hideMark/>
          </w:tcPr>
          <w:p w14:paraId="4400641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c>
          <w:tcPr>
            <w:tcW w:w="1360" w:type="dxa"/>
            <w:tcBorders>
              <w:top w:val="nil"/>
              <w:left w:val="nil"/>
              <w:bottom w:val="single" w:sz="4" w:space="0" w:color="auto"/>
              <w:right w:val="single" w:sz="4" w:space="0" w:color="auto"/>
            </w:tcBorders>
            <w:noWrap/>
            <w:vAlign w:val="bottom"/>
            <w:hideMark/>
          </w:tcPr>
          <w:p w14:paraId="5E0D2F9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c>
          <w:tcPr>
            <w:tcW w:w="1120" w:type="dxa"/>
            <w:tcBorders>
              <w:top w:val="nil"/>
              <w:left w:val="nil"/>
              <w:bottom w:val="single" w:sz="4" w:space="0" w:color="auto"/>
              <w:right w:val="single" w:sz="4" w:space="0" w:color="auto"/>
            </w:tcBorders>
            <w:noWrap/>
            <w:vAlign w:val="bottom"/>
            <w:hideMark/>
          </w:tcPr>
          <w:p w14:paraId="3AE8384F"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c>
          <w:tcPr>
            <w:tcW w:w="1240" w:type="dxa"/>
            <w:tcBorders>
              <w:top w:val="nil"/>
              <w:left w:val="nil"/>
              <w:bottom w:val="single" w:sz="4" w:space="0" w:color="auto"/>
              <w:right w:val="single" w:sz="4" w:space="0" w:color="auto"/>
            </w:tcBorders>
            <w:noWrap/>
            <w:vAlign w:val="bottom"/>
            <w:hideMark/>
          </w:tcPr>
          <w:p w14:paraId="79C4F0DC"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c>
          <w:tcPr>
            <w:tcW w:w="1240" w:type="dxa"/>
            <w:tcBorders>
              <w:top w:val="nil"/>
              <w:left w:val="nil"/>
              <w:bottom w:val="single" w:sz="4" w:space="0" w:color="auto"/>
              <w:right w:val="single" w:sz="4" w:space="0" w:color="auto"/>
            </w:tcBorders>
            <w:noWrap/>
            <w:vAlign w:val="bottom"/>
            <w:hideMark/>
          </w:tcPr>
          <w:p w14:paraId="135910AD"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r>
      <w:tr w:rsidR="000F32D6" w:rsidRPr="000F32D6" w14:paraId="5AD996F6"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1542F5F7"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120" w:type="dxa"/>
            <w:tcBorders>
              <w:top w:val="nil"/>
              <w:left w:val="nil"/>
              <w:bottom w:val="single" w:sz="4" w:space="0" w:color="auto"/>
              <w:right w:val="single" w:sz="4" w:space="0" w:color="auto"/>
            </w:tcBorders>
            <w:noWrap/>
            <w:vAlign w:val="bottom"/>
            <w:hideMark/>
          </w:tcPr>
          <w:p w14:paraId="44E2C88A"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00" w:type="dxa"/>
            <w:tcBorders>
              <w:top w:val="nil"/>
              <w:left w:val="nil"/>
              <w:bottom w:val="single" w:sz="4" w:space="0" w:color="auto"/>
              <w:right w:val="single" w:sz="4" w:space="0" w:color="auto"/>
            </w:tcBorders>
            <w:noWrap/>
            <w:vAlign w:val="bottom"/>
            <w:hideMark/>
          </w:tcPr>
          <w:p w14:paraId="4B343EB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60" w:type="dxa"/>
            <w:tcBorders>
              <w:top w:val="nil"/>
              <w:left w:val="nil"/>
              <w:bottom w:val="single" w:sz="4" w:space="0" w:color="auto"/>
              <w:right w:val="single" w:sz="4" w:space="0" w:color="auto"/>
            </w:tcBorders>
            <w:noWrap/>
            <w:vAlign w:val="bottom"/>
            <w:hideMark/>
          </w:tcPr>
          <w:p w14:paraId="2E577BA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nil"/>
              <w:left w:val="nil"/>
              <w:bottom w:val="single" w:sz="4" w:space="0" w:color="auto"/>
              <w:right w:val="single" w:sz="4" w:space="0" w:color="auto"/>
            </w:tcBorders>
            <w:noWrap/>
            <w:vAlign w:val="bottom"/>
            <w:hideMark/>
          </w:tcPr>
          <w:p w14:paraId="6D2F88D6"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53A16B68"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2A263BF"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45415E61"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68814FE1"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120" w:type="dxa"/>
            <w:tcBorders>
              <w:top w:val="nil"/>
              <w:left w:val="nil"/>
              <w:bottom w:val="single" w:sz="4" w:space="0" w:color="auto"/>
              <w:right w:val="single" w:sz="4" w:space="0" w:color="auto"/>
            </w:tcBorders>
            <w:noWrap/>
            <w:vAlign w:val="bottom"/>
            <w:hideMark/>
          </w:tcPr>
          <w:p w14:paraId="43E255E3"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00" w:type="dxa"/>
            <w:tcBorders>
              <w:top w:val="nil"/>
              <w:left w:val="nil"/>
              <w:bottom w:val="single" w:sz="4" w:space="0" w:color="auto"/>
              <w:right w:val="single" w:sz="4" w:space="0" w:color="auto"/>
            </w:tcBorders>
            <w:noWrap/>
            <w:vAlign w:val="bottom"/>
            <w:hideMark/>
          </w:tcPr>
          <w:p w14:paraId="5D05B590"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60" w:type="dxa"/>
            <w:tcBorders>
              <w:top w:val="nil"/>
              <w:left w:val="nil"/>
              <w:bottom w:val="single" w:sz="4" w:space="0" w:color="auto"/>
              <w:right w:val="single" w:sz="4" w:space="0" w:color="auto"/>
            </w:tcBorders>
            <w:noWrap/>
            <w:vAlign w:val="bottom"/>
            <w:hideMark/>
          </w:tcPr>
          <w:p w14:paraId="3F1335D2"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nil"/>
              <w:left w:val="nil"/>
              <w:bottom w:val="single" w:sz="4" w:space="0" w:color="auto"/>
              <w:right w:val="single" w:sz="4" w:space="0" w:color="auto"/>
            </w:tcBorders>
            <w:noWrap/>
            <w:vAlign w:val="bottom"/>
            <w:hideMark/>
          </w:tcPr>
          <w:p w14:paraId="5F049154"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D482DC3"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65108168"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17D66065"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77CE82C8"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120" w:type="dxa"/>
            <w:tcBorders>
              <w:top w:val="nil"/>
              <w:left w:val="nil"/>
              <w:bottom w:val="single" w:sz="4" w:space="0" w:color="auto"/>
              <w:right w:val="single" w:sz="4" w:space="0" w:color="auto"/>
            </w:tcBorders>
            <w:noWrap/>
            <w:vAlign w:val="bottom"/>
            <w:hideMark/>
          </w:tcPr>
          <w:p w14:paraId="487C20CD"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00" w:type="dxa"/>
            <w:tcBorders>
              <w:top w:val="nil"/>
              <w:left w:val="nil"/>
              <w:bottom w:val="single" w:sz="4" w:space="0" w:color="auto"/>
              <w:right w:val="single" w:sz="4" w:space="0" w:color="auto"/>
            </w:tcBorders>
            <w:noWrap/>
            <w:vAlign w:val="bottom"/>
            <w:hideMark/>
          </w:tcPr>
          <w:p w14:paraId="5D0332E9"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60" w:type="dxa"/>
            <w:tcBorders>
              <w:top w:val="nil"/>
              <w:left w:val="nil"/>
              <w:bottom w:val="single" w:sz="4" w:space="0" w:color="auto"/>
              <w:right w:val="single" w:sz="4" w:space="0" w:color="auto"/>
            </w:tcBorders>
            <w:noWrap/>
            <w:vAlign w:val="bottom"/>
            <w:hideMark/>
          </w:tcPr>
          <w:p w14:paraId="5EC4F7B3"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nil"/>
              <w:left w:val="nil"/>
              <w:bottom w:val="single" w:sz="4" w:space="0" w:color="auto"/>
              <w:right w:val="single" w:sz="4" w:space="0" w:color="auto"/>
            </w:tcBorders>
            <w:noWrap/>
            <w:vAlign w:val="bottom"/>
            <w:hideMark/>
          </w:tcPr>
          <w:p w14:paraId="455F6CD0"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8DE38C8"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00354CF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4CCAD081"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4472C4"/>
            <w:noWrap/>
            <w:vAlign w:val="bottom"/>
            <w:hideMark/>
          </w:tcPr>
          <w:p w14:paraId="163CD32B"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Total Outflows</w:t>
            </w:r>
          </w:p>
        </w:tc>
        <w:tc>
          <w:tcPr>
            <w:tcW w:w="1120" w:type="dxa"/>
            <w:tcBorders>
              <w:top w:val="nil"/>
              <w:left w:val="nil"/>
              <w:bottom w:val="single" w:sz="4" w:space="0" w:color="auto"/>
              <w:right w:val="single" w:sz="4" w:space="0" w:color="auto"/>
            </w:tcBorders>
            <w:noWrap/>
            <w:vAlign w:val="bottom"/>
            <w:hideMark/>
          </w:tcPr>
          <w:p w14:paraId="367DDD9D"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£20,250.00</w:t>
            </w:r>
          </w:p>
        </w:tc>
        <w:tc>
          <w:tcPr>
            <w:tcW w:w="1300" w:type="dxa"/>
            <w:tcBorders>
              <w:top w:val="nil"/>
              <w:left w:val="nil"/>
              <w:bottom w:val="single" w:sz="4" w:space="0" w:color="auto"/>
              <w:right w:val="single" w:sz="4" w:space="0" w:color="auto"/>
            </w:tcBorders>
            <w:noWrap/>
            <w:vAlign w:val="bottom"/>
            <w:hideMark/>
          </w:tcPr>
          <w:p w14:paraId="15AB9687"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£20,000.00</w:t>
            </w:r>
          </w:p>
        </w:tc>
        <w:tc>
          <w:tcPr>
            <w:tcW w:w="1360" w:type="dxa"/>
            <w:tcBorders>
              <w:top w:val="nil"/>
              <w:left w:val="nil"/>
              <w:bottom w:val="single" w:sz="4" w:space="0" w:color="auto"/>
              <w:right w:val="single" w:sz="4" w:space="0" w:color="auto"/>
            </w:tcBorders>
            <w:noWrap/>
            <w:vAlign w:val="bottom"/>
            <w:hideMark/>
          </w:tcPr>
          <w:p w14:paraId="72BA717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£19,000.00</w:t>
            </w:r>
          </w:p>
        </w:tc>
        <w:tc>
          <w:tcPr>
            <w:tcW w:w="1120" w:type="dxa"/>
            <w:tcBorders>
              <w:top w:val="nil"/>
              <w:left w:val="nil"/>
              <w:bottom w:val="single" w:sz="4" w:space="0" w:color="auto"/>
              <w:right w:val="single" w:sz="4" w:space="0" w:color="auto"/>
            </w:tcBorders>
            <w:noWrap/>
            <w:vAlign w:val="bottom"/>
            <w:hideMark/>
          </w:tcPr>
          <w:p w14:paraId="759FB37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£21,000.00</w:t>
            </w:r>
          </w:p>
        </w:tc>
        <w:tc>
          <w:tcPr>
            <w:tcW w:w="1240" w:type="dxa"/>
            <w:tcBorders>
              <w:top w:val="nil"/>
              <w:left w:val="nil"/>
              <w:bottom w:val="single" w:sz="4" w:space="0" w:color="auto"/>
              <w:right w:val="single" w:sz="4" w:space="0" w:color="auto"/>
            </w:tcBorders>
            <w:noWrap/>
            <w:vAlign w:val="bottom"/>
            <w:hideMark/>
          </w:tcPr>
          <w:p w14:paraId="0AB43F1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£23,000.00</w:t>
            </w:r>
          </w:p>
        </w:tc>
        <w:tc>
          <w:tcPr>
            <w:tcW w:w="1240" w:type="dxa"/>
            <w:tcBorders>
              <w:top w:val="nil"/>
              <w:left w:val="nil"/>
              <w:bottom w:val="single" w:sz="4" w:space="0" w:color="auto"/>
              <w:right w:val="single" w:sz="4" w:space="0" w:color="auto"/>
            </w:tcBorders>
            <w:noWrap/>
            <w:vAlign w:val="bottom"/>
            <w:hideMark/>
          </w:tcPr>
          <w:p w14:paraId="3FE4EFA8"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£19,750.00</w:t>
            </w:r>
          </w:p>
        </w:tc>
      </w:tr>
      <w:tr w:rsidR="000F32D6" w:rsidRPr="000F32D6" w14:paraId="423D9450"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1BADC1DA"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120" w:type="dxa"/>
            <w:tcBorders>
              <w:top w:val="nil"/>
              <w:left w:val="nil"/>
              <w:bottom w:val="single" w:sz="4" w:space="0" w:color="auto"/>
              <w:right w:val="single" w:sz="4" w:space="0" w:color="auto"/>
            </w:tcBorders>
            <w:noWrap/>
            <w:vAlign w:val="bottom"/>
            <w:hideMark/>
          </w:tcPr>
          <w:p w14:paraId="73F28BA1"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00" w:type="dxa"/>
            <w:tcBorders>
              <w:top w:val="nil"/>
              <w:left w:val="nil"/>
              <w:bottom w:val="single" w:sz="4" w:space="0" w:color="auto"/>
              <w:right w:val="single" w:sz="4" w:space="0" w:color="auto"/>
            </w:tcBorders>
            <w:noWrap/>
            <w:vAlign w:val="bottom"/>
            <w:hideMark/>
          </w:tcPr>
          <w:p w14:paraId="3AE38B9C"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360" w:type="dxa"/>
            <w:tcBorders>
              <w:top w:val="nil"/>
              <w:left w:val="nil"/>
              <w:bottom w:val="single" w:sz="4" w:space="0" w:color="auto"/>
              <w:right w:val="single" w:sz="4" w:space="0" w:color="auto"/>
            </w:tcBorders>
            <w:noWrap/>
            <w:vAlign w:val="bottom"/>
            <w:hideMark/>
          </w:tcPr>
          <w:p w14:paraId="466FBDB5"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120" w:type="dxa"/>
            <w:tcBorders>
              <w:top w:val="nil"/>
              <w:left w:val="nil"/>
              <w:bottom w:val="single" w:sz="4" w:space="0" w:color="auto"/>
              <w:right w:val="single" w:sz="4" w:space="0" w:color="auto"/>
            </w:tcBorders>
            <w:noWrap/>
            <w:vAlign w:val="bottom"/>
            <w:hideMark/>
          </w:tcPr>
          <w:p w14:paraId="47CDA105"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36A7159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2F4BE84"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489E2FA8"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C000"/>
            <w:noWrap/>
            <w:vAlign w:val="bottom"/>
            <w:hideMark/>
          </w:tcPr>
          <w:p w14:paraId="4F6F8A0B"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Opening Balance</w:t>
            </w:r>
          </w:p>
        </w:tc>
        <w:tc>
          <w:tcPr>
            <w:tcW w:w="1120" w:type="dxa"/>
            <w:tcBorders>
              <w:top w:val="nil"/>
              <w:left w:val="nil"/>
              <w:bottom w:val="single" w:sz="4" w:space="0" w:color="auto"/>
              <w:right w:val="single" w:sz="4" w:space="0" w:color="auto"/>
            </w:tcBorders>
            <w:noWrap/>
            <w:vAlign w:val="bottom"/>
            <w:hideMark/>
          </w:tcPr>
          <w:p w14:paraId="050F9EB1"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£0.00</w:t>
            </w:r>
          </w:p>
        </w:tc>
        <w:tc>
          <w:tcPr>
            <w:tcW w:w="1300" w:type="dxa"/>
            <w:tcBorders>
              <w:top w:val="nil"/>
              <w:left w:val="nil"/>
              <w:bottom w:val="single" w:sz="4" w:space="0" w:color="auto"/>
              <w:right w:val="single" w:sz="4" w:space="0" w:color="auto"/>
            </w:tcBorders>
            <w:noWrap/>
            <w:vAlign w:val="bottom"/>
            <w:hideMark/>
          </w:tcPr>
          <w:p w14:paraId="4347A5D9"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-£5,250.00</w:t>
            </w:r>
          </w:p>
        </w:tc>
        <w:tc>
          <w:tcPr>
            <w:tcW w:w="1360" w:type="dxa"/>
            <w:tcBorders>
              <w:top w:val="nil"/>
              <w:left w:val="nil"/>
              <w:bottom w:val="single" w:sz="4" w:space="0" w:color="auto"/>
              <w:right w:val="single" w:sz="4" w:space="0" w:color="auto"/>
            </w:tcBorders>
            <w:noWrap/>
            <w:vAlign w:val="bottom"/>
            <w:hideMark/>
          </w:tcPr>
          <w:p w14:paraId="2EB23C7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-£5,250.00</w:t>
            </w:r>
          </w:p>
        </w:tc>
        <w:tc>
          <w:tcPr>
            <w:tcW w:w="1120" w:type="dxa"/>
            <w:tcBorders>
              <w:top w:val="nil"/>
              <w:left w:val="nil"/>
              <w:bottom w:val="single" w:sz="4" w:space="0" w:color="auto"/>
              <w:right w:val="single" w:sz="4" w:space="0" w:color="auto"/>
            </w:tcBorders>
            <w:noWrap/>
            <w:vAlign w:val="bottom"/>
            <w:hideMark/>
          </w:tcPr>
          <w:p w14:paraId="06C76C44"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-£250.00</w:t>
            </w:r>
          </w:p>
        </w:tc>
        <w:tc>
          <w:tcPr>
            <w:tcW w:w="1240" w:type="dxa"/>
            <w:tcBorders>
              <w:top w:val="nil"/>
              <w:left w:val="nil"/>
              <w:bottom w:val="single" w:sz="4" w:space="0" w:color="auto"/>
              <w:right w:val="single" w:sz="4" w:space="0" w:color="auto"/>
            </w:tcBorders>
            <w:noWrap/>
            <w:vAlign w:val="bottom"/>
            <w:hideMark/>
          </w:tcPr>
          <w:p w14:paraId="2B9132EA"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£4,750.00</w:t>
            </w:r>
          </w:p>
        </w:tc>
        <w:tc>
          <w:tcPr>
            <w:tcW w:w="1240" w:type="dxa"/>
            <w:tcBorders>
              <w:top w:val="nil"/>
              <w:left w:val="nil"/>
              <w:bottom w:val="single" w:sz="4" w:space="0" w:color="auto"/>
              <w:right w:val="single" w:sz="4" w:space="0" w:color="auto"/>
            </w:tcBorders>
            <w:noWrap/>
            <w:vAlign w:val="bottom"/>
            <w:hideMark/>
          </w:tcPr>
          <w:p w14:paraId="7C5AF60C"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£11,750.00</w:t>
            </w:r>
          </w:p>
        </w:tc>
      </w:tr>
      <w:tr w:rsidR="000F32D6" w:rsidRPr="000F32D6" w14:paraId="1639D771"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C000"/>
            <w:noWrap/>
            <w:vAlign w:val="bottom"/>
            <w:hideMark/>
          </w:tcPr>
          <w:p w14:paraId="77971F43"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net cash flow</w:t>
            </w:r>
          </w:p>
        </w:tc>
        <w:tc>
          <w:tcPr>
            <w:tcW w:w="1120" w:type="dxa"/>
            <w:tcBorders>
              <w:top w:val="nil"/>
              <w:left w:val="nil"/>
              <w:bottom w:val="single" w:sz="4" w:space="0" w:color="auto"/>
              <w:right w:val="single" w:sz="4" w:space="0" w:color="auto"/>
            </w:tcBorders>
            <w:noWrap/>
            <w:vAlign w:val="bottom"/>
            <w:hideMark/>
          </w:tcPr>
          <w:p w14:paraId="7B97485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-£5,250.00</w:t>
            </w:r>
          </w:p>
        </w:tc>
        <w:tc>
          <w:tcPr>
            <w:tcW w:w="1300" w:type="dxa"/>
            <w:tcBorders>
              <w:top w:val="nil"/>
              <w:left w:val="nil"/>
              <w:bottom w:val="single" w:sz="4" w:space="0" w:color="auto"/>
              <w:right w:val="single" w:sz="4" w:space="0" w:color="auto"/>
            </w:tcBorders>
            <w:noWrap/>
            <w:vAlign w:val="bottom"/>
            <w:hideMark/>
          </w:tcPr>
          <w:p w14:paraId="75C0483D"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£0.00</w:t>
            </w:r>
          </w:p>
        </w:tc>
        <w:tc>
          <w:tcPr>
            <w:tcW w:w="1360" w:type="dxa"/>
            <w:tcBorders>
              <w:top w:val="nil"/>
              <w:left w:val="nil"/>
              <w:bottom w:val="single" w:sz="4" w:space="0" w:color="auto"/>
              <w:right w:val="single" w:sz="4" w:space="0" w:color="auto"/>
            </w:tcBorders>
            <w:noWrap/>
            <w:vAlign w:val="bottom"/>
            <w:hideMark/>
          </w:tcPr>
          <w:p w14:paraId="6CA0435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£5,000.00</w:t>
            </w:r>
          </w:p>
        </w:tc>
        <w:tc>
          <w:tcPr>
            <w:tcW w:w="1120" w:type="dxa"/>
            <w:tcBorders>
              <w:top w:val="nil"/>
              <w:left w:val="nil"/>
              <w:bottom w:val="single" w:sz="4" w:space="0" w:color="auto"/>
              <w:right w:val="single" w:sz="4" w:space="0" w:color="auto"/>
            </w:tcBorders>
            <w:noWrap/>
            <w:vAlign w:val="bottom"/>
            <w:hideMark/>
          </w:tcPr>
          <w:p w14:paraId="5B456D0D"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£5,000.00</w:t>
            </w:r>
          </w:p>
        </w:tc>
        <w:tc>
          <w:tcPr>
            <w:tcW w:w="1240" w:type="dxa"/>
            <w:tcBorders>
              <w:top w:val="nil"/>
              <w:left w:val="nil"/>
              <w:bottom w:val="single" w:sz="4" w:space="0" w:color="auto"/>
              <w:right w:val="single" w:sz="4" w:space="0" w:color="auto"/>
            </w:tcBorders>
            <w:noWrap/>
            <w:vAlign w:val="bottom"/>
            <w:hideMark/>
          </w:tcPr>
          <w:p w14:paraId="117567F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£7,000.00</w:t>
            </w:r>
          </w:p>
        </w:tc>
        <w:tc>
          <w:tcPr>
            <w:tcW w:w="1240" w:type="dxa"/>
            <w:tcBorders>
              <w:top w:val="nil"/>
              <w:left w:val="nil"/>
              <w:bottom w:val="single" w:sz="4" w:space="0" w:color="auto"/>
              <w:right w:val="single" w:sz="4" w:space="0" w:color="auto"/>
            </w:tcBorders>
            <w:noWrap/>
            <w:vAlign w:val="bottom"/>
            <w:hideMark/>
          </w:tcPr>
          <w:p w14:paraId="602212D8"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£8,250.00</w:t>
            </w:r>
          </w:p>
        </w:tc>
      </w:tr>
      <w:tr w:rsidR="000F32D6" w:rsidRPr="000F32D6" w14:paraId="265E71D6" w14:textId="77777777" w:rsidTr="000F32D6">
        <w:trPr>
          <w:trHeight w:val="315"/>
        </w:trPr>
        <w:tc>
          <w:tcPr>
            <w:tcW w:w="2420" w:type="dxa"/>
            <w:tcBorders>
              <w:top w:val="nil"/>
              <w:left w:val="single" w:sz="4" w:space="0" w:color="auto"/>
              <w:bottom w:val="single" w:sz="4" w:space="0" w:color="auto"/>
              <w:right w:val="single" w:sz="4" w:space="0" w:color="auto"/>
            </w:tcBorders>
            <w:shd w:val="clear" w:color="000000" w:fill="FFC000"/>
            <w:noWrap/>
            <w:vAlign w:val="bottom"/>
            <w:hideMark/>
          </w:tcPr>
          <w:p w14:paraId="440ABDE7"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 xml:space="preserve">Closing Balance </w:t>
            </w:r>
          </w:p>
        </w:tc>
        <w:tc>
          <w:tcPr>
            <w:tcW w:w="1120" w:type="dxa"/>
            <w:tcBorders>
              <w:top w:val="nil"/>
              <w:left w:val="nil"/>
              <w:bottom w:val="single" w:sz="4" w:space="0" w:color="auto"/>
              <w:right w:val="single" w:sz="4" w:space="0" w:color="auto"/>
            </w:tcBorders>
            <w:noWrap/>
            <w:vAlign w:val="bottom"/>
            <w:hideMark/>
          </w:tcPr>
          <w:p w14:paraId="6B241511"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-£5,250.00</w:t>
            </w:r>
          </w:p>
        </w:tc>
        <w:tc>
          <w:tcPr>
            <w:tcW w:w="1300" w:type="dxa"/>
            <w:tcBorders>
              <w:top w:val="nil"/>
              <w:left w:val="nil"/>
              <w:bottom w:val="single" w:sz="4" w:space="0" w:color="auto"/>
              <w:right w:val="single" w:sz="4" w:space="0" w:color="auto"/>
            </w:tcBorders>
            <w:noWrap/>
            <w:vAlign w:val="bottom"/>
            <w:hideMark/>
          </w:tcPr>
          <w:p w14:paraId="62491852"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-£5,250.00</w:t>
            </w:r>
          </w:p>
        </w:tc>
        <w:tc>
          <w:tcPr>
            <w:tcW w:w="1360" w:type="dxa"/>
            <w:tcBorders>
              <w:top w:val="nil"/>
              <w:left w:val="nil"/>
              <w:bottom w:val="single" w:sz="4" w:space="0" w:color="auto"/>
              <w:right w:val="single" w:sz="4" w:space="0" w:color="auto"/>
            </w:tcBorders>
            <w:noWrap/>
            <w:vAlign w:val="bottom"/>
            <w:hideMark/>
          </w:tcPr>
          <w:p w14:paraId="2936F867"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-£250.00</w:t>
            </w:r>
          </w:p>
        </w:tc>
        <w:tc>
          <w:tcPr>
            <w:tcW w:w="1120" w:type="dxa"/>
            <w:tcBorders>
              <w:top w:val="nil"/>
              <w:left w:val="nil"/>
              <w:bottom w:val="single" w:sz="4" w:space="0" w:color="auto"/>
              <w:right w:val="single" w:sz="4" w:space="0" w:color="auto"/>
            </w:tcBorders>
            <w:noWrap/>
            <w:vAlign w:val="bottom"/>
            <w:hideMark/>
          </w:tcPr>
          <w:p w14:paraId="3CE44F80"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£4,750.00</w:t>
            </w:r>
          </w:p>
        </w:tc>
        <w:tc>
          <w:tcPr>
            <w:tcW w:w="1240" w:type="dxa"/>
            <w:tcBorders>
              <w:top w:val="nil"/>
              <w:left w:val="nil"/>
              <w:bottom w:val="single" w:sz="4" w:space="0" w:color="auto"/>
              <w:right w:val="single" w:sz="4" w:space="0" w:color="auto"/>
            </w:tcBorders>
            <w:noWrap/>
            <w:vAlign w:val="bottom"/>
            <w:hideMark/>
          </w:tcPr>
          <w:p w14:paraId="1DCAB14D"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£11,750.00</w:t>
            </w:r>
          </w:p>
        </w:tc>
        <w:tc>
          <w:tcPr>
            <w:tcW w:w="1240" w:type="dxa"/>
            <w:tcBorders>
              <w:top w:val="nil"/>
              <w:left w:val="nil"/>
              <w:bottom w:val="single" w:sz="4" w:space="0" w:color="auto"/>
              <w:right w:val="single" w:sz="4" w:space="0" w:color="auto"/>
            </w:tcBorders>
            <w:noWrap/>
            <w:vAlign w:val="bottom"/>
            <w:hideMark/>
          </w:tcPr>
          <w:p w14:paraId="04009B9C"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£20,000.00</w:t>
            </w:r>
          </w:p>
        </w:tc>
      </w:tr>
    </w:tbl>
    <w:p w14:paraId="22C7058A" w14:textId="77777777" w:rsidR="008D66B5" w:rsidRDefault="008D66B5" w:rsidP="004B2BF5">
      <w:pPr>
        <w:spacing w:after="0" w:line="240" w:lineRule="auto"/>
        <w:rPr>
          <w:rFonts w:asciiTheme="majorHAnsi" w:hAnsiTheme="majorHAnsi" w:cstheme="majorHAnsi"/>
          <w:bCs/>
        </w:rPr>
      </w:pPr>
    </w:p>
    <w:p w14:paraId="1CB351F0" w14:textId="77777777" w:rsidR="000F32D6" w:rsidRDefault="000F32D6" w:rsidP="004B2BF5">
      <w:pPr>
        <w:spacing w:after="0" w:line="240" w:lineRule="auto"/>
        <w:rPr>
          <w:rFonts w:asciiTheme="majorHAnsi" w:hAnsiTheme="majorHAnsi" w:cstheme="majorHAnsi"/>
          <w:bCs/>
        </w:rPr>
      </w:pPr>
    </w:p>
    <w:tbl>
      <w:tblPr>
        <w:tblW w:w="9860" w:type="dxa"/>
        <w:tblLook w:val="04A0" w:firstRow="1" w:lastRow="0" w:firstColumn="1" w:lastColumn="0" w:noHBand="0" w:noVBand="1"/>
      </w:tblPr>
      <w:tblGrid>
        <w:gridCol w:w="2420"/>
        <w:gridCol w:w="1240"/>
        <w:gridCol w:w="1240"/>
        <w:gridCol w:w="1240"/>
        <w:gridCol w:w="1240"/>
        <w:gridCol w:w="1240"/>
        <w:gridCol w:w="1240"/>
      </w:tblGrid>
      <w:tr w:rsidR="000F32D6" w:rsidRPr="000F32D6" w14:paraId="13C232F8" w14:textId="77777777" w:rsidTr="000F32D6">
        <w:trPr>
          <w:trHeight w:val="315"/>
        </w:trPr>
        <w:tc>
          <w:tcPr>
            <w:tcW w:w="2420" w:type="dxa"/>
            <w:tcBorders>
              <w:top w:val="single" w:sz="4" w:space="0" w:color="auto"/>
              <w:left w:val="single" w:sz="4" w:space="0" w:color="auto"/>
              <w:bottom w:val="single" w:sz="4" w:space="0" w:color="auto"/>
              <w:right w:val="single" w:sz="4" w:space="0" w:color="auto"/>
            </w:tcBorders>
            <w:noWrap/>
            <w:vAlign w:val="bottom"/>
            <w:hideMark/>
          </w:tcPr>
          <w:p w14:paraId="369E8392"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single" w:sz="4" w:space="0" w:color="auto"/>
              <w:left w:val="nil"/>
              <w:bottom w:val="single" w:sz="4" w:space="0" w:color="auto"/>
              <w:right w:val="single" w:sz="4" w:space="0" w:color="auto"/>
            </w:tcBorders>
            <w:shd w:val="clear" w:color="000000" w:fill="FFEB9C"/>
            <w:noWrap/>
            <w:vAlign w:val="bottom"/>
            <w:hideMark/>
          </w:tcPr>
          <w:p w14:paraId="7A2A3EFE"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July</w:t>
            </w:r>
          </w:p>
        </w:tc>
        <w:tc>
          <w:tcPr>
            <w:tcW w:w="1240" w:type="dxa"/>
            <w:tcBorders>
              <w:top w:val="single" w:sz="4" w:space="0" w:color="auto"/>
              <w:left w:val="nil"/>
              <w:bottom w:val="single" w:sz="4" w:space="0" w:color="auto"/>
              <w:right w:val="single" w:sz="4" w:space="0" w:color="auto"/>
            </w:tcBorders>
            <w:shd w:val="clear" w:color="000000" w:fill="FFEB9C"/>
            <w:noWrap/>
            <w:vAlign w:val="bottom"/>
            <w:hideMark/>
          </w:tcPr>
          <w:p w14:paraId="41BF9700"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August</w:t>
            </w:r>
          </w:p>
        </w:tc>
        <w:tc>
          <w:tcPr>
            <w:tcW w:w="1240" w:type="dxa"/>
            <w:tcBorders>
              <w:top w:val="single" w:sz="4" w:space="0" w:color="auto"/>
              <w:left w:val="nil"/>
              <w:bottom w:val="single" w:sz="4" w:space="0" w:color="auto"/>
              <w:right w:val="single" w:sz="4" w:space="0" w:color="auto"/>
            </w:tcBorders>
            <w:shd w:val="clear" w:color="000000" w:fill="FFEB9C"/>
            <w:noWrap/>
            <w:vAlign w:val="bottom"/>
            <w:hideMark/>
          </w:tcPr>
          <w:p w14:paraId="6E10B73C"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September</w:t>
            </w:r>
          </w:p>
        </w:tc>
        <w:tc>
          <w:tcPr>
            <w:tcW w:w="1240" w:type="dxa"/>
            <w:tcBorders>
              <w:top w:val="single" w:sz="4" w:space="0" w:color="auto"/>
              <w:left w:val="nil"/>
              <w:bottom w:val="single" w:sz="4" w:space="0" w:color="auto"/>
              <w:right w:val="single" w:sz="4" w:space="0" w:color="auto"/>
            </w:tcBorders>
            <w:shd w:val="clear" w:color="000000" w:fill="FFEB9C"/>
            <w:noWrap/>
            <w:vAlign w:val="bottom"/>
            <w:hideMark/>
          </w:tcPr>
          <w:p w14:paraId="125269A4"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October</w:t>
            </w:r>
          </w:p>
        </w:tc>
        <w:tc>
          <w:tcPr>
            <w:tcW w:w="1240" w:type="dxa"/>
            <w:tcBorders>
              <w:top w:val="single" w:sz="4" w:space="0" w:color="auto"/>
              <w:left w:val="nil"/>
              <w:bottom w:val="single" w:sz="4" w:space="0" w:color="auto"/>
              <w:right w:val="single" w:sz="4" w:space="0" w:color="auto"/>
            </w:tcBorders>
            <w:shd w:val="clear" w:color="000000" w:fill="FFEB9C"/>
            <w:noWrap/>
            <w:vAlign w:val="bottom"/>
            <w:hideMark/>
          </w:tcPr>
          <w:p w14:paraId="7EAB8154"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November</w:t>
            </w:r>
          </w:p>
        </w:tc>
        <w:tc>
          <w:tcPr>
            <w:tcW w:w="1240" w:type="dxa"/>
            <w:tcBorders>
              <w:top w:val="single" w:sz="4" w:space="0" w:color="auto"/>
              <w:left w:val="nil"/>
              <w:bottom w:val="single" w:sz="4" w:space="0" w:color="auto"/>
              <w:right w:val="single" w:sz="4" w:space="0" w:color="auto"/>
            </w:tcBorders>
            <w:shd w:val="clear" w:color="000000" w:fill="FFEB9C"/>
            <w:noWrap/>
            <w:vAlign w:val="bottom"/>
            <w:hideMark/>
          </w:tcPr>
          <w:p w14:paraId="148D8208"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December</w:t>
            </w:r>
          </w:p>
        </w:tc>
      </w:tr>
      <w:tr w:rsidR="000F32D6" w:rsidRPr="000F32D6" w14:paraId="60846FEB" w14:textId="77777777" w:rsidTr="000F32D6">
        <w:trPr>
          <w:trHeight w:val="330"/>
        </w:trPr>
        <w:tc>
          <w:tcPr>
            <w:tcW w:w="2420" w:type="dxa"/>
            <w:tcBorders>
              <w:top w:val="double" w:sz="6" w:space="0" w:color="3F3F3F"/>
              <w:left w:val="double" w:sz="6" w:space="0" w:color="3F3F3F"/>
              <w:bottom w:val="double" w:sz="6" w:space="0" w:color="3F3F3F"/>
              <w:right w:val="double" w:sz="6" w:space="0" w:color="3F3F3F"/>
            </w:tcBorders>
            <w:shd w:val="clear" w:color="000000" w:fill="C6EFCE"/>
            <w:noWrap/>
            <w:vAlign w:val="bottom"/>
            <w:hideMark/>
          </w:tcPr>
          <w:p w14:paraId="1C2A0134" w14:textId="77777777" w:rsidR="000F32D6" w:rsidRPr="000F32D6" w:rsidRDefault="000F32D6" w:rsidP="000F32D6">
            <w:pPr>
              <w:spacing w:after="0" w:line="240" w:lineRule="auto"/>
              <w:rPr>
                <w:rFonts w:eastAsia="Times New Roman"/>
                <w:i/>
                <w:iCs/>
                <w:color w:val="006100"/>
                <w:lang w:eastAsia="en-GB"/>
              </w:rPr>
            </w:pPr>
            <w:r w:rsidRPr="000F32D6">
              <w:rPr>
                <w:rFonts w:eastAsia="Times New Roman"/>
                <w:i/>
                <w:iCs/>
                <w:color w:val="006100"/>
                <w:lang w:eastAsia="en-GB"/>
              </w:rPr>
              <w:t>Income</w:t>
            </w:r>
          </w:p>
        </w:tc>
        <w:tc>
          <w:tcPr>
            <w:tcW w:w="1240" w:type="dxa"/>
            <w:tcBorders>
              <w:top w:val="nil"/>
              <w:left w:val="nil"/>
              <w:bottom w:val="single" w:sz="4" w:space="0" w:color="auto"/>
              <w:right w:val="single" w:sz="4" w:space="0" w:color="auto"/>
            </w:tcBorders>
            <w:noWrap/>
            <w:vAlign w:val="bottom"/>
            <w:hideMark/>
          </w:tcPr>
          <w:p w14:paraId="127CE8B5"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5CF81FCD"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35E8D038"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3F88B88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B1BF81E"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B0A985F"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5AE8A4BE" w14:textId="77777777" w:rsidTr="000F32D6">
        <w:trPr>
          <w:trHeight w:val="315"/>
        </w:trPr>
        <w:tc>
          <w:tcPr>
            <w:tcW w:w="2420" w:type="dxa"/>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53C66A81"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240" w:type="dxa"/>
            <w:tcBorders>
              <w:top w:val="nil"/>
              <w:left w:val="nil"/>
              <w:bottom w:val="single" w:sz="4" w:space="0" w:color="auto"/>
              <w:right w:val="single" w:sz="4" w:space="0" w:color="auto"/>
            </w:tcBorders>
            <w:noWrap/>
            <w:vAlign w:val="bottom"/>
            <w:hideMark/>
          </w:tcPr>
          <w:p w14:paraId="7DF0B26C"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15F9D81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2CE3B1C3"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362763A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2026C108"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09C80EB3"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5E25C750"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2A050450"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Sales Revenue</w:t>
            </w:r>
          </w:p>
        </w:tc>
        <w:tc>
          <w:tcPr>
            <w:tcW w:w="1240" w:type="dxa"/>
            <w:tcBorders>
              <w:top w:val="nil"/>
              <w:left w:val="nil"/>
              <w:bottom w:val="single" w:sz="4" w:space="0" w:color="auto"/>
              <w:right w:val="single" w:sz="4" w:space="0" w:color="auto"/>
            </w:tcBorders>
            <w:noWrap/>
            <w:vAlign w:val="bottom"/>
            <w:hideMark/>
          </w:tcPr>
          <w:p w14:paraId="1D832B22"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£27,000.00</w:t>
            </w:r>
          </w:p>
        </w:tc>
        <w:tc>
          <w:tcPr>
            <w:tcW w:w="1240" w:type="dxa"/>
            <w:tcBorders>
              <w:top w:val="nil"/>
              <w:left w:val="nil"/>
              <w:bottom w:val="single" w:sz="4" w:space="0" w:color="auto"/>
              <w:right w:val="single" w:sz="4" w:space="0" w:color="auto"/>
            </w:tcBorders>
            <w:noWrap/>
            <w:vAlign w:val="bottom"/>
            <w:hideMark/>
          </w:tcPr>
          <w:p w14:paraId="4C1A886C"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£20,000.00</w:t>
            </w:r>
          </w:p>
        </w:tc>
        <w:tc>
          <w:tcPr>
            <w:tcW w:w="1240" w:type="dxa"/>
            <w:tcBorders>
              <w:top w:val="nil"/>
              <w:left w:val="nil"/>
              <w:bottom w:val="single" w:sz="4" w:space="0" w:color="auto"/>
              <w:right w:val="single" w:sz="4" w:space="0" w:color="auto"/>
            </w:tcBorders>
            <w:noWrap/>
            <w:vAlign w:val="bottom"/>
            <w:hideMark/>
          </w:tcPr>
          <w:p w14:paraId="30F0859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£25,000.00</w:t>
            </w:r>
          </w:p>
        </w:tc>
        <w:tc>
          <w:tcPr>
            <w:tcW w:w="1240" w:type="dxa"/>
            <w:tcBorders>
              <w:top w:val="nil"/>
              <w:left w:val="nil"/>
              <w:bottom w:val="single" w:sz="4" w:space="0" w:color="auto"/>
              <w:right w:val="single" w:sz="4" w:space="0" w:color="auto"/>
            </w:tcBorders>
            <w:noWrap/>
            <w:vAlign w:val="bottom"/>
            <w:hideMark/>
          </w:tcPr>
          <w:p w14:paraId="16425424"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£22,000.00</w:t>
            </w:r>
          </w:p>
        </w:tc>
        <w:tc>
          <w:tcPr>
            <w:tcW w:w="1240" w:type="dxa"/>
            <w:tcBorders>
              <w:top w:val="nil"/>
              <w:left w:val="nil"/>
              <w:bottom w:val="single" w:sz="4" w:space="0" w:color="auto"/>
              <w:right w:val="single" w:sz="4" w:space="0" w:color="auto"/>
            </w:tcBorders>
            <w:noWrap/>
            <w:vAlign w:val="bottom"/>
            <w:hideMark/>
          </w:tcPr>
          <w:p w14:paraId="09A2B1D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£21,000.00</w:t>
            </w:r>
          </w:p>
        </w:tc>
        <w:tc>
          <w:tcPr>
            <w:tcW w:w="1240" w:type="dxa"/>
            <w:tcBorders>
              <w:top w:val="nil"/>
              <w:left w:val="nil"/>
              <w:bottom w:val="single" w:sz="4" w:space="0" w:color="auto"/>
              <w:right w:val="single" w:sz="4" w:space="0" w:color="auto"/>
            </w:tcBorders>
            <w:noWrap/>
            <w:vAlign w:val="bottom"/>
            <w:hideMark/>
          </w:tcPr>
          <w:p w14:paraId="418D2088"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£22,000.00</w:t>
            </w:r>
          </w:p>
        </w:tc>
      </w:tr>
      <w:tr w:rsidR="000F32D6" w:rsidRPr="000F32D6" w14:paraId="2EC507C4"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6A5C33F5"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240" w:type="dxa"/>
            <w:tcBorders>
              <w:top w:val="nil"/>
              <w:left w:val="nil"/>
              <w:bottom w:val="single" w:sz="4" w:space="0" w:color="auto"/>
              <w:right w:val="single" w:sz="4" w:space="0" w:color="auto"/>
            </w:tcBorders>
            <w:noWrap/>
            <w:vAlign w:val="bottom"/>
            <w:hideMark/>
          </w:tcPr>
          <w:p w14:paraId="6E422D6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BD565E4"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4B2DE21"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1D006D09"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3463ABF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6EC8F752"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062AD895"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4472C4"/>
            <w:noWrap/>
            <w:vAlign w:val="bottom"/>
            <w:hideMark/>
          </w:tcPr>
          <w:p w14:paraId="57C7B129"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Total Inflows</w:t>
            </w:r>
          </w:p>
        </w:tc>
        <w:tc>
          <w:tcPr>
            <w:tcW w:w="1240" w:type="dxa"/>
            <w:tcBorders>
              <w:top w:val="nil"/>
              <w:left w:val="nil"/>
              <w:bottom w:val="single" w:sz="4" w:space="0" w:color="auto"/>
              <w:right w:val="single" w:sz="4" w:space="0" w:color="auto"/>
            </w:tcBorders>
            <w:noWrap/>
            <w:vAlign w:val="bottom"/>
            <w:hideMark/>
          </w:tcPr>
          <w:p w14:paraId="22E44C43"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£27,000.00</w:t>
            </w:r>
          </w:p>
        </w:tc>
        <w:tc>
          <w:tcPr>
            <w:tcW w:w="1240" w:type="dxa"/>
            <w:tcBorders>
              <w:top w:val="nil"/>
              <w:left w:val="nil"/>
              <w:bottom w:val="single" w:sz="4" w:space="0" w:color="auto"/>
              <w:right w:val="single" w:sz="4" w:space="0" w:color="auto"/>
            </w:tcBorders>
            <w:noWrap/>
            <w:vAlign w:val="bottom"/>
            <w:hideMark/>
          </w:tcPr>
          <w:p w14:paraId="2B4E5C11"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£20,000.00</w:t>
            </w:r>
          </w:p>
        </w:tc>
        <w:tc>
          <w:tcPr>
            <w:tcW w:w="1240" w:type="dxa"/>
            <w:tcBorders>
              <w:top w:val="nil"/>
              <w:left w:val="nil"/>
              <w:bottom w:val="single" w:sz="4" w:space="0" w:color="auto"/>
              <w:right w:val="single" w:sz="4" w:space="0" w:color="auto"/>
            </w:tcBorders>
            <w:noWrap/>
            <w:vAlign w:val="bottom"/>
            <w:hideMark/>
          </w:tcPr>
          <w:p w14:paraId="782EB4B7"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£25,000.00</w:t>
            </w:r>
          </w:p>
        </w:tc>
        <w:tc>
          <w:tcPr>
            <w:tcW w:w="1240" w:type="dxa"/>
            <w:tcBorders>
              <w:top w:val="nil"/>
              <w:left w:val="nil"/>
              <w:bottom w:val="single" w:sz="4" w:space="0" w:color="auto"/>
              <w:right w:val="single" w:sz="4" w:space="0" w:color="auto"/>
            </w:tcBorders>
            <w:noWrap/>
            <w:vAlign w:val="bottom"/>
            <w:hideMark/>
          </w:tcPr>
          <w:p w14:paraId="32D7C7B1"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£22,000.00</w:t>
            </w:r>
          </w:p>
        </w:tc>
        <w:tc>
          <w:tcPr>
            <w:tcW w:w="1240" w:type="dxa"/>
            <w:tcBorders>
              <w:top w:val="nil"/>
              <w:left w:val="nil"/>
              <w:bottom w:val="single" w:sz="4" w:space="0" w:color="auto"/>
              <w:right w:val="single" w:sz="4" w:space="0" w:color="auto"/>
            </w:tcBorders>
            <w:noWrap/>
            <w:vAlign w:val="bottom"/>
            <w:hideMark/>
          </w:tcPr>
          <w:p w14:paraId="1B14AAD8"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£21,000.00</w:t>
            </w:r>
          </w:p>
        </w:tc>
        <w:tc>
          <w:tcPr>
            <w:tcW w:w="1240" w:type="dxa"/>
            <w:tcBorders>
              <w:top w:val="nil"/>
              <w:left w:val="nil"/>
              <w:bottom w:val="single" w:sz="4" w:space="0" w:color="auto"/>
              <w:right w:val="single" w:sz="4" w:space="0" w:color="auto"/>
            </w:tcBorders>
            <w:noWrap/>
            <w:vAlign w:val="bottom"/>
            <w:hideMark/>
          </w:tcPr>
          <w:p w14:paraId="02EAD645"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£22,000.00</w:t>
            </w:r>
          </w:p>
        </w:tc>
      </w:tr>
      <w:tr w:rsidR="000F32D6" w:rsidRPr="000F32D6" w14:paraId="383E82F4" w14:textId="77777777" w:rsidTr="000F32D6">
        <w:trPr>
          <w:trHeight w:val="315"/>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34C3727F"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240" w:type="dxa"/>
            <w:tcBorders>
              <w:top w:val="nil"/>
              <w:left w:val="nil"/>
              <w:bottom w:val="single" w:sz="4" w:space="0" w:color="auto"/>
              <w:right w:val="single" w:sz="4" w:space="0" w:color="auto"/>
            </w:tcBorders>
            <w:noWrap/>
            <w:vAlign w:val="bottom"/>
            <w:hideMark/>
          </w:tcPr>
          <w:p w14:paraId="490C3C9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57DE60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9EE8949"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F15A15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0BDB6F22"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C432DBC"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0639E1BA" w14:textId="77777777" w:rsidTr="000F32D6">
        <w:trPr>
          <w:trHeight w:val="330"/>
        </w:trPr>
        <w:tc>
          <w:tcPr>
            <w:tcW w:w="2420" w:type="dxa"/>
            <w:tcBorders>
              <w:top w:val="double" w:sz="6" w:space="0" w:color="3F3F3F"/>
              <w:left w:val="double" w:sz="6" w:space="0" w:color="3F3F3F"/>
              <w:bottom w:val="double" w:sz="6" w:space="0" w:color="3F3F3F"/>
              <w:right w:val="double" w:sz="6" w:space="0" w:color="3F3F3F"/>
            </w:tcBorders>
            <w:shd w:val="clear" w:color="000000" w:fill="C6EFCE"/>
            <w:noWrap/>
            <w:vAlign w:val="bottom"/>
            <w:hideMark/>
          </w:tcPr>
          <w:p w14:paraId="513295A5" w14:textId="77777777" w:rsidR="000F32D6" w:rsidRPr="000F32D6" w:rsidRDefault="000F32D6" w:rsidP="000F32D6">
            <w:pPr>
              <w:spacing w:after="0" w:line="240" w:lineRule="auto"/>
              <w:rPr>
                <w:rFonts w:eastAsia="Times New Roman"/>
                <w:i/>
                <w:iCs/>
                <w:color w:val="006100"/>
                <w:lang w:eastAsia="en-GB"/>
              </w:rPr>
            </w:pPr>
            <w:r w:rsidRPr="000F32D6">
              <w:rPr>
                <w:rFonts w:eastAsia="Times New Roman"/>
                <w:i/>
                <w:iCs/>
                <w:color w:val="006100"/>
                <w:lang w:eastAsia="en-GB"/>
              </w:rPr>
              <w:t>Outflows</w:t>
            </w:r>
          </w:p>
        </w:tc>
        <w:tc>
          <w:tcPr>
            <w:tcW w:w="1240" w:type="dxa"/>
            <w:tcBorders>
              <w:top w:val="nil"/>
              <w:left w:val="nil"/>
              <w:bottom w:val="single" w:sz="4" w:space="0" w:color="auto"/>
              <w:right w:val="single" w:sz="4" w:space="0" w:color="auto"/>
            </w:tcBorders>
            <w:noWrap/>
            <w:vAlign w:val="bottom"/>
            <w:hideMark/>
          </w:tcPr>
          <w:p w14:paraId="1CA3ADF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E559A19"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50581D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F53810D"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18ACF67"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054369AE"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3DFCFB62" w14:textId="77777777" w:rsidTr="000F32D6">
        <w:trPr>
          <w:trHeight w:val="315"/>
        </w:trPr>
        <w:tc>
          <w:tcPr>
            <w:tcW w:w="2420" w:type="dxa"/>
            <w:tcBorders>
              <w:top w:val="single" w:sz="4" w:space="0" w:color="auto"/>
              <w:left w:val="single" w:sz="4" w:space="0" w:color="auto"/>
              <w:bottom w:val="single" w:sz="4" w:space="0" w:color="auto"/>
              <w:right w:val="single" w:sz="4" w:space="0" w:color="auto"/>
            </w:tcBorders>
            <w:shd w:val="clear" w:color="000000" w:fill="FFEB9C"/>
            <w:noWrap/>
            <w:vAlign w:val="bottom"/>
            <w:hideMark/>
          </w:tcPr>
          <w:p w14:paraId="759541CF"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Labour</w:t>
            </w:r>
          </w:p>
        </w:tc>
        <w:tc>
          <w:tcPr>
            <w:tcW w:w="1240" w:type="dxa"/>
            <w:tcBorders>
              <w:top w:val="nil"/>
              <w:left w:val="nil"/>
              <w:bottom w:val="single" w:sz="4" w:space="0" w:color="auto"/>
              <w:right w:val="single" w:sz="4" w:space="0" w:color="auto"/>
            </w:tcBorders>
            <w:noWrap/>
            <w:vAlign w:val="bottom"/>
            <w:hideMark/>
          </w:tcPr>
          <w:p w14:paraId="7A0A869A"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£9,000.00</w:t>
            </w:r>
          </w:p>
        </w:tc>
        <w:tc>
          <w:tcPr>
            <w:tcW w:w="1240" w:type="dxa"/>
            <w:tcBorders>
              <w:top w:val="nil"/>
              <w:left w:val="nil"/>
              <w:bottom w:val="single" w:sz="4" w:space="0" w:color="auto"/>
              <w:right w:val="single" w:sz="4" w:space="0" w:color="auto"/>
            </w:tcBorders>
            <w:noWrap/>
            <w:vAlign w:val="bottom"/>
            <w:hideMark/>
          </w:tcPr>
          <w:p w14:paraId="00DAAB1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c>
          <w:tcPr>
            <w:tcW w:w="1240" w:type="dxa"/>
            <w:tcBorders>
              <w:top w:val="nil"/>
              <w:left w:val="nil"/>
              <w:bottom w:val="single" w:sz="4" w:space="0" w:color="auto"/>
              <w:right w:val="single" w:sz="4" w:space="0" w:color="auto"/>
            </w:tcBorders>
            <w:noWrap/>
            <w:vAlign w:val="bottom"/>
            <w:hideMark/>
          </w:tcPr>
          <w:p w14:paraId="5FE1A562"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c>
          <w:tcPr>
            <w:tcW w:w="1240" w:type="dxa"/>
            <w:tcBorders>
              <w:top w:val="nil"/>
              <w:left w:val="nil"/>
              <w:bottom w:val="single" w:sz="4" w:space="0" w:color="auto"/>
              <w:right w:val="single" w:sz="4" w:space="0" w:color="auto"/>
            </w:tcBorders>
            <w:noWrap/>
            <w:vAlign w:val="bottom"/>
            <w:hideMark/>
          </w:tcPr>
          <w:p w14:paraId="6E928441"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c>
          <w:tcPr>
            <w:tcW w:w="1240" w:type="dxa"/>
            <w:tcBorders>
              <w:top w:val="nil"/>
              <w:left w:val="nil"/>
              <w:bottom w:val="single" w:sz="4" w:space="0" w:color="auto"/>
              <w:right w:val="single" w:sz="4" w:space="0" w:color="auto"/>
            </w:tcBorders>
            <w:noWrap/>
            <w:vAlign w:val="bottom"/>
            <w:hideMark/>
          </w:tcPr>
          <w:p w14:paraId="05E8AD40"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c>
          <w:tcPr>
            <w:tcW w:w="1240" w:type="dxa"/>
            <w:tcBorders>
              <w:top w:val="nil"/>
              <w:left w:val="nil"/>
              <w:bottom w:val="single" w:sz="4" w:space="0" w:color="auto"/>
              <w:right w:val="single" w:sz="4" w:space="0" w:color="auto"/>
            </w:tcBorders>
            <w:noWrap/>
            <w:vAlign w:val="bottom"/>
            <w:hideMark/>
          </w:tcPr>
          <w:p w14:paraId="4A4B18A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r>
      <w:tr w:rsidR="000F32D6" w:rsidRPr="000F32D6" w14:paraId="0A500A6F"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2D44B419"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Materials</w:t>
            </w:r>
          </w:p>
        </w:tc>
        <w:tc>
          <w:tcPr>
            <w:tcW w:w="1240" w:type="dxa"/>
            <w:tcBorders>
              <w:top w:val="nil"/>
              <w:left w:val="nil"/>
              <w:bottom w:val="single" w:sz="4" w:space="0" w:color="auto"/>
              <w:right w:val="single" w:sz="4" w:space="0" w:color="auto"/>
            </w:tcBorders>
            <w:noWrap/>
            <w:vAlign w:val="bottom"/>
            <w:hideMark/>
          </w:tcPr>
          <w:p w14:paraId="3FBDE039"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£8,000.00</w:t>
            </w:r>
          </w:p>
        </w:tc>
        <w:tc>
          <w:tcPr>
            <w:tcW w:w="1240" w:type="dxa"/>
            <w:tcBorders>
              <w:top w:val="nil"/>
              <w:left w:val="nil"/>
              <w:bottom w:val="single" w:sz="4" w:space="0" w:color="auto"/>
              <w:right w:val="single" w:sz="4" w:space="0" w:color="auto"/>
            </w:tcBorders>
            <w:noWrap/>
            <w:vAlign w:val="bottom"/>
            <w:hideMark/>
          </w:tcPr>
          <w:p w14:paraId="724FCCEF"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c>
          <w:tcPr>
            <w:tcW w:w="1240" w:type="dxa"/>
            <w:tcBorders>
              <w:top w:val="nil"/>
              <w:left w:val="nil"/>
              <w:bottom w:val="single" w:sz="4" w:space="0" w:color="auto"/>
              <w:right w:val="single" w:sz="4" w:space="0" w:color="auto"/>
            </w:tcBorders>
            <w:noWrap/>
            <w:vAlign w:val="bottom"/>
            <w:hideMark/>
          </w:tcPr>
          <w:p w14:paraId="7A75F20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c>
          <w:tcPr>
            <w:tcW w:w="1240" w:type="dxa"/>
            <w:tcBorders>
              <w:top w:val="nil"/>
              <w:left w:val="nil"/>
              <w:bottom w:val="single" w:sz="4" w:space="0" w:color="auto"/>
              <w:right w:val="single" w:sz="4" w:space="0" w:color="auto"/>
            </w:tcBorders>
            <w:noWrap/>
            <w:vAlign w:val="bottom"/>
            <w:hideMark/>
          </w:tcPr>
          <w:p w14:paraId="19D38EB4"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c>
          <w:tcPr>
            <w:tcW w:w="1240" w:type="dxa"/>
            <w:tcBorders>
              <w:top w:val="nil"/>
              <w:left w:val="nil"/>
              <w:bottom w:val="single" w:sz="4" w:space="0" w:color="auto"/>
              <w:right w:val="single" w:sz="4" w:space="0" w:color="auto"/>
            </w:tcBorders>
            <w:noWrap/>
            <w:vAlign w:val="bottom"/>
            <w:hideMark/>
          </w:tcPr>
          <w:p w14:paraId="641648DC"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c>
          <w:tcPr>
            <w:tcW w:w="1240" w:type="dxa"/>
            <w:tcBorders>
              <w:top w:val="nil"/>
              <w:left w:val="nil"/>
              <w:bottom w:val="single" w:sz="4" w:space="0" w:color="auto"/>
              <w:right w:val="single" w:sz="4" w:space="0" w:color="auto"/>
            </w:tcBorders>
            <w:noWrap/>
            <w:vAlign w:val="bottom"/>
            <w:hideMark/>
          </w:tcPr>
          <w:p w14:paraId="45F605F9"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r>
      <w:tr w:rsidR="000F32D6" w:rsidRPr="000F32D6" w14:paraId="3E5AF11F"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3BAD0A28"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Tools &amp; Equipment</w:t>
            </w:r>
          </w:p>
        </w:tc>
        <w:tc>
          <w:tcPr>
            <w:tcW w:w="1240" w:type="dxa"/>
            <w:tcBorders>
              <w:top w:val="nil"/>
              <w:left w:val="nil"/>
              <w:bottom w:val="single" w:sz="4" w:space="0" w:color="auto"/>
              <w:right w:val="single" w:sz="4" w:space="0" w:color="auto"/>
            </w:tcBorders>
            <w:noWrap/>
            <w:vAlign w:val="bottom"/>
            <w:hideMark/>
          </w:tcPr>
          <w:p w14:paraId="786B8575"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240" w:type="dxa"/>
            <w:tcBorders>
              <w:top w:val="nil"/>
              <w:left w:val="nil"/>
              <w:bottom w:val="single" w:sz="4" w:space="0" w:color="auto"/>
              <w:right w:val="single" w:sz="4" w:space="0" w:color="auto"/>
            </w:tcBorders>
            <w:noWrap/>
            <w:vAlign w:val="bottom"/>
            <w:hideMark/>
          </w:tcPr>
          <w:p w14:paraId="4FEBCD0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240" w:type="dxa"/>
            <w:tcBorders>
              <w:top w:val="nil"/>
              <w:left w:val="nil"/>
              <w:bottom w:val="single" w:sz="4" w:space="0" w:color="auto"/>
              <w:right w:val="single" w:sz="4" w:space="0" w:color="auto"/>
            </w:tcBorders>
            <w:noWrap/>
            <w:vAlign w:val="bottom"/>
            <w:hideMark/>
          </w:tcPr>
          <w:p w14:paraId="2425FC6F"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240" w:type="dxa"/>
            <w:tcBorders>
              <w:top w:val="nil"/>
              <w:left w:val="nil"/>
              <w:bottom w:val="single" w:sz="4" w:space="0" w:color="auto"/>
              <w:right w:val="single" w:sz="4" w:space="0" w:color="auto"/>
            </w:tcBorders>
            <w:noWrap/>
            <w:vAlign w:val="bottom"/>
            <w:hideMark/>
          </w:tcPr>
          <w:p w14:paraId="6051F534"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240" w:type="dxa"/>
            <w:tcBorders>
              <w:top w:val="nil"/>
              <w:left w:val="nil"/>
              <w:bottom w:val="single" w:sz="4" w:space="0" w:color="auto"/>
              <w:right w:val="single" w:sz="4" w:space="0" w:color="auto"/>
            </w:tcBorders>
            <w:noWrap/>
            <w:vAlign w:val="bottom"/>
            <w:hideMark/>
          </w:tcPr>
          <w:p w14:paraId="4338C5A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240" w:type="dxa"/>
            <w:tcBorders>
              <w:top w:val="nil"/>
              <w:left w:val="nil"/>
              <w:bottom w:val="single" w:sz="4" w:space="0" w:color="auto"/>
              <w:right w:val="single" w:sz="4" w:space="0" w:color="auto"/>
            </w:tcBorders>
            <w:noWrap/>
            <w:vAlign w:val="bottom"/>
            <w:hideMark/>
          </w:tcPr>
          <w:p w14:paraId="74035182"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r>
      <w:tr w:rsidR="000F32D6" w:rsidRPr="000F32D6" w14:paraId="555A6671"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41E106B5"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Fuel &amp; Transport</w:t>
            </w:r>
          </w:p>
        </w:tc>
        <w:tc>
          <w:tcPr>
            <w:tcW w:w="1240" w:type="dxa"/>
            <w:tcBorders>
              <w:top w:val="nil"/>
              <w:left w:val="nil"/>
              <w:bottom w:val="single" w:sz="4" w:space="0" w:color="auto"/>
              <w:right w:val="single" w:sz="4" w:space="0" w:color="auto"/>
            </w:tcBorders>
            <w:noWrap/>
            <w:vAlign w:val="bottom"/>
            <w:hideMark/>
          </w:tcPr>
          <w:p w14:paraId="70CB1C6D"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240" w:type="dxa"/>
            <w:tcBorders>
              <w:top w:val="nil"/>
              <w:left w:val="nil"/>
              <w:bottom w:val="single" w:sz="4" w:space="0" w:color="auto"/>
              <w:right w:val="single" w:sz="4" w:space="0" w:color="auto"/>
            </w:tcBorders>
            <w:noWrap/>
            <w:vAlign w:val="bottom"/>
            <w:hideMark/>
          </w:tcPr>
          <w:p w14:paraId="3B0E7729"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240" w:type="dxa"/>
            <w:tcBorders>
              <w:top w:val="nil"/>
              <w:left w:val="nil"/>
              <w:bottom w:val="single" w:sz="4" w:space="0" w:color="auto"/>
              <w:right w:val="single" w:sz="4" w:space="0" w:color="auto"/>
            </w:tcBorders>
            <w:noWrap/>
            <w:vAlign w:val="bottom"/>
            <w:hideMark/>
          </w:tcPr>
          <w:p w14:paraId="34FE399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240" w:type="dxa"/>
            <w:tcBorders>
              <w:top w:val="nil"/>
              <w:left w:val="nil"/>
              <w:bottom w:val="single" w:sz="4" w:space="0" w:color="auto"/>
              <w:right w:val="single" w:sz="4" w:space="0" w:color="auto"/>
            </w:tcBorders>
            <w:noWrap/>
            <w:vAlign w:val="bottom"/>
            <w:hideMark/>
          </w:tcPr>
          <w:p w14:paraId="17F3F33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240" w:type="dxa"/>
            <w:tcBorders>
              <w:top w:val="nil"/>
              <w:left w:val="nil"/>
              <w:bottom w:val="single" w:sz="4" w:space="0" w:color="auto"/>
              <w:right w:val="single" w:sz="4" w:space="0" w:color="auto"/>
            </w:tcBorders>
            <w:noWrap/>
            <w:vAlign w:val="bottom"/>
            <w:hideMark/>
          </w:tcPr>
          <w:p w14:paraId="04C6D9B5"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c>
          <w:tcPr>
            <w:tcW w:w="1240" w:type="dxa"/>
            <w:tcBorders>
              <w:top w:val="nil"/>
              <w:left w:val="nil"/>
              <w:bottom w:val="single" w:sz="4" w:space="0" w:color="auto"/>
              <w:right w:val="single" w:sz="4" w:space="0" w:color="auto"/>
            </w:tcBorders>
            <w:noWrap/>
            <w:vAlign w:val="bottom"/>
            <w:hideMark/>
          </w:tcPr>
          <w:p w14:paraId="5B9A9BDD"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£1,500.00</w:t>
            </w:r>
          </w:p>
        </w:tc>
      </w:tr>
      <w:tr w:rsidR="000F32D6" w:rsidRPr="000F32D6" w14:paraId="29A3B70B"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0818F23E"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Marketing</w:t>
            </w:r>
          </w:p>
        </w:tc>
        <w:tc>
          <w:tcPr>
            <w:tcW w:w="1240" w:type="dxa"/>
            <w:tcBorders>
              <w:top w:val="nil"/>
              <w:left w:val="nil"/>
              <w:bottom w:val="single" w:sz="4" w:space="0" w:color="auto"/>
              <w:right w:val="single" w:sz="4" w:space="0" w:color="auto"/>
            </w:tcBorders>
            <w:noWrap/>
            <w:vAlign w:val="bottom"/>
            <w:hideMark/>
          </w:tcPr>
          <w:p w14:paraId="4011EB4C"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240" w:type="dxa"/>
            <w:tcBorders>
              <w:top w:val="nil"/>
              <w:left w:val="nil"/>
              <w:bottom w:val="single" w:sz="4" w:space="0" w:color="auto"/>
              <w:right w:val="single" w:sz="4" w:space="0" w:color="auto"/>
            </w:tcBorders>
            <w:noWrap/>
            <w:vAlign w:val="bottom"/>
            <w:hideMark/>
          </w:tcPr>
          <w:p w14:paraId="0A7C93FC"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240" w:type="dxa"/>
            <w:tcBorders>
              <w:top w:val="nil"/>
              <w:left w:val="nil"/>
              <w:bottom w:val="single" w:sz="4" w:space="0" w:color="auto"/>
              <w:right w:val="single" w:sz="4" w:space="0" w:color="auto"/>
            </w:tcBorders>
            <w:noWrap/>
            <w:vAlign w:val="bottom"/>
            <w:hideMark/>
          </w:tcPr>
          <w:p w14:paraId="6845E810"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240" w:type="dxa"/>
            <w:tcBorders>
              <w:top w:val="nil"/>
              <w:left w:val="nil"/>
              <w:bottom w:val="single" w:sz="4" w:space="0" w:color="auto"/>
              <w:right w:val="single" w:sz="4" w:space="0" w:color="auto"/>
            </w:tcBorders>
            <w:noWrap/>
            <w:vAlign w:val="bottom"/>
            <w:hideMark/>
          </w:tcPr>
          <w:p w14:paraId="5CE48C85"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240" w:type="dxa"/>
            <w:tcBorders>
              <w:top w:val="nil"/>
              <w:left w:val="nil"/>
              <w:bottom w:val="single" w:sz="4" w:space="0" w:color="auto"/>
              <w:right w:val="single" w:sz="4" w:space="0" w:color="auto"/>
            </w:tcBorders>
            <w:noWrap/>
            <w:vAlign w:val="bottom"/>
            <w:hideMark/>
          </w:tcPr>
          <w:p w14:paraId="46EFBAEF"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c>
          <w:tcPr>
            <w:tcW w:w="1240" w:type="dxa"/>
            <w:tcBorders>
              <w:top w:val="nil"/>
              <w:left w:val="nil"/>
              <w:bottom w:val="single" w:sz="4" w:space="0" w:color="auto"/>
              <w:right w:val="single" w:sz="4" w:space="0" w:color="auto"/>
            </w:tcBorders>
            <w:noWrap/>
            <w:vAlign w:val="bottom"/>
            <w:hideMark/>
          </w:tcPr>
          <w:p w14:paraId="75E33CE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w:t>
            </w:r>
          </w:p>
        </w:tc>
      </w:tr>
      <w:tr w:rsidR="000F32D6" w:rsidRPr="000F32D6" w14:paraId="5588F608"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08B1EE1A"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Insurance &amp; Compliance</w:t>
            </w:r>
          </w:p>
        </w:tc>
        <w:tc>
          <w:tcPr>
            <w:tcW w:w="1240" w:type="dxa"/>
            <w:tcBorders>
              <w:top w:val="nil"/>
              <w:left w:val="nil"/>
              <w:bottom w:val="single" w:sz="4" w:space="0" w:color="auto"/>
              <w:right w:val="single" w:sz="4" w:space="0" w:color="auto"/>
            </w:tcBorders>
            <w:noWrap/>
            <w:vAlign w:val="bottom"/>
            <w:hideMark/>
          </w:tcPr>
          <w:p w14:paraId="2D080B67"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240" w:type="dxa"/>
            <w:tcBorders>
              <w:top w:val="nil"/>
              <w:left w:val="nil"/>
              <w:bottom w:val="single" w:sz="4" w:space="0" w:color="auto"/>
              <w:right w:val="single" w:sz="4" w:space="0" w:color="auto"/>
            </w:tcBorders>
            <w:noWrap/>
            <w:vAlign w:val="bottom"/>
            <w:hideMark/>
          </w:tcPr>
          <w:p w14:paraId="28AA2B7C"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240" w:type="dxa"/>
            <w:tcBorders>
              <w:top w:val="nil"/>
              <w:left w:val="nil"/>
              <w:bottom w:val="single" w:sz="4" w:space="0" w:color="auto"/>
              <w:right w:val="single" w:sz="4" w:space="0" w:color="auto"/>
            </w:tcBorders>
            <w:noWrap/>
            <w:vAlign w:val="bottom"/>
            <w:hideMark/>
          </w:tcPr>
          <w:p w14:paraId="23530F50"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240" w:type="dxa"/>
            <w:tcBorders>
              <w:top w:val="nil"/>
              <w:left w:val="nil"/>
              <w:bottom w:val="single" w:sz="4" w:space="0" w:color="auto"/>
              <w:right w:val="single" w:sz="4" w:space="0" w:color="auto"/>
            </w:tcBorders>
            <w:noWrap/>
            <w:vAlign w:val="bottom"/>
            <w:hideMark/>
          </w:tcPr>
          <w:p w14:paraId="447F2CA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240" w:type="dxa"/>
            <w:tcBorders>
              <w:top w:val="nil"/>
              <w:left w:val="nil"/>
              <w:bottom w:val="single" w:sz="4" w:space="0" w:color="auto"/>
              <w:right w:val="single" w:sz="4" w:space="0" w:color="auto"/>
            </w:tcBorders>
            <w:noWrap/>
            <w:vAlign w:val="bottom"/>
            <w:hideMark/>
          </w:tcPr>
          <w:p w14:paraId="5DE1E707"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c>
          <w:tcPr>
            <w:tcW w:w="1240" w:type="dxa"/>
            <w:tcBorders>
              <w:top w:val="nil"/>
              <w:left w:val="nil"/>
              <w:bottom w:val="single" w:sz="4" w:space="0" w:color="auto"/>
              <w:right w:val="single" w:sz="4" w:space="0" w:color="auto"/>
            </w:tcBorders>
            <w:noWrap/>
            <w:vAlign w:val="bottom"/>
            <w:hideMark/>
          </w:tcPr>
          <w:p w14:paraId="3E68CCE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£750.00</w:t>
            </w:r>
          </w:p>
        </w:tc>
      </w:tr>
      <w:tr w:rsidR="000F32D6" w:rsidRPr="000F32D6" w14:paraId="49B5FB28"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02537B62"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Admin &amp; Miscellaneous</w:t>
            </w:r>
          </w:p>
        </w:tc>
        <w:tc>
          <w:tcPr>
            <w:tcW w:w="1240" w:type="dxa"/>
            <w:tcBorders>
              <w:top w:val="nil"/>
              <w:left w:val="nil"/>
              <w:bottom w:val="single" w:sz="4" w:space="0" w:color="auto"/>
              <w:right w:val="single" w:sz="4" w:space="0" w:color="auto"/>
            </w:tcBorders>
            <w:noWrap/>
            <w:vAlign w:val="bottom"/>
            <w:hideMark/>
          </w:tcPr>
          <w:p w14:paraId="57B11659"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c>
          <w:tcPr>
            <w:tcW w:w="1240" w:type="dxa"/>
            <w:tcBorders>
              <w:top w:val="nil"/>
              <w:left w:val="nil"/>
              <w:bottom w:val="single" w:sz="4" w:space="0" w:color="auto"/>
              <w:right w:val="single" w:sz="4" w:space="0" w:color="auto"/>
            </w:tcBorders>
            <w:noWrap/>
            <w:vAlign w:val="bottom"/>
            <w:hideMark/>
          </w:tcPr>
          <w:p w14:paraId="3FB33392"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c>
          <w:tcPr>
            <w:tcW w:w="1240" w:type="dxa"/>
            <w:tcBorders>
              <w:top w:val="nil"/>
              <w:left w:val="nil"/>
              <w:bottom w:val="single" w:sz="4" w:space="0" w:color="auto"/>
              <w:right w:val="single" w:sz="4" w:space="0" w:color="auto"/>
            </w:tcBorders>
            <w:noWrap/>
            <w:vAlign w:val="bottom"/>
            <w:hideMark/>
          </w:tcPr>
          <w:p w14:paraId="58CE2D59"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c>
          <w:tcPr>
            <w:tcW w:w="1240" w:type="dxa"/>
            <w:tcBorders>
              <w:top w:val="nil"/>
              <w:left w:val="nil"/>
              <w:bottom w:val="single" w:sz="4" w:space="0" w:color="auto"/>
              <w:right w:val="single" w:sz="4" w:space="0" w:color="auto"/>
            </w:tcBorders>
            <w:noWrap/>
            <w:vAlign w:val="bottom"/>
            <w:hideMark/>
          </w:tcPr>
          <w:p w14:paraId="78AE89D8"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c>
          <w:tcPr>
            <w:tcW w:w="1240" w:type="dxa"/>
            <w:tcBorders>
              <w:top w:val="nil"/>
              <w:left w:val="nil"/>
              <w:bottom w:val="single" w:sz="4" w:space="0" w:color="auto"/>
              <w:right w:val="single" w:sz="4" w:space="0" w:color="auto"/>
            </w:tcBorders>
            <w:noWrap/>
            <w:vAlign w:val="bottom"/>
            <w:hideMark/>
          </w:tcPr>
          <w:p w14:paraId="5AEB0D7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c>
          <w:tcPr>
            <w:tcW w:w="1240" w:type="dxa"/>
            <w:tcBorders>
              <w:top w:val="nil"/>
              <w:left w:val="nil"/>
              <w:bottom w:val="single" w:sz="4" w:space="0" w:color="auto"/>
              <w:right w:val="single" w:sz="4" w:space="0" w:color="auto"/>
            </w:tcBorders>
            <w:noWrap/>
            <w:vAlign w:val="bottom"/>
            <w:hideMark/>
          </w:tcPr>
          <w:p w14:paraId="06717584"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£1,250.00</w:t>
            </w:r>
          </w:p>
        </w:tc>
      </w:tr>
      <w:tr w:rsidR="000F32D6" w:rsidRPr="000F32D6" w14:paraId="532C7330"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6570FBD4"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240" w:type="dxa"/>
            <w:tcBorders>
              <w:top w:val="nil"/>
              <w:left w:val="nil"/>
              <w:bottom w:val="single" w:sz="4" w:space="0" w:color="auto"/>
              <w:right w:val="single" w:sz="4" w:space="0" w:color="auto"/>
            </w:tcBorders>
            <w:noWrap/>
            <w:vAlign w:val="bottom"/>
            <w:hideMark/>
          </w:tcPr>
          <w:p w14:paraId="3A79ED1A"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289C64C"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2A89593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230FD94"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5C7D0C1A"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4462CA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0E39EE19"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6B4BD4D2"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240" w:type="dxa"/>
            <w:tcBorders>
              <w:top w:val="nil"/>
              <w:left w:val="nil"/>
              <w:bottom w:val="single" w:sz="4" w:space="0" w:color="auto"/>
              <w:right w:val="single" w:sz="4" w:space="0" w:color="auto"/>
            </w:tcBorders>
            <w:noWrap/>
            <w:vAlign w:val="bottom"/>
            <w:hideMark/>
          </w:tcPr>
          <w:p w14:paraId="57307B11"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9EE21E6"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3F9775E2"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3092265C"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1D6674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9459A36"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7A92174C"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5F6FFECF"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240" w:type="dxa"/>
            <w:tcBorders>
              <w:top w:val="nil"/>
              <w:left w:val="nil"/>
              <w:bottom w:val="single" w:sz="4" w:space="0" w:color="auto"/>
              <w:right w:val="single" w:sz="4" w:space="0" w:color="auto"/>
            </w:tcBorders>
            <w:noWrap/>
            <w:vAlign w:val="bottom"/>
            <w:hideMark/>
          </w:tcPr>
          <w:p w14:paraId="668F4136"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20C591AE"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56728A9D"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033C910A"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594E49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7C12DC15"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31DF4B0E"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4472C4"/>
            <w:noWrap/>
            <w:vAlign w:val="bottom"/>
            <w:hideMark/>
          </w:tcPr>
          <w:p w14:paraId="5194C09C"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Total Outflows</w:t>
            </w:r>
          </w:p>
        </w:tc>
        <w:tc>
          <w:tcPr>
            <w:tcW w:w="1240" w:type="dxa"/>
            <w:tcBorders>
              <w:top w:val="nil"/>
              <w:left w:val="nil"/>
              <w:bottom w:val="single" w:sz="4" w:space="0" w:color="auto"/>
              <w:right w:val="single" w:sz="4" w:space="0" w:color="auto"/>
            </w:tcBorders>
            <w:noWrap/>
            <w:vAlign w:val="bottom"/>
            <w:hideMark/>
          </w:tcPr>
          <w:p w14:paraId="52AE0034"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£22,000.00</w:t>
            </w:r>
          </w:p>
        </w:tc>
        <w:tc>
          <w:tcPr>
            <w:tcW w:w="1240" w:type="dxa"/>
            <w:tcBorders>
              <w:top w:val="nil"/>
              <w:left w:val="nil"/>
              <w:bottom w:val="single" w:sz="4" w:space="0" w:color="auto"/>
              <w:right w:val="single" w:sz="4" w:space="0" w:color="auto"/>
            </w:tcBorders>
            <w:noWrap/>
            <w:vAlign w:val="bottom"/>
            <w:hideMark/>
          </w:tcPr>
          <w:p w14:paraId="784ABB6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£19,000.00</w:t>
            </w:r>
          </w:p>
        </w:tc>
        <w:tc>
          <w:tcPr>
            <w:tcW w:w="1240" w:type="dxa"/>
            <w:tcBorders>
              <w:top w:val="nil"/>
              <w:left w:val="nil"/>
              <w:bottom w:val="single" w:sz="4" w:space="0" w:color="auto"/>
              <w:right w:val="single" w:sz="4" w:space="0" w:color="auto"/>
            </w:tcBorders>
            <w:noWrap/>
            <w:vAlign w:val="bottom"/>
            <w:hideMark/>
          </w:tcPr>
          <w:p w14:paraId="6605646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£19,000.00</w:t>
            </w:r>
          </w:p>
        </w:tc>
        <w:tc>
          <w:tcPr>
            <w:tcW w:w="1240" w:type="dxa"/>
            <w:tcBorders>
              <w:top w:val="nil"/>
              <w:left w:val="nil"/>
              <w:bottom w:val="single" w:sz="4" w:space="0" w:color="auto"/>
              <w:right w:val="single" w:sz="4" w:space="0" w:color="auto"/>
            </w:tcBorders>
            <w:noWrap/>
            <w:vAlign w:val="bottom"/>
            <w:hideMark/>
          </w:tcPr>
          <w:p w14:paraId="77EA47A4"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£19,000.00</w:t>
            </w:r>
          </w:p>
        </w:tc>
        <w:tc>
          <w:tcPr>
            <w:tcW w:w="1240" w:type="dxa"/>
            <w:tcBorders>
              <w:top w:val="nil"/>
              <w:left w:val="nil"/>
              <w:bottom w:val="single" w:sz="4" w:space="0" w:color="auto"/>
              <w:right w:val="single" w:sz="4" w:space="0" w:color="auto"/>
            </w:tcBorders>
            <w:noWrap/>
            <w:vAlign w:val="bottom"/>
            <w:hideMark/>
          </w:tcPr>
          <w:p w14:paraId="71CB588F"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£19,000.00</w:t>
            </w:r>
          </w:p>
        </w:tc>
        <w:tc>
          <w:tcPr>
            <w:tcW w:w="1240" w:type="dxa"/>
            <w:tcBorders>
              <w:top w:val="nil"/>
              <w:left w:val="nil"/>
              <w:bottom w:val="single" w:sz="4" w:space="0" w:color="auto"/>
              <w:right w:val="single" w:sz="4" w:space="0" w:color="auto"/>
            </w:tcBorders>
            <w:noWrap/>
            <w:vAlign w:val="bottom"/>
            <w:hideMark/>
          </w:tcPr>
          <w:p w14:paraId="21115B10"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£19,000.00</w:t>
            </w:r>
          </w:p>
        </w:tc>
      </w:tr>
      <w:tr w:rsidR="000F32D6" w:rsidRPr="000F32D6" w14:paraId="357C0D28"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EB9C"/>
            <w:noWrap/>
            <w:vAlign w:val="bottom"/>
            <w:hideMark/>
          </w:tcPr>
          <w:p w14:paraId="5E4F348C" w14:textId="77777777" w:rsidR="000F32D6" w:rsidRPr="000F32D6" w:rsidRDefault="000F32D6" w:rsidP="000F32D6">
            <w:pPr>
              <w:spacing w:after="0" w:line="240" w:lineRule="auto"/>
              <w:rPr>
                <w:rFonts w:eastAsia="Times New Roman"/>
                <w:i/>
                <w:iCs/>
                <w:color w:val="9C5700"/>
                <w:lang w:eastAsia="en-GB"/>
              </w:rPr>
            </w:pPr>
            <w:r w:rsidRPr="000F32D6">
              <w:rPr>
                <w:rFonts w:eastAsia="Times New Roman"/>
                <w:i/>
                <w:iCs/>
                <w:color w:val="9C5700"/>
                <w:lang w:eastAsia="en-GB"/>
              </w:rPr>
              <w:t> </w:t>
            </w:r>
          </w:p>
        </w:tc>
        <w:tc>
          <w:tcPr>
            <w:tcW w:w="1240" w:type="dxa"/>
            <w:tcBorders>
              <w:top w:val="nil"/>
              <w:left w:val="nil"/>
              <w:bottom w:val="single" w:sz="4" w:space="0" w:color="auto"/>
              <w:right w:val="single" w:sz="4" w:space="0" w:color="auto"/>
            </w:tcBorders>
            <w:noWrap/>
            <w:vAlign w:val="bottom"/>
            <w:hideMark/>
          </w:tcPr>
          <w:p w14:paraId="1F9FBE3F"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E523321"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42805453"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502FDE1A"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57685F24"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c>
          <w:tcPr>
            <w:tcW w:w="1240" w:type="dxa"/>
            <w:tcBorders>
              <w:top w:val="nil"/>
              <w:left w:val="nil"/>
              <w:bottom w:val="single" w:sz="4" w:space="0" w:color="auto"/>
              <w:right w:val="single" w:sz="4" w:space="0" w:color="auto"/>
            </w:tcBorders>
            <w:noWrap/>
            <w:vAlign w:val="bottom"/>
            <w:hideMark/>
          </w:tcPr>
          <w:p w14:paraId="5A16BDCB" w14:textId="77777777" w:rsidR="000F32D6" w:rsidRPr="000F32D6" w:rsidRDefault="000F32D6" w:rsidP="000F32D6">
            <w:pPr>
              <w:spacing w:after="0" w:line="240" w:lineRule="auto"/>
              <w:rPr>
                <w:rFonts w:eastAsia="Times New Roman"/>
                <w:color w:val="000000"/>
                <w:lang w:eastAsia="en-GB"/>
              </w:rPr>
            </w:pPr>
            <w:r w:rsidRPr="000F32D6">
              <w:rPr>
                <w:rFonts w:eastAsia="Times New Roman"/>
                <w:color w:val="000000"/>
                <w:lang w:eastAsia="en-GB"/>
              </w:rPr>
              <w:t> </w:t>
            </w:r>
          </w:p>
        </w:tc>
      </w:tr>
      <w:tr w:rsidR="000F32D6" w:rsidRPr="000F32D6" w14:paraId="5AEAA0EC"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C000"/>
            <w:noWrap/>
            <w:vAlign w:val="bottom"/>
            <w:hideMark/>
          </w:tcPr>
          <w:p w14:paraId="73118D65"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Opening Balance</w:t>
            </w:r>
          </w:p>
        </w:tc>
        <w:tc>
          <w:tcPr>
            <w:tcW w:w="1240" w:type="dxa"/>
            <w:tcBorders>
              <w:top w:val="nil"/>
              <w:left w:val="nil"/>
              <w:bottom w:val="single" w:sz="4" w:space="0" w:color="auto"/>
              <w:right w:val="single" w:sz="4" w:space="0" w:color="auto"/>
            </w:tcBorders>
            <w:noWrap/>
            <w:vAlign w:val="bottom"/>
            <w:hideMark/>
          </w:tcPr>
          <w:p w14:paraId="036A620B"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£20,000.00</w:t>
            </w:r>
          </w:p>
        </w:tc>
        <w:tc>
          <w:tcPr>
            <w:tcW w:w="1240" w:type="dxa"/>
            <w:tcBorders>
              <w:top w:val="nil"/>
              <w:left w:val="nil"/>
              <w:bottom w:val="single" w:sz="4" w:space="0" w:color="auto"/>
              <w:right w:val="single" w:sz="4" w:space="0" w:color="auto"/>
            </w:tcBorders>
            <w:noWrap/>
            <w:vAlign w:val="bottom"/>
            <w:hideMark/>
          </w:tcPr>
          <w:p w14:paraId="233FE75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£25,000.00</w:t>
            </w:r>
          </w:p>
        </w:tc>
        <w:tc>
          <w:tcPr>
            <w:tcW w:w="1240" w:type="dxa"/>
            <w:tcBorders>
              <w:top w:val="nil"/>
              <w:left w:val="nil"/>
              <w:bottom w:val="single" w:sz="4" w:space="0" w:color="auto"/>
              <w:right w:val="single" w:sz="4" w:space="0" w:color="auto"/>
            </w:tcBorders>
            <w:noWrap/>
            <w:vAlign w:val="bottom"/>
            <w:hideMark/>
          </w:tcPr>
          <w:p w14:paraId="659A8F94"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£26,000.00</w:t>
            </w:r>
          </w:p>
        </w:tc>
        <w:tc>
          <w:tcPr>
            <w:tcW w:w="1240" w:type="dxa"/>
            <w:tcBorders>
              <w:top w:val="nil"/>
              <w:left w:val="nil"/>
              <w:bottom w:val="single" w:sz="4" w:space="0" w:color="auto"/>
              <w:right w:val="single" w:sz="4" w:space="0" w:color="auto"/>
            </w:tcBorders>
            <w:noWrap/>
            <w:vAlign w:val="bottom"/>
            <w:hideMark/>
          </w:tcPr>
          <w:p w14:paraId="75830996"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£32,000.00</w:t>
            </w:r>
          </w:p>
        </w:tc>
        <w:tc>
          <w:tcPr>
            <w:tcW w:w="1240" w:type="dxa"/>
            <w:tcBorders>
              <w:top w:val="nil"/>
              <w:left w:val="nil"/>
              <w:bottom w:val="single" w:sz="4" w:space="0" w:color="auto"/>
              <w:right w:val="single" w:sz="4" w:space="0" w:color="auto"/>
            </w:tcBorders>
            <w:noWrap/>
            <w:vAlign w:val="bottom"/>
            <w:hideMark/>
          </w:tcPr>
          <w:p w14:paraId="3F13C41E"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£35,000.00</w:t>
            </w:r>
          </w:p>
        </w:tc>
        <w:tc>
          <w:tcPr>
            <w:tcW w:w="1240" w:type="dxa"/>
            <w:tcBorders>
              <w:top w:val="nil"/>
              <w:left w:val="nil"/>
              <w:bottom w:val="single" w:sz="4" w:space="0" w:color="auto"/>
              <w:right w:val="single" w:sz="4" w:space="0" w:color="auto"/>
            </w:tcBorders>
            <w:noWrap/>
            <w:vAlign w:val="bottom"/>
            <w:hideMark/>
          </w:tcPr>
          <w:p w14:paraId="745779DA"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£37,000.00</w:t>
            </w:r>
          </w:p>
        </w:tc>
      </w:tr>
      <w:tr w:rsidR="000F32D6" w:rsidRPr="000F32D6" w14:paraId="01DBDCD2" w14:textId="77777777" w:rsidTr="000F32D6">
        <w:trPr>
          <w:trHeight w:val="300"/>
        </w:trPr>
        <w:tc>
          <w:tcPr>
            <w:tcW w:w="2420" w:type="dxa"/>
            <w:tcBorders>
              <w:top w:val="nil"/>
              <w:left w:val="single" w:sz="4" w:space="0" w:color="auto"/>
              <w:bottom w:val="single" w:sz="4" w:space="0" w:color="auto"/>
              <w:right w:val="single" w:sz="4" w:space="0" w:color="auto"/>
            </w:tcBorders>
            <w:shd w:val="clear" w:color="000000" w:fill="FFC000"/>
            <w:noWrap/>
            <w:vAlign w:val="bottom"/>
            <w:hideMark/>
          </w:tcPr>
          <w:p w14:paraId="762C59F8"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net cash flow</w:t>
            </w:r>
          </w:p>
        </w:tc>
        <w:tc>
          <w:tcPr>
            <w:tcW w:w="1240" w:type="dxa"/>
            <w:tcBorders>
              <w:top w:val="nil"/>
              <w:left w:val="nil"/>
              <w:bottom w:val="single" w:sz="4" w:space="0" w:color="auto"/>
              <w:right w:val="single" w:sz="4" w:space="0" w:color="auto"/>
            </w:tcBorders>
            <w:noWrap/>
            <w:vAlign w:val="bottom"/>
            <w:hideMark/>
          </w:tcPr>
          <w:p w14:paraId="1E846FF0"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£5,000.00</w:t>
            </w:r>
          </w:p>
        </w:tc>
        <w:tc>
          <w:tcPr>
            <w:tcW w:w="1240" w:type="dxa"/>
            <w:tcBorders>
              <w:top w:val="nil"/>
              <w:left w:val="nil"/>
              <w:bottom w:val="single" w:sz="4" w:space="0" w:color="auto"/>
              <w:right w:val="single" w:sz="4" w:space="0" w:color="auto"/>
            </w:tcBorders>
            <w:noWrap/>
            <w:vAlign w:val="bottom"/>
            <w:hideMark/>
          </w:tcPr>
          <w:p w14:paraId="59C712F1"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£1,000.00</w:t>
            </w:r>
          </w:p>
        </w:tc>
        <w:tc>
          <w:tcPr>
            <w:tcW w:w="1240" w:type="dxa"/>
            <w:tcBorders>
              <w:top w:val="nil"/>
              <w:left w:val="nil"/>
              <w:bottom w:val="single" w:sz="4" w:space="0" w:color="auto"/>
              <w:right w:val="single" w:sz="4" w:space="0" w:color="auto"/>
            </w:tcBorders>
            <w:noWrap/>
            <w:vAlign w:val="bottom"/>
            <w:hideMark/>
          </w:tcPr>
          <w:p w14:paraId="452E8FB3"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£6,000.00</w:t>
            </w:r>
          </w:p>
        </w:tc>
        <w:tc>
          <w:tcPr>
            <w:tcW w:w="1240" w:type="dxa"/>
            <w:tcBorders>
              <w:top w:val="nil"/>
              <w:left w:val="nil"/>
              <w:bottom w:val="single" w:sz="4" w:space="0" w:color="auto"/>
              <w:right w:val="single" w:sz="4" w:space="0" w:color="auto"/>
            </w:tcBorders>
            <w:noWrap/>
            <w:vAlign w:val="bottom"/>
            <w:hideMark/>
          </w:tcPr>
          <w:p w14:paraId="264BB24D"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£3,000.00</w:t>
            </w:r>
          </w:p>
        </w:tc>
        <w:tc>
          <w:tcPr>
            <w:tcW w:w="1240" w:type="dxa"/>
            <w:tcBorders>
              <w:top w:val="nil"/>
              <w:left w:val="nil"/>
              <w:bottom w:val="single" w:sz="4" w:space="0" w:color="auto"/>
              <w:right w:val="single" w:sz="4" w:space="0" w:color="auto"/>
            </w:tcBorders>
            <w:noWrap/>
            <w:vAlign w:val="bottom"/>
            <w:hideMark/>
          </w:tcPr>
          <w:p w14:paraId="4103F982"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£2,000.00</w:t>
            </w:r>
          </w:p>
        </w:tc>
        <w:tc>
          <w:tcPr>
            <w:tcW w:w="1240" w:type="dxa"/>
            <w:tcBorders>
              <w:top w:val="nil"/>
              <w:left w:val="nil"/>
              <w:bottom w:val="single" w:sz="4" w:space="0" w:color="auto"/>
              <w:right w:val="single" w:sz="4" w:space="0" w:color="auto"/>
            </w:tcBorders>
            <w:noWrap/>
            <w:vAlign w:val="bottom"/>
            <w:hideMark/>
          </w:tcPr>
          <w:p w14:paraId="5087B948" w14:textId="77777777" w:rsidR="000F32D6" w:rsidRPr="000F32D6" w:rsidRDefault="000F32D6" w:rsidP="000F32D6">
            <w:pPr>
              <w:spacing w:after="0" w:line="240" w:lineRule="auto"/>
              <w:jc w:val="right"/>
              <w:rPr>
                <w:rFonts w:eastAsia="Times New Roman"/>
                <w:color w:val="000000"/>
                <w:lang w:eastAsia="en-GB"/>
              </w:rPr>
            </w:pPr>
            <w:r w:rsidRPr="000F32D6">
              <w:rPr>
                <w:rFonts w:eastAsia="Times New Roman"/>
                <w:color w:val="000000"/>
                <w:lang w:eastAsia="en-GB"/>
              </w:rPr>
              <w:t>£3,000.00</w:t>
            </w:r>
          </w:p>
        </w:tc>
      </w:tr>
      <w:tr w:rsidR="000F32D6" w:rsidRPr="000F32D6" w14:paraId="0101CB28" w14:textId="77777777" w:rsidTr="000F32D6">
        <w:trPr>
          <w:trHeight w:val="315"/>
        </w:trPr>
        <w:tc>
          <w:tcPr>
            <w:tcW w:w="2420" w:type="dxa"/>
            <w:tcBorders>
              <w:top w:val="nil"/>
              <w:left w:val="single" w:sz="4" w:space="0" w:color="auto"/>
              <w:bottom w:val="single" w:sz="4" w:space="0" w:color="auto"/>
              <w:right w:val="single" w:sz="4" w:space="0" w:color="auto"/>
            </w:tcBorders>
            <w:shd w:val="clear" w:color="000000" w:fill="FFC000"/>
            <w:noWrap/>
            <w:vAlign w:val="bottom"/>
            <w:hideMark/>
          </w:tcPr>
          <w:p w14:paraId="6AB319B6" w14:textId="77777777" w:rsidR="000F32D6" w:rsidRPr="000F32D6" w:rsidRDefault="000F32D6" w:rsidP="000F32D6">
            <w:pPr>
              <w:spacing w:after="0" w:line="240" w:lineRule="auto"/>
              <w:rPr>
                <w:rFonts w:eastAsia="Times New Roman"/>
                <w:i/>
                <w:iCs/>
                <w:color w:val="FFFFFF"/>
                <w:lang w:eastAsia="en-GB"/>
              </w:rPr>
            </w:pPr>
            <w:r w:rsidRPr="000F32D6">
              <w:rPr>
                <w:rFonts w:eastAsia="Times New Roman"/>
                <w:i/>
                <w:iCs/>
                <w:color w:val="FFFFFF"/>
                <w:lang w:eastAsia="en-GB"/>
              </w:rPr>
              <w:t xml:space="preserve">Closing Balance </w:t>
            </w:r>
          </w:p>
        </w:tc>
        <w:tc>
          <w:tcPr>
            <w:tcW w:w="1240" w:type="dxa"/>
            <w:tcBorders>
              <w:top w:val="nil"/>
              <w:left w:val="nil"/>
              <w:bottom w:val="single" w:sz="4" w:space="0" w:color="auto"/>
              <w:right w:val="single" w:sz="4" w:space="0" w:color="auto"/>
            </w:tcBorders>
            <w:noWrap/>
            <w:vAlign w:val="bottom"/>
            <w:hideMark/>
          </w:tcPr>
          <w:p w14:paraId="73EE4883"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£25,000.00</w:t>
            </w:r>
          </w:p>
        </w:tc>
        <w:tc>
          <w:tcPr>
            <w:tcW w:w="1240" w:type="dxa"/>
            <w:tcBorders>
              <w:top w:val="nil"/>
              <w:left w:val="nil"/>
              <w:bottom w:val="single" w:sz="4" w:space="0" w:color="auto"/>
              <w:right w:val="single" w:sz="4" w:space="0" w:color="auto"/>
            </w:tcBorders>
            <w:noWrap/>
            <w:vAlign w:val="bottom"/>
            <w:hideMark/>
          </w:tcPr>
          <w:p w14:paraId="1760C1ED"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£26,000.00</w:t>
            </w:r>
          </w:p>
        </w:tc>
        <w:tc>
          <w:tcPr>
            <w:tcW w:w="1240" w:type="dxa"/>
            <w:tcBorders>
              <w:top w:val="nil"/>
              <w:left w:val="nil"/>
              <w:bottom w:val="single" w:sz="4" w:space="0" w:color="auto"/>
              <w:right w:val="single" w:sz="4" w:space="0" w:color="auto"/>
            </w:tcBorders>
            <w:noWrap/>
            <w:vAlign w:val="bottom"/>
            <w:hideMark/>
          </w:tcPr>
          <w:p w14:paraId="75FC7025"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£32,000.00</w:t>
            </w:r>
          </w:p>
        </w:tc>
        <w:tc>
          <w:tcPr>
            <w:tcW w:w="1240" w:type="dxa"/>
            <w:tcBorders>
              <w:top w:val="nil"/>
              <w:left w:val="nil"/>
              <w:bottom w:val="single" w:sz="4" w:space="0" w:color="auto"/>
              <w:right w:val="single" w:sz="4" w:space="0" w:color="auto"/>
            </w:tcBorders>
            <w:noWrap/>
            <w:vAlign w:val="bottom"/>
            <w:hideMark/>
          </w:tcPr>
          <w:p w14:paraId="70672D7B"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£35,000.00</w:t>
            </w:r>
          </w:p>
        </w:tc>
        <w:tc>
          <w:tcPr>
            <w:tcW w:w="1240" w:type="dxa"/>
            <w:tcBorders>
              <w:top w:val="nil"/>
              <w:left w:val="nil"/>
              <w:bottom w:val="single" w:sz="4" w:space="0" w:color="auto"/>
              <w:right w:val="single" w:sz="4" w:space="0" w:color="auto"/>
            </w:tcBorders>
            <w:noWrap/>
            <w:vAlign w:val="bottom"/>
            <w:hideMark/>
          </w:tcPr>
          <w:p w14:paraId="4148B335"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£37,000.00</w:t>
            </w:r>
          </w:p>
        </w:tc>
        <w:tc>
          <w:tcPr>
            <w:tcW w:w="1240" w:type="dxa"/>
            <w:tcBorders>
              <w:top w:val="nil"/>
              <w:left w:val="nil"/>
              <w:bottom w:val="single" w:sz="4" w:space="0" w:color="auto"/>
              <w:right w:val="single" w:sz="4" w:space="0" w:color="auto"/>
            </w:tcBorders>
            <w:noWrap/>
            <w:vAlign w:val="bottom"/>
            <w:hideMark/>
          </w:tcPr>
          <w:p w14:paraId="1D0FC4E8" w14:textId="77777777" w:rsidR="000F32D6" w:rsidRPr="000F32D6" w:rsidRDefault="000F32D6" w:rsidP="000F32D6">
            <w:pPr>
              <w:spacing w:after="0" w:line="240" w:lineRule="auto"/>
              <w:jc w:val="right"/>
              <w:rPr>
                <w:rFonts w:eastAsia="Times New Roman"/>
                <w:color w:val="FF0000"/>
                <w:lang w:eastAsia="en-GB"/>
              </w:rPr>
            </w:pPr>
            <w:r w:rsidRPr="000F32D6">
              <w:rPr>
                <w:rFonts w:eastAsia="Times New Roman"/>
                <w:color w:val="FF0000"/>
                <w:lang w:eastAsia="en-GB"/>
              </w:rPr>
              <w:t>£40,000.00</w:t>
            </w:r>
          </w:p>
        </w:tc>
      </w:tr>
    </w:tbl>
    <w:p w14:paraId="1C3EACD9" w14:textId="77777777" w:rsidR="000F32D6" w:rsidRDefault="000F32D6" w:rsidP="004B2BF5">
      <w:pPr>
        <w:spacing w:after="0" w:line="240" w:lineRule="auto"/>
        <w:rPr>
          <w:rFonts w:asciiTheme="majorHAnsi" w:hAnsiTheme="majorHAnsi" w:cstheme="majorHAnsi"/>
          <w:bCs/>
        </w:rPr>
      </w:pPr>
    </w:p>
    <w:p w14:paraId="719D63C8" w14:textId="11FC3A7C" w:rsidR="000F32D6" w:rsidRDefault="000F32D6" w:rsidP="004B2BF5">
      <w:pPr>
        <w:spacing w:after="0" w:line="240" w:lineRule="auto"/>
        <w:rPr>
          <w:rFonts w:asciiTheme="majorHAnsi" w:hAnsiTheme="majorHAnsi" w:cstheme="majorHAnsi"/>
          <w:bCs/>
        </w:rPr>
      </w:pPr>
      <w:r w:rsidRPr="000F32D6">
        <w:rPr>
          <w:rFonts w:asciiTheme="majorHAnsi" w:hAnsiTheme="majorHAnsi" w:cstheme="majorHAnsi"/>
          <w:bCs/>
        </w:rPr>
        <w:t>While the official income statement projects £5,000 net income, the forecast shows the business has the potential to improve margin as fixed investment expenses decline throughout the year.</w:t>
      </w:r>
    </w:p>
    <w:p w14:paraId="10D784D9" w14:textId="77777777" w:rsidR="000F32D6" w:rsidRDefault="000F32D6" w:rsidP="004B2BF5">
      <w:pPr>
        <w:spacing w:after="0" w:line="240" w:lineRule="auto"/>
        <w:rPr>
          <w:rFonts w:asciiTheme="majorHAnsi" w:hAnsiTheme="majorHAnsi" w:cstheme="majorHAnsi"/>
          <w:bCs/>
        </w:rPr>
      </w:pPr>
    </w:p>
    <w:p w14:paraId="5708A19C" w14:textId="77777777" w:rsidR="000F32D6" w:rsidRDefault="000F32D6" w:rsidP="004B2BF5">
      <w:pPr>
        <w:spacing w:after="0" w:line="240" w:lineRule="auto"/>
        <w:rPr>
          <w:rFonts w:asciiTheme="majorHAnsi" w:hAnsiTheme="majorHAnsi" w:cstheme="majorHAnsi"/>
          <w:bCs/>
        </w:rPr>
      </w:pPr>
    </w:p>
    <w:p w14:paraId="3EA47937" w14:textId="77777777" w:rsidR="000F32D6" w:rsidRDefault="000F32D6" w:rsidP="004B2BF5">
      <w:pPr>
        <w:spacing w:after="0" w:line="240" w:lineRule="auto"/>
        <w:rPr>
          <w:rFonts w:asciiTheme="majorHAnsi" w:hAnsiTheme="majorHAnsi" w:cstheme="majorHAnsi"/>
          <w:bCs/>
        </w:rPr>
      </w:pPr>
    </w:p>
    <w:p w14:paraId="5084D5ED" w14:textId="77777777" w:rsidR="000F32D6" w:rsidRDefault="000F32D6" w:rsidP="004B2BF5">
      <w:pPr>
        <w:spacing w:after="0" w:line="240" w:lineRule="auto"/>
        <w:rPr>
          <w:rFonts w:asciiTheme="majorHAnsi" w:hAnsiTheme="majorHAnsi" w:cstheme="majorHAnsi"/>
          <w:bCs/>
        </w:rPr>
      </w:pPr>
    </w:p>
    <w:p w14:paraId="4845B95D" w14:textId="77777777" w:rsidR="000F32D6" w:rsidRDefault="000F32D6" w:rsidP="004B2BF5">
      <w:pPr>
        <w:spacing w:after="0" w:line="240" w:lineRule="auto"/>
        <w:rPr>
          <w:rFonts w:asciiTheme="majorHAnsi" w:hAnsiTheme="majorHAnsi" w:cstheme="majorHAnsi"/>
          <w:bCs/>
        </w:rPr>
      </w:pPr>
    </w:p>
    <w:p w14:paraId="15283127" w14:textId="19502BEC" w:rsidR="000F32D6" w:rsidRDefault="000F32D6" w:rsidP="000F32D6">
      <w:pPr>
        <w:pStyle w:val="Heading2"/>
      </w:pPr>
      <w:bookmarkStart w:id="27" w:name="_Toc204778630"/>
      <w:r>
        <w:lastRenderedPageBreak/>
        <w:t xml:space="preserve">4.3 </w:t>
      </w:r>
      <w:r w:rsidRPr="000F32D6">
        <w:t>Break-Even Analysis</w:t>
      </w:r>
      <w:bookmarkEnd w:id="27"/>
    </w:p>
    <w:p w14:paraId="1140CEE5" w14:textId="77777777" w:rsidR="000F32D6" w:rsidRPr="000F32D6" w:rsidRDefault="000F32D6" w:rsidP="000F32D6"/>
    <w:p w14:paraId="5688ECFB" w14:textId="77777777" w:rsidR="000F32D6" w:rsidRPr="000F32D6" w:rsidRDefault="000F32D6" w:rsidP="000F32D6">
      <w:r w:rsidRPr="000F32D6">
        <w:t xml:space="preserve">RK </w:t>
      </w:r>
      <w:proofErr w:type="spellStart"/>
      <w:r w:rsidRPr="000F32D6">
        <w:t>Wales’</w:t>
      </w:r>
      <w:proofErr w:type="spellEnd"/>
      <w:r w:rsidRPr="000F32D6">
        <w:t xml:space="preserve"> monthly operating costs average around £19,000, meaning the business needs to generate a minimum of £19,000/month to cover outgoings. Based on current client acquisition rates, the business breaks even by delivering just two to three refurbishment projects per month, depending on scope and value.</w:t>
      </w:r>
    </w:p>
    <w:p w14:paraId="5DF84707" w14:textId="77777777" w:rsidR="000F32D6" w:rsidRPr="000F32D6" w:rsidRDefault="000F32D6" w:rsidP="000F32D6">
      <w:r w:rsidRPr="000F32D6">
        <w:t>This is a manageable and achievable target, particularly given repeat work from investors and developers who value reliability over low bids.</w:t>
      </w:r>
    </w:p>
    <w:p w14:paraId="77A28408" w14:textId="77777777" w:rsidR="000F32D6" w:rsidRDefault="000F32D6" w:rsidP="000F32D6"/>
    <w:p w14:paraId="2D9A18DA" w14:textId="69BA0E61" w:rsidR="000F32D6" w:rsidRDefault="000F32D6" w:rsidP="000F32D6">
      <w:pPr>
        <w:pStyle w:val="Heading2"/>
      </w:pPr>
      <w:bookmarkStart w:id="28" w:name="_Toc204778631"/>
      <w:r>
        <w:t xml:space="preserve">4.4 </w:t>
      </w:r>
      <w:r w:rsidRPr="000F32D6">
        <w:t>Capital Reinvestment Strategy</w:t>
      </w:r>
      <w:bookmarkEnd w:id="28"/>
    </w:p>
    <w:p w14:paraId="4B78EB68" w14:textId="77777777" w:rsidR="000F32D6" w:rsidRDefault="000F32D6" w:rsidP="000F32D6"/>
    <w:p w14:paraId="76D74D0C" w14:textId="77777777" w:rsidR="000F32D6" w:rsidRPr="000F32D6" w:rsidRDefault="000F32D6" w:rsidP="000F32D6">
      <w:r w:rsidRPr="000F32D6">
        <w:t>In its current growth phase, the company is reinvesting profits into:</w:t>
      </w:r>
    </w:p>
    <w:p w14:paraId="3CB3CD6E" w14:textId="77777777" w:rsidR="000F32D6" w:rsidRPr="000F32D6" w:rsidRDefault="000F32D6" w:rsidP="000F32D6">
      <w:pPr>
        <w:numPr>
          <w:ilvl w:val="0"/>
          <w:numId w:val="49"/>
        </w:numPr>
      </w:pPr>
      <w:r w:rsidRPr="000F32D6">
        <w:t>Purchasing high-spec equipment to reduce reliance on hire</w:t>
      </w:r>
    </w:p>
    <w:p w14:paraId="58DCC967" w14:textId="77777777" w:rsidR="000F32D6" w:rsidRPr="000F32D6" w:rsidRDefault="000F32D6" w:rsidP="000F32D6">
      <w:pPr>
        <w:numPr>
          <w:ilvl w:val="0"/>
          <w:numId w:val="49"/>
        </w:numPr>
      </w:pPr>
      <w:r w:rsidRPr="000F32D6">
        <w:t>Upgrading vehicle storage and transport capacity</w:t>
      </w:r>
    </w:p>
    <w:p w14:paraId="29276975" w14:textId="77777777" w:rsidR="000F32D6" w:rsidRPr="000F32D6" w:rsidRDefault="000F32D6" w:rsidP="000F32D6">
      <w:pPr>
        <w:numPr>
          <w:ilvl w:val="0"/>
          <w:numId w:val="49"/>
        </w:numPr>
      </w:pPr>
      <w:r w:rsidRPr="000F32D6">
        <w:t>Branding materials and digital infrastructure (project reports, client folders)</w:t>
      </w:r>
    </w:p>
    <w:p w14:paraId="68057CB3" w14:textId="77777777" w:rsidR="000F32D6" w:rsidRPr="000F32D6" w:rsidRDefault="000F32D6" w:rsidP="000F32D6">
      <w:pPr>
        <w:numPr>
          <w:ilvl w:val="0"/>
          <w:numId w:val="49"/>
        </w:numPr>
      </w:pPr>
      <w:r w:rsidRPr="000F32D6">
        <w:t>Expanding workforce through training and new hires</w:t>
      </w:r>
    </w:p>
    <w:p w14:paraId="358DDF01" w14:textId="77777777" w:rsidR="000F32D6" w:rsidRPr="000F32D6" w:rsidRDefault="000F32D6" w:rsidP="000F32D6">
      <w:pPr>
        <w:numPr>
          <w:ilvl w:val="0"/>
          <w:numId w:val="49"/>
        </w:numPr>
      </w:pPr>
      <w:r w:rsidRPr="000F32D6">
        <w:t>Ensuring all compliance certifications are kept up to date</w:t>
      </w:r>
    </w:p>
    <w:p w14:paraId="1EB10C7F" w14:textId="77777777" w:rsidR="000F32D6" w:rsidRPr="000F32D6" w:rsidRDefault="000F32D6" w:rsidP="000F32D6">
      <w:r w:rsidRPr="000F32D6">
        <w:t xml:space="preserve">According to </w:t>
      </w:r>
      <w:proofErr w:type="spellStart"/>
      <w:r w:rsidRPr="000F32D6">
        <w:t>Atrill</w:t>
      </w:r>
      <w:proofErr w:type="spellEnd"/>
      <w:r w:rsidRPr="000F32D6">
        <w:t xml:space="preserve"> and McLaney (2019), capital reinvestment in equipment and branding during early-stage growth allows businesses to position themselves competitively and improve long-term ROI — even when it lowers immediate profitability.</w:t>
      </w:r>
    </w:p>
    <w:p w14:paraId="09392388" w14:textId="61C7EB41" w:rsidR="000F32D6" w:rsidRPr="000F32D6" w:rsidRDefault="000F32D6" w:rsidP="000F32D6">
      <w:r w:rsidRPr="000F32D6">
        <w:t>RK Wales approach mirrors this philosophy, ensuring that every expenditure supports long-term business credibility and client trust.</w:t>
      </w:r>
    </w:p>
    <w:p w14:paraId="0A738F27" w14:textId="77777777" w:rsidR="000F32D6" w:rsidRDefault="000F32D6" w:rsidP="000F32D6"/>
    <w:p w14:paraId="308E6510" w14:textId="3424467B" w:rsidR="000F32D6" w:rsidRPr="000F32D6" w:rsidRDefault="000F32D6" w:rsidP="000F32D6">
      <w:pPr>
        <w:pStyle w:val="Heading2"/>
      </w:pPr>
      <w:bookmarkStart w:id="29" w:name="_Toc204778632"/>
      <w:r>
        <w:t xml:space="preserve">4.5 </w:t>
      </w:r>
      <w:r w:rsidRPr="000F32D6">
        <w:t>Growth Potential and Scalability</w:t>
      </w:r>
      <w:bookmarkEnd w:id="29"/>
    </w:p>
    <w:p w14:paraId="0CA519F8" w14:textId="77777777" w:rsidR="000F32D6" w:rsidRDefault="000F32D6" w:rsidP="000F32D6"/>
    <w:p w14:paraId="044C56DF" w14:textId="77777777" w:rsidR="000F32D6" w:rsidRPr="000F32D6" w:rsidRDefault="000F32D6" w:rsidP="000F32D6">
      <w:r w:rsidRPr="000F32D6">
        <w:t>As the company’s operational systems become more efficient, profitability is expected to increase. By reducing time per project, increasing job volume, and maintaining current pricing, RK Wales expects to improve net profits by 30–40% in the following financial year, aiming for a minimum £20,000 net income without further capital injection.</w:t>
      </w:r>
    </w:p>
    <w:p w14:paraId="7FAD525E" w14:textId="77777777" w:rsidR="000F32D6" w:rsidRPr="000F32D6" w:rsidRDefault="000F32D6" w:rsidP="000F32D6">
      <w:r w:rsidRPr="000F32D6">
        <w:t>Further growth opportunities include:</w:t>
      </w:r>
    </w:p>
    <w:p w14:paraId="373DEA8B" w14:textId="77777777" w:rsidR="000F32D6" w:rsidRPr="000F32D6" w:rsidRDefault="000F32D6" w:rsidP="000F32D6">
      <w:pPr>
        <w:numPr>
          <w:ilvl w:val="0"/>
          <w:numId w:val="50"/>
        </w:numPr>
      </w:pPr>
      <w:r w:rsidRPr="000F32D6">
        <w:t>Taking on projects valued over £45,000 once technical knowledge and support structures are fully in place</w:t>
      </w:r>
    </w:p>
    <w:p w14:paraId="5D5B9CDA" w14:textId="77777777" w:rsidR="000F32D6" w:rsidRPr="000F32D6" w:rsidRDefault="000F32D6" w:rsidP="000F32D6">
      <w:pPr>
        <w:numPr>
          <w:ilvl w:val="0"/>
          <w:numId w:val="50"/>
        </w:numPr>
      </w:pPr>
      <w:r w:rsidRPr="000F32D6">
        <w:t>Offering project management services to investors remotely</w:t>
      </w:r>
    </w:p>
    <w:p w14:paraId="1E9D468B" w14:textId="77777777" w:rsidR="000F32D6" w:rsidRPr="000F32D6" w:rsidRDefault="000F32D6" w:rsidP="000F32D6">
      <w:pPr>
        <w:numPr>
          <w:ilvl w:val="0"/>
          <w:numId w:val="50"/>
        </w:numPr>
      </w:pPr>
      <w:r w:rsidRPr="000F32D6">
        <w:lastRenderedPageBreak/>
        <w:t>Creating templated “refurb packs” with fixed pricing for popular layouts</w:t>
      </w:r>
    </w:p>
    <w:p w14:paraId="12A7F2D4" w14:textId="77777777" w:rsidR="000F32D6" w:rsidRPr="000F32D6" w:rsidRDefault="000F32D6" w:rsidP="000F32D6">
      <w:r w:rsidRPr="000F32D6">
        <w:t>These scalable models will allow the business to grow without proportionally increasing labour costs — a strategy that, as advised by Jolly (2003), is key to sustainable expansion in SME environments.</w:t>
      </w:r>
    </w:p>
    <w:p w14:paraId="0A689A99" w14:textId="77777777" w:rsidR="000F32D6" w:rsidRDefault="000F32D6" w:rsidP="000F32D6"/>
    <w:p w14:paraId="7C07FC6F" w14:textId="463A2931" w:rsidR="005C6E84" w:rsidRDefault="005C6E84" w:rsidP="005C6E84">
      <w:pPr>
        <w:pStyle w:val="Heading1"/>
        <w:numPr>
          <w:ilvl w:val="0"/>
          <w:numId w:val="35"/>
        </w:numPr>
      </w:pPr>
      <w:bookmarkStart w:id="30" w:name="_Toc204778633"/>
      <w:r w:rsidRPr="005C6E84">
        <w:t>Conclusion &amp; Evaluation</w:t>
      </w:r>
      <w:bookmarkEnd w:id="30"/>
    </w:p>
    <w:p w14:paraId="4B667AE0" w14:textId="77777777" w:rsidR="005C6E84" w:rsidRDefault="005C6E84" w:rsidP="005C6E84"/>
    <w:p w14:paraId="1A851EC2" w14:textId="77777777" w:rsidR="00BE2BA1" w:rsidRPr="00BE2BA1" w:rsidRDefault="00BE2BA1" w:rsidP="00BE2BA1">
      <w:r w:rsidRPr="00BE2BA1">
        <w:t xml:space="preserve">RK Wales Property Management Ltd continues to develop as a highly respected, investor-oriented construction and refurbishment company across South Wales. This business plan captures the company’s current position and sets out a clear path for sustainable growth and future profitability. With an annual turnover of £280,000 and a net income of £5,000, the business is operating with intentional reinvestment to build a stronger foundation for scaling up </w:t>
      </w:r>
      <w:proofErr w:type="gramStart"/>
      <w:r w:rsidRPr="00BE2BA1">
        <w:t>in the near future</w:t>
      </w:r>
      <w:proofErr w:type="gramEnd"/>
      <w:r w:rsidRPr="00BE2BA1">
        <w:t>.</w:t>
      </w:r>
    </w:p>
    <w:p w14:paraId="7FF9B35E" w14:textId="77777777" w:rsidR="00BE2BA1" w:rsidRPr="00BE2BA1" w:rsidRDefault="00BE2BA1" w:rsidP="00BE2BA1">
      <w:r w:rsidRPr="00BE2BA1">
        <w:t>The lean operational model — based on experienced in-house tradesmen, reliable subcontractors, and project-focused systems — allows RK Wales to deliver high-quality refurbishments efficiently. The company’s flexibility in managing projects ranging from £8,000 to £45,000 enables it to serve both small-scale investors and larger, more structured developers. Job turnover is well-managed, with progress updates, image documentation, and clear communication all forming part of the company’s competitive edge.</w:t>
      </w:r>
    </w:p>
    <w:p w14:paraId="29631483" w14:textId="77777777" w:rsidR="00BE2BA1" w:rsidRPr="00BE2BA1" w:rsidRDefault="00BE2BA1" w:rsidP="00BE2BA1">
      <w:r w:rsidRPr="00BE2BA1">
        <w:t>While marketing spend remains relatively low, it is targeted toward platforms and contacts that consistently deliver qualified leads. These include property sourcing agents, housing associations, and repeat clients. The goal for the coming year is to consolidate this position and steadily increase client volume without compromising quality.</w:t>
      </w:r>
    </w:p>
    <w:p w14:paraId="5916A6B4" w14:textId="77777777" w:rsidR="00BE2BA1" w:rsidRPr="00BE2BA1" w:rsidRDefault="00BE2BA1" w:rsidP="00BE2BA1">
      <w:r w:rsidRPr="00BE2BA1">
        <w:t>Financially, the company has shown that it can operate profitably even while reinvesting heavily into equipment, transport, and digital tools. The £5,000 profit is modest in percentage terms, but as Burns (2016) explains, early-stage businesses that reinvest revenue into operational capacity are often best placed for long-term gains. RK Wales is laying the groundwork for exactly that.</w:t>
      </w:r>
    </w:p>
    <w:p w14:paraId="55061B4F" w14:textId="77777777" w:rsidR="00BE2BA1" w:rsidRPr="00BE2BA1" w:rsidRDefault="00BE2BA1" w:rsidP="00BE2BA1">
      <w:r w:rsidRPr="00BE2BA1">
        <w:t>The company is also building resilience by keeping administrative systems cloud-based, monitoring costs closely, and reducing reliance on hired tools or one-off labour. As Perren and Elliott (2011) suggest, it is this kind of operational awareness — not just ambition — that defines the small businesses that survive and thrive.</w:t>
      </w:r>
    </w:p>
    <w:p w14:paraId="66529052" w14:textId="77777777" w:rsidR="00BE2BA1" w:rsidRPr="00BE2BA1" w:rsidRDefault="00BE2BA1" w:rsidP="00BE2BA1">
      <w:r w:rsidRPr="00BE2BA1">
        <w:t>In conclusion, RK Wales Property Management Ltd is well-positioned for growth. With its professional standards, adaptable structure, and expanding client base, it has both the ambition and systems to become a leading regional refurbishment contractor. The next 12 months will be focused on optimising pricing, reducing overheads, and targeting larger-value projects to increase net profit and business equity.</w:t>
      </w:r>
    </w:p>
    <w:p w14:paraId="3EF468D2" w14:textId="77777777" w:rsidR="005C6E84" w:rsidRPr="005C6E84" w:rsidRDefault="005C6E84" w:rsidP="005C6E84"/>
    <w:p w14:paraId="0F6B5916" w14:textId="77777777" w:rsidR="000F32D6" w:rsidRPr="000F32D6" w:rsidRDefault="000F32D6" w:rsidP="000F32D6"/>
    <w:p w14:paraId="0211B4FF" w14:textId="77777777" w:rsidR="00583709" w:rsidRPr="00505353" w:rsidRDefault="008312FD" w:rsidP="004B2BF5">
      <w:pPr>
        <w:pStyle w:val="Heading1"/>
        <w:spacing w:before="0" w:line="240" w:lineRule="auto"/>
        <w:rPr>
          <w:rFonts w:asciiTheme="majorHAnsi" w:hAnsiTheme="majorHAnsi" w:cstheme="majorHAnsi"/>
          <w:bCs/>
        </w:rPr>
      </w:pPr>
      <w:bookmarkStart w:id="31" w:name="_Toc204778634"/>
      <w:r w:rsidRPr="00505353">
        <w:rPr>
          <w:rFonts w:asciiTheme="majorHAnsi" w:hAnsiTheme="majorHAnsi" w:cstheme="majorHAnsi"/>
          <w:bCs/>
        </w:rPr>
        <w:lastRenderedPageBreak/>
        <w:t>References</w:t>
      </w:r>
      <w:bookmarkEnd w:id="31"/>
    </w:p>
    <w:p w14:paraId="414D9778" w14:textId="77777777" w:rsidR="008104C1" w:rsidRDefault="008104C1" w:rsidP="004B2BF5">
      <w:pPr>
        <w:spacing w:after="0" w:line="240" w:lineRule="auto"/>
        <w:rPr>
          <w:rFonts w:asciiTheme="majorHAnsi" w:hAnsiTheme="majorHAnsi" w:cstheme="majorHAnsi"/>
          <w:bCs/>
        </w:rPr>
      </w:pPr>
    </w:p>
    <w:p w14:paraId="3D86FCB3" w14:textId="2D40B872" w:rsidR="00AD04CF" w:rsidRDefault="00AD04CF" w:rsidP="00122B0B">
      <w:pPr>
        <w:pStyle w:val="NormalWeb"/>
        <w:numPr>
          <w:ilvl w:val="0"/>
          <w:numId w:val="34"/>
        </w:numPr>
        <w:shd w:val="clear" w:color="auto" w:fill="FFFFFF"/>
        <w:spacing w:before="0" w:beforeAutospacing="0" w:after="0" w:afterAutospacing="0"/>
        <w:rPr>
          <w:rFonts w:ascii="Segoe UI" w:hAnsi="Segoe UI" w:cs="Segoe UI"/>
          <w:color w:val="0D0D0D"/>
        </w:rPr>
      </w:pPr>
      <w:proofErr w:type="spellStart"/>
      <w:r w:rsidRPr="00AD04CF">
        <w:rPr>
          <w:rFonts w:ascii="Segoe UI" w:hAnsi="Segoe UI" w:cs="Segoe UI"/>
          <w:color w:val="0D0D0D"/>
        </w:rPr>
        <w:t>Atrill</w:t>
      </w:r>
      <w:proofErr w:type="spellEnd"/>
      <w:r w:rsidRPr="00AD04CF">
        <w:rPr>
          <w:rFonts w:ascii="Segoe UI" w:hAnsi="Segoe UI" w:cs="Segoe UI"/>
          <w:color w:val="0D0D0D"/>
        </w:rPr>
        <w:t xml:space="preserve">, P., &amp; McLaney, E. (2019). </w:t>
      </w:r>
      <w:r w:rsidRPr="00AD04CF">
        <w:rPr>
          <w:rFonts w:ascii="Segoe UI" w:hAnsi="Segoe UI" w:cs="Segoe UI"/>
          <w:i/>
          <w:iCs/>
          <w:color w:val="0D0D0D"/>
        </w:rPr>
        <w:t>Accounting and Finance for Non-Specialists</w:t>
      </w:r>
      <w:r w:rsidRPr="00AD04CF">
        <w:rPr>
          <w:rFonts w:ascii="Segoe UI" w:hAnsi="Segoe UI" w:cs="Segoe UI"/>
          <w:color w:val="0D0D0D"/>
        </w:rPr>
        <w:t xml:space="preserve"> (11th ed.). Pearson.</w:t>
      </w:r>
    </w:p>
    <w:p w14:paraId="51F6D4FA" w14:textId="1FEC0BA2" w:rsidR="00122B0B" w:rsidRDefault="00122B0B" w:rsidP="00122B0B">
      <w:pPr>
        <w:pStyle w:val="NormalWeb"/>
        <w:numPr>
          <w:ilvl w:val="0"/>
          <w:numId w:val="34"/>
        </w:numPr>
        <w:shd w:val="clear" w:color="auto" w:fill="FFFFFF"/>
        <w:spacing w:before="0" w:beforeAutospacing="0" w:after="0" w:afterAutospacing="0"/>
        <w:rPr>
          <w:rFonts w:ascii="Segoe UI" w:hAnsi="Segoe UI" w:cs="Segoe UI"/>
          <w:color w:val="0D0D0D"/>
        </w:rPr>
      </w:pPr>
      <w:r>
        <w:rPr>
          <w:rFonts w:ascii="Segoe UI" w:hAnsi="Segoe UI" w:cs="Segoe UI"/>
          <w:color w:val="0D0D0D"/>
        </w:rPr>
        <w:t>Brookson, R. (2016). </w:t>
      </w:r>
      <w:r>
        <w:rPr>
          <w:rStyle w:val="Emphasis"/>
          <w:rFonts w:ascii="Segoe UI" w:hAnsi="Segoe UI" w:cs="Segoe UI"/>
          <w:color w:val="0D0D0D"/>
        </w:rPr>
        <w:t>Managing construction operations: A guide for small contractors</w:t>
      </w:r>
      <w:r>
        <w:rPr>
          <w:rFonts w:ascii="Segoe UI" w:hAnsi="Segoe UI" w:cs="Segoe UI"/>
          <w:color w:val="0D0D0D"/>
        </w:rPr>
        <w:t>. Routledge.</w:t>
      </w:r>
    </w:p>
    <w:p w14:paraId="182F798B" w14:textId="1A051F02" w:rsidR="005C6E84" w:rsidRDefault="005C6E84" w:rsidP="00122B0B">
      <w:pPr>
        <w:pStyle w:val="NormalWeb"/>
        <w:numPr>
          <w:ilvl w:val="0"/>
          <w:numId w:val="34"/>
        </w:numPr>
        <w:shd w:val="clear" w:color="auto" w:fill="FFFFFF"/>
        <w:spacing w:before="0" w:beforeAutospacing="0" w:after="0" w:afterAutospacing="0"/>
        <w:rPr>
          <w:rFonts w:ascii="Segoe UI" w:hAnsi="Segoe UI" w:cs="Segoe UI"/>
          <w:color w:val="0D0D0D"/>
        </w:rPr>
      </w:pPr>
      <w:r w:rsidRPr="005C6E84">
        <w:rPr>
          <w:rFonts w:ascii="Segoe UI" w:hAnsi="Segoe UI" w:cs="Segoe UI"/>
          <w:color w:val="0D0D0D"/>
        </w:rPr>
        <w:t xml:space="preserve">Burns, P. (2016). </w:t>
      </w:r>
      <w:r w:rsidRPr="005C6E84">
        <w:rPr>
          <w:rFonts w:ascii="Segoe UI" w:hAnsi="Segoe UI" w:cs="Segoe UI"/>
          <w:i/>
          <w:iCs/>
          <w:color w:val="0D0D0D"/>
        </w:rPr>
        <w:t>Entrepreneurship and Small Business</w:t>
      </w:r>
      <w:r w:rsidRPr="005C6E84">
        <w:rPr>
          <w:rFonts w:ascii="Segoe UI" w:hAnsi="Segoe UI" w:cs="Segoe UI"/>
          <w:color w:val="0D0D0D"/>
        </w:rPr>
        <w:t xml:space="preserve"> (4th ed.). Palgrave Macmillan.</w:t>
      </w:r>
    </w:p>
    <w:p w14:paraId="6B4AA419" w14:textId="14B8FF86" w:rsidR="000F32D6" w:rsidRDefault="00AD04CF" w:rsidP="00122B0B">
      <w:pPr>
        <w:pStyle w:val="NormalWeb"/>
        <w:numPr>
          <w:ilvl w:val="0"/>
          <w:numId w:val="34"/>
        </w:numPr>
        <w:shd w:val="clear" w:color="auto" w:fill="FFFFFF"/>
        <w:spacing w:before="0" w:beforeAutospacing="0" w:after="0" w:afterAutospacing="0"/>
        <w:rPr>
          <w:rFonts w:ascii="Segoe UI" w:hAnsi="Segoe UI" w:cs="Segoe UI"/>
          <w:color w:val="0D0D0D"/>
        </w:rPr>
      </w:pPr>
      <w:r w:rsidRPr="00AD04CF">
        <w:rPr>
          <w:rFonts w:ascii="Segoe UI" w:hAnsi="Segoe UI" w:cs="Segoe UI"/>
          <w:color w:val="0D0D0D"/>
        </w:rPr>
        <w:t xml:space="preserve">Dyson, J. R. (2010). </w:t>
      </w:r>
      <w:r w:rsidRPr="00AD04CF">
        <w:rPr>
          <w:rFonts w:ascii="Segoe UI" w:hAnsi="Segoe UI" w:cs="Segoe UI"/>
          <w:i/>
          <w:iCs/>
          <w:color w:val="0D0D0D"/>
        </w:rPr>
        <w:t>Accounting for Non-Accounting Students</w:t>
      </w:r>
      <w:r w:rsidRPr="00AD04CF">
        <w:rPr>
          <w:rFonts w:ascii="Segoe UI" w:hAnsi="Segoe UI" w:cs="Segoe UI"/>
          <w:color w:val="0D0D0D"/>
        </w:rPr>
        <w:t xml:space="preserve"> (8th ed.). Pearson.</w:t>
      </w:r>
    </w:p>
    <w:p w14:paraId="2A2C240C" w14:textId="266AD3C3" w:rsidR="00122B0B" w:rsidRPr="00122B0B" w:rsidRDefault="00122B0B" w:rsidP="00122B0B">
      <w:pPr>
        <w:pStyle w:val="NormalWeb"/>
        <w:numPr>
          <w:ilvl w:val="0"/>
          <w:numId w:val="34"/>
        </w:numPr>
        <w:shd w:val="clear" w:color="auto" w:fill="FFFFFF"/>
        <w:spacing w:before="0" w:beforeAutospacing="0" w:after="0" w:afterAutospacing="0"/>
        <w:rPr>
          <w:rFonts w:ascii="Segoe UI" w:hAnsi="Segoe UI" w:cs="Segoe UI"/>
          <w:color w:val="0D0D0D"/>
        </w:rPr>
      </w:pPr>
      <w:r>
        <w:rPr>
          <w:rFonts w:ascii="Segoe UI" w:hAnsi="Segoe UI" w:cs="Segoe UI"/>
          <w:color w:val="0D0D0D"/>
        </w:rPr>
        <w:t>Fewings, P. (2013). </w:t>
      </w:r>
      <w:r>
        <w:rPr>
          <w:rStyle w:val="Emphasis"/>
          <w:rFonts w:ascii="Segoe UI" w:hAnsi="Segoe UI" w:cs="Segoe UI"/>
          <w:color w:val="0D0D0D"/>
        </w:rPr>
        <w:t>Construction Project Management: An Integrated Approach</w:t>
      </w:r>
      <w:r>
        <w:rPr>
          <w:rFonts w:ascii="Segoe UI" w:hAnsi="Segoe UI" w:cs="Segoe UI"/>
          <w:color w:val="0D0D0D"/>
        </w:rPr>
        <w:t>. Taylor &amp; Francis.</w:t>
      </w:r>
    </w:p>
    <w:p w14:paraId="59E48272" w14:textId="384AD723" w:rsidR="008104C1" w:rsidRDefault="008104C1" w:rsidP="008104C1">
      <w:pPr>
        <w:pStyle w:val="ListParagraph"/>
        <w:numPr>
          <w:ilvl w:val="0"/>
          <w:numId w:val="34"/>
        </w:numPr>
        <w:rPr>
          <w:rFonts w:asciiTheme="majorHAnsi" w:hAnsiTheme="majorHAnsi" w:cstheme="majorHAnsi"/>
          <w:bCs/>
        </w:rPr>
      </w:pPr>
      <w:r w:rsidRPr="008104C1">
        <w:rPr>
          <w:rFonts w:asciiTheme="majorHAnsi" w:hAnsiTheme="majorHAnsi" w:cstheme="majorHAnsi"/>
          <w:bCs/>
        </w:rPr>
        <w:t xml:space="preserve">Hinks, J., &amp; Cook, G. (2021). </w:t>
      </w:r>
      <w:r w:rsidRPr="008104C1">
        <w:rPr>
          <w:rFonts w:asciiTheme="majorHAnsi" w:hAnsiTheme="majorHAnsi" w:cstheme="majorHAnsi"/>
          <w:bCs/>
          <w:i/>
          <w:iCs/>
        </w:rPr>
        <w:t>Management of construction firms: A project-based approach</w:t>
      </w:r>
      <w:r w:rsidRPr="008104C1">
        <w:rPr>
          <w:rFonts w:asciiTheme="majorHAnsi" w:hAnsiTheme="majorHAnsi" w:cstheme="majorHAnsi"/>
          <w:bCs/>
        </w:rPr>
        <w:t>. Routledge.</w:t>
      </w:r>
    </w:p>
    <w:p w14:paraId="337E0F28" w14:textId="56F1226A" w:rsidR="00AD04CF" w:rsidRPr="00AD04CF" w:rsidRDefault="00AD04CF" w:rsidP="008104C1">
      <w:pPr>
        <w:pStyle w:val="ListParagraph"/>
        <w:numPr>
          <w:ilvl w:val="0"/>
          <w:numId w:val="34"/>
        </w:numPr>
        <w:rPr>
          <w:rFonts w:asciiTheme="majorHAnsi" w:hAnsiTheme="majorHAnsi" w:cstheme="majorHAnsi"/>
          <w:bCs/>
        </w:rPr>
      </w:pPr>
      <w:r w:rsidRPr="00AD04CF">
        <w:rPr>
          <w:rFonts w:asciiTheme="majorHAnsi" w:hAnsiTheme="majorHAnsi" w:cstheme="majorHAnsi"/>
          <w:bCs/>
          <w:lang w:val="en-GB"/>
        </w:rPr>
        <w:t xml:space="preserve">Jolly, A. (2003). </w:t>
      </w:r>
      <w:r w:rsidRPr="00AD04CF">
        <w:rPr>
          <w:rFonts w:asciiTheme="majorHAnsi" w:hAnsiTheme="majorHAnsi" w:cstheme="majorHAnsi"/>
          <w:bCs/>
          <w:i/>
          <w:iCs/>
          <w:lang w:val="en-GB"/>
        </w:rPr>
        <w:t xml:space="preserve">The Growing Business Handbook: Inspiration and Advice from Successful Entrepreneurs and </w:t>
      </w:r>
      <w:proofErr w:type="gramStart"/>
      <w:r w:rsidRPr="00AD04CF">
        <w:rPr>
          <w:rFonts w:asciiTheme="majorHAnsi" w:hAnsiTheme="majorHAnsi" w:cstheme="majorHAnsi"/>
          <w:bCs/>
          <w:i/>
          <w:iCs/>
          <w:lang w:val="en-GB"/>
        </w:rPr>
        <w:t>Fast Growing</w:t>
      </w:r>
      <w:proofErr w:type="gramEnd"/>
      <w:r w:rsidRPr="00AD04CF">
        <w:rPr>
          <w:rFonts w:asciiTheme="majorHAnsi" w:hAnsiTheme="majorHAnsi" w:cstheme="majorHAnsi"/>
          <w:bCs/>
          <w:i/>
          <w:iCs/>
          <w:lang w:val="en-GB"/>
        </w:rPr>
        <w:t xml:space="preserve"> UK Companies</w:t>
      </w:r>
      <w:r w:rsidRPr="00AD04CF">
        <w:rPr>
          <w:rFonts w:asciiTheme="majorHAnsi" w:hAnsiTheme="majorHAnsi" w:cstheme="majorHAnsi"/>
          <w:bCs/>
          <w:lang w:val="en-GB"/>
        </w:rPr>
        <w:t>. Kogan Page.</w:t>
      </w:r>
    </w:p>
    <w:p w14:paraId="463509A4" w14:textId="46E0A746" w:rsidR="0010501B" w:rsidRPr="0010501B" w:rsidRDefault="0010501B" w:rsidP="008104C1">
      <w:pPr>
        <w:pStyle w:val="ListParagraph"/>
        <w:numPr>
          <w:ilvl w:val="0"/>
          <w:numId w:val="34"/>
        </w:numPr>
        <w:rPr>
          <w:rFonts w:asciiTheme="majorHAnsi" w:hAnsiTheme="majorHAnsi" w:cstheme="majorHAnsi"/>
          <w:bCs/>
        </w:rPr>
      </w:pPr>
      <w:r w:rsidRPr="0010501B">
        <w:rPr>
          <w:rFonts w:asciiTheme="majorHAnsi" w:hAnsiTheme="majorHAnsi" w:cstheme="majorHAnsi"/>
          <w:bCs/>
          <w:lang w:val="en-GB"/>
        </w:rPr>
        <w:t xml:space="preserve">Kotler, P., &amp; Keller, K. L. (2016). </w:t>
      </w:r>
      <w:r w:rsidRPr="0010501B">
        <w:rPr>
          <w:rFonts w:asciiTheme="majorHAnsi" w:hAnsiTheme="majorHAnsi" w:cstheme="majorHAnsi"/>
          <w:bCs/>
          <w:i/>
          <w:iCs/>
          <w:lang w:val="en-GB"/>
        </w:rPr>
        <w:t>Marketing management</w:t>
      </w:r>
      <w:r w:rsidRPr="0010501B">
        <w:rPr>
          <w:rFonts w:asciiTheme="majorHAnsi" w:hAnsiTheme="majorHAnsi" w:cstheme="majorHAnsi"/>
          <w:bCs/>
          <w:lang w:val="en-GB"/>
        </w:rPr>
        <w:t xml:space="preserve"> (15th ed.). Pearson Education.</w:t>
      </w:r>
    </w:p>
    <w:p w14:paraId="213D4F25" w14:textId="77777777" w:rsidR="00122B0B" w:rsidRDefault="00122B0B" w:rsidP="00122B0B">
      <w:pPr>
        <w:pStyle w:val="NormalWeb"/>
        <w:numPr>
          <w:ilvl w:val="0"/>
          <w:numId w:val="34"/>
        </w:numPr>
        <w:shd w:val="clear" w:color="auto" w:fill="FFFFFF"/>
        <w:spacing w:before="0" w:beforeAutospacing="0" w:after="0" w:afterAutospacing="0"/>
        <w:rPr>
          <w:rFonts w:ascii="Segoe UI" w:hAnsi="Segoe UI" w:cs="Segoe UI"/>
          <w:color w:val="0D0D0D"/>
        </w:rPr>
      </w:pPr>
      <w:r>
        <w:rPr>
          <w:rFonts w:ascii="Segoe UI" w:hAnsi="Segoe UI" w:cs="Segoe UI"/>
          <w:color w:val="0D0D0D"/>
        </w:rPr>
        <w:t>Loosemore, M., Dainty, A., &amp; Lingard, H. (2012). </w:t>
      </w:r>
      <w:r>
        <w:rPr>
          <w:rStyle w:val="Emphasis"/>
          <w:rFonts w:ascii="Segoe UI" w:hAnsi="Segoe UI" w:cs="Segoe UI"/>
          <w:color w:val="0D0D0D"/>
        </w:rPr>
        <w:t>Human resource management in construction projects</w:t>
      </w:r>
      <w:r>
        <w:rPr>
          <w:rFonts w:ascii="Segoe UI" w:hAnsi="Segoe UI" w:cs="Segoe UI"/>
          <w:color w:val="0D0D0D"/>
        </w:rPr>
        <w:t>. Routledge.</w:t>
      </w:r>
    </w:p>
    <w:p w14:paraId="535B23D3" w14:textId="3B46F5D2" w:rsidR="005C6E84" w:rsidRPr="005C6E84" w:rsidRDefault="005C6E84" w:rsidP="008104C1">
      <w:pPr>
        <w:pStyle w:val="ListParagraph"/>
        <w:numPr>
          <w:ilvl w:val="0"/>
          <w:numId w:val="34"/>
        </w:numPr>
        <w:rPr>
          <w:rFonts w:asciiTheme="majorHAnsi" w:hAnsiTheme="majorHAnsi" w:cstheme="majorHAnsi"/>
          <w:bCs/>
        </w:rPr>
      </w:pPr>
      <w:r w:rsidRPr="005C6E84">
        <w:rPr>
          <w:rFonts w:asciiTheme="majorHAnsi" w:hAnsiTheme="majorHAnsi" w:cstheme="majorHAnsi"/>
          <w:bCs/>
          <w:lang w:val="en-GB"/>
        </w:rPr>
        <w:t xml:space="preserve">Perren, L., &amp; Elliott, B. (2011). </w:t>
      </w:r>
      <w:r w:rsidRPr="005C6E84">
        <w:rPr>
          <w:rFonts w:asciiTheme="majorHAnsi" w:hAnsiTheme="majorHAnsi" w:cstheme="majorHAnsi"/>
          <w:bCs/>
          <w:i/>
          <w:iCs/>
          <w:lang w:val="en-GB"/>
        </w:rPr>
        <w:t>Strategic thinking for small businesses and SMEs</w:t>
      </w:r>
      <w:r w:rsidRPr="005C6E84">
        <w:rPr>
          <w:rFonts w:asciiTheme="majorHAnsi" w:hAnsiTheme="majorHAnsi" w:cstheme="majorHAnsi"/>
          <w:bCs/>
          <w:lang w:val="en-GB"/>
        </w:rPr>
        <w:t>. SAGE.</w:t>
      </w:r>
    </w:p>
    <w:p w14:paraId="591A0DA2" w14:textId="1C9676E0" w:rsidR="00AD04CF" w:rsidRPr="00AD04CF" w:rsidRDefault="00AD04CF" w:rsidP="008104C1">
      <w:pPr>
        <w:pStyle w:val="ListParagraph"/>
        <w:numPr>
          <w:ilvl w:val="0"/>
          <w:numId w:val="34"/>
        </w:numPr>
        <w:rPr>
          <w:rFonts w:asciiTheme="majorHAnsi" w:hAnsiTheme="majorHAnsi" w:cstheme="majorHAnsi"/>
          <w:bCs/>
        </w:rPr>
      </w:pPr>
      <w:r w:rsidRPr="00AD04CF">
        <w:rPr>
          <w:rFonts w:asciiTheme="majorHAnsi" w:hAnsiTheme="majorHAnsi" w:cstheme="majorHAnsi"/>
          <w:bCs/>
          <w:lang w:val="en-GB"/>
        </w:rPr>
        <w:t xml:space="preserve">Seunarine, K. (2017). </w:t>
      </w:r>
      <w:r w:rsidRPr="00AD04CF">
        <w:rPr>
          <w:rFonts w:asciiTheme="majorHAnsi" w:hAnsiTheme="majorHAnsi" w:cstheme="majorHAnsi"/>
          <w:bCs/>
          <w:i/>
          <w:iCs/>
          <w:lang w:val="en-GB"/>
        </w:rPr>
        <w:t>Financial Management in Construction Contracting</w:t>
      </w:r>
      <w:r w:rsidRPr="00AD04CF">
        <w:rPr>
          <w:rFonts w:asciiTheme="majorHAnsi" w:hAnsiTheme="majorHAnsi" w:cstheme="majorHAnsi"/>
          <w:bCs/>
          <w:lang w:val="en-GB"/>
        </w:rPr>
        <w:t>. Routledge.</w:t>
      </w:r>
    </w:p>
    <w:p w14:paraId="7394595D" w14:textId="2C69276B" w:rsidR="0010501B" w:rsidRPr="008104C1" w:rsidRDefault="0010501B" w:rsidP="008104C1">
      <w:pPr>
        <w:pStyle w:val="ListParagraph"/>
        <w:numPr>
          <w:ilvl w:val="0"/>
          <w:numId w:val="34"/>
        </w:numPr>
        <w:rPr>
          <w:rFonts w:asciiTheme="majorHAnsi" w:hAnsiTheme="majorHAnsi" w:cstheme="majorHAnsi"/>
          <w:bCs/>
        </w:rPr>
      </w:pPr>
      <w:r w:rsidRPr="0010501B">
        <w:rPr>
          <w:rFonts w:asciiTheme="majorHAnsi" w:hAnsiTheme="majorHAnsi" w:cstheme="majorHAnsi"/>
          <w:bCs/>
          <w:lang w:val="en-GB"/>
        </w:rPr>
        <w:t xml:space="preserve">Smyth, H., &amp; Fitch, T. (2015). </w:t>
      </w:r>
      <w:r w:rsidRPr="0010501B">
        <w:rPr>
          <w:rFonts w:asciiTheme="majorHAnsi" w:hAnsiTheme="majorHAnsi" w:cstheme="majorHAnsi"/>
          <w:bCs/>
          <w:i/>
          <w:iCs/>
          <w:lang w:val="en-GB"/>
        </w:rPr>
        <w:t>Client management and construction</w:t>
      </w:r>
      <w:r w:rsidRPr="0010501B">
        <w:rPr>
          <w:rFonts w:asciiTheme="majorHAnsi" w:hAnsiTheme="majorHAnsi" w:cstheme="majorHAnsi"/>
          <w:bCs/>
          <w:lang w:val="en-GB"/>
        </w:rPr>
        <w:t>. Wiley-Blackwell.</w:t>
      </w:r>
    </w:p>
    <w:p w14:paraId="2E6D31B9" w14:textId="262720B6" w:rsidR="008104C1" w:rsidRPr="008104C1" w:rsidRDefault="008104C1" w:rsidP="008104C1">
      <w:pPr>
        <w:pStyle w:val="ListParagraph"/>
        <w:numPr>
          <w:ilvl w:val="0"/>
          <w:numId w:val="33"/>
        </w:numPr>
        <w:rPr>
          <w:rFonts w:asciiTheme="majorHAnsi" w:hAnsiTheme="majorHAnsi" w:cstheme="majorHAnsi"/>
          <w:bCs/>
        </w:rPr>
      </w:pPr>
      <w:r w:rsidRPr="008104C1">
        <w:rPr>
          <w:rFonts w:asciiTheme="majorHAnsi" w:hAnsiTheme="majorHAnsi" w:cstheme="majorHAnsi"/>
          <w:bCs/>
        </w:rPr>
        <w:t xml:space="preserve">Walker, A. (2015). </w:t>
      </w:r>
      <w:r w:rsidRPr="008104C1">
        <w:rPr>
          <w:rFonts w:asciiTheme="majorHAnsi" w:hAnsiTheme="majorHAnsi" w:cstheme="majorHAnsi"/>
          <w:bCs/>
          <w:i/>
          <w:iCs/>
        </w:rPr>
        <w:t>Project management in construction</w:t>
      </w:r>
      <w:r w:rsidRPr="008104C1">
        <w:rPr>
          <w:rFonts w:asciiTheme="majorHAnsi" w:hAnsiTheme="majorHAnsi" w:cstheme="majorHAnsi"/>
          <w:bCs/>
        </w:rPr>
        <w:t xml:space="preserve"> (6th ed.). Wiley-Blackwell.</w:t>
      </w:r>
    </w:p>
    <w:p w14:paraId="3E69DA1C" w14:textId="77777777" w:rsidR="008104C1" w:rsidRPr="00505353" w:rsidRDefault="008104C1" w:rsidP="004B2BF5">
      <w:pPr>
        <w:spacing w:after="0" w:line="240" w:lineRule="auto"/>
        <w:rPr>
          <w:rFonts w:asciiTheme="majorHAnsi" w:hAnsiTheme="majorHAnsi" w:cstheme="majorHAnsi"/>
          <w:bCs/>
        </w:rPr>
      </w:pPr>
    </w:p>
    <w:p w14:paraId="2C36642C" w14:textId="77777777" w:rsidR="00F1765D" w:rsidRPr="00505353" w:rsidRDefault="00F1765D" w:rsidP="00DA510E">
      <w:pPr>
        <w:rPr>
          <w:rFonts w:asciiTheme="majorHAnsi" w:hAnsiTheme="majorHAnsi" w:cstheme="majorHAnsi"/>
          <w:bCs/>
        </w:rPr>
      </w:pPr>
    </w:p>
    <w:p w14:paraId="7A216E33" w14:textId="77777777" w:rsidR="00D362D3" w:rsidRPr="00505353" w:rsidRDefault="00D362D3" w:rsidP="00226E6B">
      <w:pPr>
        <w:pStyle w:val="ListParagraph"/>
        <w:rPr>
          <w:rFonts w:asciiTheme="majorHAnsi" w:hAnsiTheme="majorHAnsi" w:cstheme="majorHAnsi"/>
          <w:bCs/>
        </w:rPr>
      </w:pPr>
    </w:p>
    <w:p w14:paraId="51930931" w14:textId="758D56EB" w:rsidR="00583709" w:rsidRDefault="008312FD" w:rsidP="004B2BF5">
      <w:pPr>
        <w:pStyle w:val="Heading1"/>
        <w:spacing w:before="0" w:line="240" w:lineRule="auto"/>
        <w:rPr>
          <w:rFonts w:asciiTheme="majorHAnsi" w:hAnsiTheme="majorHAnsi" w:cstheme="majorHAnsi"/>
          <w:bCs/>
        </w:rPr>
      </w:pPr>
      <w:bookmarkStart w:id="32" w:name="_Toc204778635"/>
      <w:r w:rsidRPr="00505353">
        <w:rPr>
          <w:rFonts w:asciiTheme="majorHAnsi" w:hAnsiTheme="majorHAnsi" w:cstheme="majorHAnsi"/>
          <w:bCs/>
        </w:rPr>
        <w:t xml:space="preserve">Appendix </w:t>
      </w:r>
      <w:r w:rsidR="00525214">
        <w:rPr>
          <w:rFonts w:asciiTheme="majorHAnsi" w:hAnsiTheme="majorHAnsi" w:cstheme="majorHAnsi"/>
          <w:bCs/>
        </w:rPr>
        <w:t>A</w:t>
      </w:r>
      <w:r w:rsidRPr="00505353">
        <w:rPr>
          <w:rFonts w:asciiTheme="majorHAnsi" w:hAnsiTheme="majorHAnsi" w:cstheme="majorHAnsi"/>
          <w:bCs/>
        </w:rPr>
        <w:t xml:space="preserve"> </w:t>
      </w:r>
      <w:r w:rsidR="0068457A" w:rsidRPr="00505353">
        <w:rPr>
          <w:rFonts w:asciiTheme="majorHAnsi" w:hAnsiTheme="majorHAnsi" w:cstheme="majorHAnsi"/>
          <w:bCs/>
        </w:rPr>
        <w:t xml:space="preserve">Continuous </w:t>
      </w:r>
      <w:r w:rsidR="00764EFE">
        <w:rPr>
          <w:rFonts w:asciiTheme="majorHAnsi" w:hAnsiTheme="majorHAnsi" w:cstheme="majorHAnsi"/>
          <w:bCs/>
        </w:rPr>
        <w:t>Personal Development Plan</w:t>
      </w:r>
      <w:bookmarkEnd w:id="32"/>
    </w:p>
    <w:p w14:paraId="2EE28609" w14:textId="77777777" w:rsidR="00C0689D" w:rsidRDefault="00C0689D" w:rsidP="00C0689D">
      <w:pPr>
        <w:pBdr>
          <w:top w:val="nil"/>
          <w:left w:val="nil"/>
          <w:bottom w:val="nil"/>
          <w:right w:val="nil"/>
          <w:between w:val="nil"/>
        </w:pBdr>
        <w:rPr>
          <w:color w:val="000000"/>
        </w:rPr>
      </w:pPr>
    </w:p>
    <w:p w14:paraId="7BF683BF" w14:textId="77777777" w:rsidR="00764EFE" w:rsidRDefault="00764EFE" w:rsidP="00764EFE"/>
    <w:p w14:paraId="76C8FEB5" w14:textId="2418F51B" w:rsidR="00C0689D" w:rsidRPr="00C0689D" w:rsidRDefault="00C0689D" w:rsidP="00C0689D">
      <w:pPr>
        <w:pStyle w:val="Heading2"/>
      </w:pPr>
    </w:p>
    <w:p w14:paraId="2D63A631" w14:textId="77777777" w:rsidR="00C0689D" w:rsidRDefault="00C0689D" w:rsidP="00764EFE"/>
    <w:sectPr w:rsidR="00C0689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57581" w14:textId="77777777" w:rsidR="00463FAE" w:rsidRDefault="00463FAE" w:rsidP="00F23277">
      <w:pPr>
        <w:spacing w:after="0" w:line="240" w:lineRule="auto"/>
      </w:pPr>
      <w:r>
        <w:separator/>
      </w:r>
    </w:p>
  </w:endnote>
  <w:endnote w:type="continuationSeparator" w:id="0">
    <w:p w14:paraId="2D717E06" w14:textId="77777777" w:rsidR="00463FAE" w:rsidRDefault="00463FAE"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
    <w:altName w:val="Cambria"/>
    <w:charset w:val="00"/>
    <w:family w:val="roman"/>
    <w:pitch w:val="default"/>
  </w:font>
  <w:font w:name="OpenSymbol, 'Arial Unicode M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BF224" w14:textId="77777777" w:rsidR="00463FAE" w:rsidRDefault="00463FAE" w:rsidP="00F23277">
      <w:pPr>
        <w:spacing w:after="0" w:line="240" w:lineRule="auto"/>
      </w:pPr>
      <w:r>
        <w:separator/>
      </w:r>
    </w:p>
  </w:footnote>
  <w:footnote w:type="continuationSeparator" w:id="0">
    <w:p w14:paraId="6A1701FB" w14:textId="77777777" w:rsidR="00463FAE" w:rsidRDefault="00463FAE"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6C16"/>
    <w:multiLevelType w:val="multilevel"/>
    <w:tmpl w:val="8BD0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15613"/>
    <w:multiLevelType w:val="hybridMultilevel"/>
    <w:tmpl w:val="CB5626EE"/>
    <w:lvl w:ilvl="0" w:tplc="DB40BBDE">
      <w:start w:val="1"/>
      <w:numFmt w:val="bullet"/>
      <w:lvlText w:val="-"/>
      <w:lvlJc w:val="left"/>
      <w:pPr>
        <w:ind w:left="720" w:hanging="360"/>
      </w:pPr>
      <w:rPr>
        <w:rFonts w:ascii="Calibri" w:eastAsia="Calibr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54261"/>
    <w:multiLevelType w:val="multilevel"/>
    <w:tmpl w:val="96F01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247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D24528D"/>
    <w:multiLevelType w:val="hybridMultilevel"/>
    <w:tmpl w:val="4EDE24A0"/>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DD58AB"/>
    <w:multiLevelType w:val="multilevel"/>
    <w:tmpl w:val="D1EA8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D022CA"/>
    <w:multiLevelType w:val="hybridMultilevel"/>
    <w:tmpl w:val="AA60C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C723FB"/>
    <w:multiLevelType w:val="multilevel"/>
    <w:tmpl w:val="1DAA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1148F2"/>
    <w:multiLevelType w:val="hybridMultilevel"/>
    <w:tmpl w:val="3A02D7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16306CE4"/>
    <w:multiLevelType w:val="multilevel"/>
    <w:tmpl w:val="72DAA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7B10D9"/>
    <w:multiLevelType w:val="multilevel"/>
    <w:tmpl w:val="00BEFB2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1C5A5D4F"/>
    <w:multiLevelType w:val="hybridMultilevel"/>
    <w:tmpl w:val="51E8A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A47DA5"/>
    <w:multiLevelType w:val="hybridMultilevel"/>
    <w:tmpl w:val="DA7C7D56"/>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13" w15:restartNumberingAfterBreak="0">
    <w:nsid w:val="20D070B3"/>
    <w:multiLevelType w:val="hybridMultilevel"/>
    <w:tmpl w:val="BDFCF2FE"/>
    <w:lvl w:ilvl="0" w:tplc="8DA0ACAE">
      <w:start w:val="1"/>
      <w:numFmt w:val="bullet"/>
      <w:lvlText w:val="•"/>
      <w:lvlJc w:val="left"/>
      <w:pPr>
        <w:tabs>
          <w:tab w:val="num" w:pos="720"/>
        </w:tabs>
        <w:ind w:left="720" w:hanging="360"/>
      </w:pPr>
      <w:rPr>
        <w:rFonts w:ascii="Arial" w:hAnsi="Arial" w:hint="default"/>
      </w:rPr>
    </w:lvl>
    <w:lvl w:ilvl="1" w:tplc="FE268194" w:tentative="1">
      <w:start w:val="1"/>
      <w:numFmt w:val="bullet"/>
      <w:lvlText w:val="•"/>
      <w:lvlJc w:val="left"/>
      <w:pPr>
        <w:tabs>
          <w:tab w:val="num" w:pos="1440"/>
        </w:tabs>
        <w:ind w:left="1440" w:hanging="360"/>
      </w:pPr>
      <w:rPr>
        <w:rFonts w:ascii="Arial" w:hAnsi="Arial" w:hint="default"/>
      </w:rPr>
    </w:lvl>
    <w:lvl w:ilvl="2" w:tplc="799CBFB2" w:tentative="1">
      <w:start w:val="1"/>
      <w:numFmt w:val="bullet"/>
      <w:lvlText w:val="•"/>
      <w:lvlJc w:val="left"/>
      <w:pPr>
        <w:tabs>
          <w:tab w:val="num" w:pos="2160"/>
        </w:tabs>
        <w:ind w:left="2160" w:hanging="360"/>
      </w:pPr>
      <w:rPr>
        <w:rFonts w:ascii="Arial" w:hAnsi="Arial" w:hint="default"/>
      </w:rPr>
    </w:lvl>
    <w:lvl w:ilvl="3" w:tplc="826E44EA" w:tentative="1">
      <w:start w:val="1"/>
      <w:numFmt w:val="bullet"/>
      <w:lvlText w:val="•"/>
      <w:lvlJc w:val="left"/>
      <w:pPr>
        <w:tabs>
          <w:tab w:val="num" w:pos="2880"/>
        </w:tabs>
        <w:ind w:left="2880" w:hanging="360"/>
      </w:pPr>
      <w:rPr>
        <w:rFonts w:ascii="Arial" w:hAnsi="Arial" w:hint="default"/>
      </w:rPr>
    </w:lvl>
    <w:lvl w:ilvl="4" w:tplc="5BCC3C52" w:tentative="1">
      <w:start w:val="1"/>
      <w:numFmt w:val="bullet"/>
      <w:lvlText w:val="•"/>
      <w:lvlJc w:val="left"/>
      <w:pPr>
        <w:tabs>
          <w:tab w:val="num" w:pos="3600"/>
        </w:tabs>
        <w:ind w:left="3600" w:hanging="360"/>
      </w:pPr>
      <w:rPr>
        <w:rFonts w:ascii="Arial" w:hAnsi="Arial" w:hint="default"/>
      </w:rPr>
    </w:lvl>
    <w:lvl w:ilvl="5" w:tplc="A5AAF812" w:tentative="1">
      <w:start w:val="1"/>
      <w:numFmt w:val="bullet"/>
      <w:lvlText w:val="•"/>
      <w:lvlJc w:val="left"/>
      <w:pPr>
        <w:tabs>
          <w:tab w:val="num" w:pos="4320"/>
        </w:tabs>
        <w:ind w:left="4320" w:hanging="360"/>
      </w:pPr>
      <w:rPr>
        <w:rFonts w:ascii="Arial" w:hAnsi="Arial" w:hint="default"/>
      </w:rPr>
    </w:lvl>
    <w:lvl w:ilvl="6" w:tplc="860639A4" w:tentative="1">
      <w:start w:val="1"/>
      <w:numFmt w:val="bullet"/>
      <w:lvlText w:val="•"/>
      <w:lvlJc w:val="left"/>
      <w:pPr>
        <w:tabs>
          <w:tab w:val="num" w:pos="5040"/>
        </w:tabs>
        <w:ind w:left="5040" w:hanging="360"/>
      </w:pPr>
      <w:rPr>
        <w:rFonts w:ascii="Arial" w:hAnsi="Arial" w:hint="default"/>
      </w:rPr>
    </w:lvl>
    <w:lvl w:ilvl="7" w:tplc="A06E3336" w:tentative="1">
      <w:start w:val="1"/>
      <w:numFmt w:val="bullet"/>
      <w:lvlText w:val="•"/>
      <w:lvlJc w:val="left"/>
      <w:pPr>
        <w:tabs>
          <w:tab w:val="num" w:pos="5760"/>
        </w:tabs>
        <w:ind w:left="5760" w:hanging="360"/>
      </w:pPr>
      <w:rPr>
        <w:rFonts w:ascii="Arial" w:hAnsi="Arial" w:hint="default"/>
      </w:rPr>
    </w:lvl>
    <w:lvl w:ilvl="8" w:tplc="FB46552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19B6B9C"/>
    <w:multiLevelType w:val="multilevel"/>
    <w:tmpl w:val="26F032F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2C529F0"/>
    <w:multiLevelType w:val="multilevel"/>
    <w:tmpl w:val="2B386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3F07103"/>
    <w:multiLevelType w:val="hybridMultilevel"/>
    <w:tmpl w:val="B0F40E8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4AE72FB"/>
    <w:multiLevelType w:val="multilevel"/>
    <w:tmpl w:val="A216B3CC"/>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251D7C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B4D5BDF"/>
    <w:multiLevelType w:val="multilevel"/>
    <w:tmpl w:val="1D8A9EB2"/>
    <w:numStyleLink w:val="RTFNum5"/>
  </w:abstractNum>
  <w:abstractNum w:abstractNumId="20" w15:restartNumberingAfterBreak="0">
    <w:nsid w:val="30C23357"/>
    <w:multiLevelType w:val="multilevel"/>
    <w:tmpl w:val="BD72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9569F3"/>
    <w:multiLevelType w:val="hybridMultilevel"/>
    <w:tmpl w:val="D29E87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4E667E"/>
    <w:multiLevelType w:val="hybridMultilevel"/>
    <w:tmpl w:val="6728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404A5B"/>
    <w:multiLevelType w:val="multilevel"/>
    <w:tmpl w:val="9A7A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22203C"/>
    <w:multiLevelType w:val="hybridMultilevel"/>
    <w:tmpl w:val="EBB06092"/>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29190D"/>
    <w:multiLevelType w:val="singleLevel"/>
    <w:tmpl w:val="08090001"/>
    <w:lvl w:ilvl="0">
      <w:start w:val="1"/>
      <w:numFmt w:val="bullet"/>
      <w:lvlText w:val=""/>
      <w:lvlJc w:val="left"/>
      <w:pPr>
        <w:ind w:left="720" w:hanging="360"/>
      </w:pPr>
      <w:rPr>
        <w:rFonts w:ascii="Symbol" w:hAnsi="Symbol" w:hint="default"/>
      </w:rPr>
    </w:lvl>
  </w:abstractNum>
  <w:abstractNum w:abstractNumId="26" w15:restartNumberingAfterBreak="0">
    <w:nsid w:val="3E6D2ACE"/>
    <w:multiLevelType w:val="hybridMultilevel"/>
    <w:tmpl w:val="C22C9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3E6F7C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3E964AC8"/>
    <w:multiLevelType w:val="multilevel"/>
    <w:tmpl w:val="5FDC0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2164EC"/>
    <w:multiLevelType w:val="multilevel"/>
    <w:tmpl w:val="6AAEF93A"/>
    <w:styleLink w:val="RTFNum2"/>
    <w:lvl w:ilvl="0">
      <w:start w:val="1"/>
      <w:numFmt w:val="bullet"/>
      <w:lvlText w:val=""/>
      <w:lvlJc w:val="left"/>
      <w:pPr>
        <w:ind w:left="720" w:hanging="360"/>
      </w:pPr>
      <w:rPr>
        <w:rFonts w:ascii="Wingdings" w:hAnsi="Wingdings" w:hint="default"/>
      </w:rPr>
    </w:lvl>
    <w:lvl w:ilvl="1">
      <w:numFmt w:val="bullet"/>
      <w:lvlText w:val="o"/>
      <w:lvlJc w:val="left"/>
      <w:pPr>
        <w:ind w:left="1440" w:hanging="360"/>
      </w:pPr>
      <w:rPr>
        <w:rFonts w:ascii="F" w:eastAsia="Courier New" w:hAnsi="F" w:cs="F"/>
      </w:rPr>
    </w:lvl>
    <w:lvl w:ilvl="2">
      <w:numFmt w:val="bullet"/>
      <w:lvlText w:val=""/>
      <w:lvlJc w:val="left"/>
      <w:pPr>
        <w:ind w:left="2160" w:hanging="360"/>
      </w:pPr>
      <w:rPr>
        <w:rFonts w:ascii="F" w:eastAsia="F" w:hAnsi="F" w:cs="F"/>
      </w:rPr>
    </w:lvl>
    <w:lvl w:ilvl="3">
      <w:numFmt w:val="bullet"/>
      <w:lvlText w:val=""/>
      <w:lvlJc w:val="left"/>
      <w:pPr>
        <w:ind w:left="2880" w:hanging="360"/>
      </w:pPr>
      <w:rPr>
        <w:rFonts w:ascii="Symbol" w:eastAsia="Symbol" w:hAnsi="Symbol" w:cs="Symbol"/>
      </w:rPr>
    </w:lvl>
    <w:lvl w:ilvl="4">
      <w:numFmt w:val="bullet"/>
      <w:lvlText w:val="o"/>
      <w:lvlJc w:val="left"/>
      <w:pPr>
        <w:ind w:left="3600" w:hanging="360"/>
      </w:pPr>
      <w:rPr>
        <w:rFonts w:ascii="F" w:eastAsia="Courier New" w:hAnsi="F" w:cs="F"/>
      </w:rPr>
    </w:lvl>
    <w:lvl w:ilvl="5">
      <w:numFmt w:val="bullet"/>
      <w:lvlText w:val=""/>
      <w:lvlJc w:val="left"/>
      <w:pPr>
        <w:ind w:left="4320" w:hanging="360"/>
      </w:pPr>
      <w:rPr>
        <w:rFonts w:ascii="F" w:eastAsia="F" w:hAnsi="F" w:cs="F"/>
      </w:rPr>
    </w:lvl>
    <w:lvl w:ilvl="6">
      <w:numFmt w:val="bullet"/>
      <w:lvlText w:val=""/>
      <w:lvlJc w:val="left"/>
      <w:pPr>
        <w:ind w:left="5040" w:hanging="360"/>
      </w:pPr>
      <w:rPr>
        <w:rFonts w:ascii="Symbol" w:eastAsia="Symbol" w:hAnsi="Symbol" w:cs="Symbol"/>
      </w:rPr>
    </w:lvl>
    <w:lvl w:ilvl="7">
      <w:numFmt w:val="bullet"/>
      <w:lvlText w:val="o"/>
      <w:lvlJc w:val="left"/>
      <w:pPr>
        <w:ind w:left="5760" w:hanging="360"/>
      </w:pPr>
      <w:rPr>
        <w:rFonts w:ascii="F" w:eastAsia="Courier New" w:hAnsi="F" w:cs="F"/>
      </w:rPr>
    </w:lvl>
    <w:lvl w:ilvl="8">
      <w:numFmt w:val="bullet"/>
      <w:lvlText w:val=""/>
      <w:lvlJc w:val="left"/>
      <w:pPr>
        <w:ind w:left="6480" w:hanging="360"/>
      </w:pPr>
      <w:rPr>
        <w:rFonts w:ascii="F" w:eastAsia="F" w:hAnsi="F" w:cs="F"/>
      </w:rPr>
    </w:lvl>
  </w:abstractNum>
  <w:abstractNum w:abstractNumId="30" w15:restartNumberingAfterBreak="0">
    <w:nsid w:val="4270751B"/>
    <w:multiLevelType w:val="multilevel"/>
    <w:tmpl w:val="C30E9870"/>
    <w:styleLink w:val="RTFNum6"/>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31" w15:restartNumberingAfterBreak="0">
    <w:nsid w:val="46EF72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49522200"/>
    <w:multiLevelType w:val="multilevel"/>
    <w:tmpl w:val="01BCD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7976A5"/>
    <w:multiLevelType w:val="multilevel"/>
    <w:tmpl w:val="E618E9E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555E2C02"/>
    <w:multiLevelType w:val="hybridMultilevel"/>
    <w:tmpl w:val="6DE4387E"/>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5630598"/>
    <w:multiLevelType w:val="hybridMultilevel"/>
    <w:tmpl w:val="E5BA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71754C2"/>
    <w:multiLevelType w:val="multilevel"/>
    <w:tmpl w:val="CDD03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1400DAE"/>
    <w:multiLevelType w:val="multilevel"/>
    <w:tmpl w:val="1D8A9EB2"/>
    <w:styleLink w:val="RTFNum5"/>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38" w15:restartNumberingAfterBreak="0">
    <w:nsid w:val="62B21AF7"/>
    <w:multiLevelType w:val="multilevel"/>
    <w:tmpl w:val="6A26A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3306EED"/>
    <w:multiLevelType w:val="multilevel"/>
    <w:tmpl w:val="B3401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3E766A"/>
    <w:multiLevelType w:val="hybridMultilevel"/>
    <w:tmpl w:val="30B631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EC1B0E"/>
    <w:multiLevelType w:val="multilevel"/>
    <w:tmpl w:val="5DF05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0D0CAE"/>
    <w:multiLevelType w:val="hybridMultilevel"/>
    <w:tmpl w:val="67049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3137809"/>
    <w:multiLevelType w:val="hybridMultilevel"/>
    <w:tmpl w:val="636A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34B4A5D"/>
    <w:multiLevelType w:val="multilevel"/>
    <w:tmpl w:val="354AB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49C576E"/>
    <w:multiLevelType w:val="multilevel"/>
    <w:tmpl w:val="C91E1D4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75936B57"/>
    <w:multiLevelType w:val="multilevel"/>
    <w:tmpl w:val="8126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6003DB0"/>
    <w:multiLevelType w:val="multilevel"/>
    <w:tmpl w:val="AB3A5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9BB3B52"/>
    <w:multiLevelType w:val="multilevel"/>
    <w:tmpl w:val="DCB47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C9C344E"/>
    <w:multiLevelType w:val="multilevel"/>
    <w:tmpl w:val="9236B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1992747">
    <w:abstractNumId w:val="13"/>
  </w:num>
  <w:num w:numId="2" w16cid:durableId="1054234476">
    <w:abstractNumId w:val="37"/>
  </w:num>
  <w:num w:numId="3" w16cid:durableId="1009911294">
    <w:abstractNumId w:val="30"/>
  </w:num>
  <w:num w:numId="4" w16cid:durableId="1121000634">
    <w:abstractNumId w:val="29"/>
  </w:num>
  <w:num w:numId="5" w16cid:durableId="1494253068">
    <w:abstractNumId w:val="25"/>
  </w:num>
  <w:num w:numId="6" w16cid:durableId="1221475683">
    <w:abstractNumId w:val="26"/>
  </w:num>
  <w:num w:numId="7" w16cid:durableId="1399741400">
    <w:abstractNumId w:val="19"/>
  </w:num>
  <w:num w:numId="8" w16cid:durableId="2106461127">
    <w:abstractNumId w:val="43"/>
  </w:num>
  <w:num w:numId="9" w16cid:durableId="2057852185">
    <w:abstractNumId w:val="35"/>
  </w:num>
  <w:num w:numId="10" w16cid:durableId="550576964">
    <w:abstractNumId w:val="22"/>
  </w:num>
  <w:num w:numId="11" w16cid:durableId="1950041411">
    <w:abstractNumId w:val="42"/>
  </w:num>
  <w:num w:numId="12" w16cid:durableId="1370256525">
    <w:abstractNumId w:val="8"/>
  </w:num>
  <w:num w:numId="13" w16cid:durableId="1626962378">
    <w:abstractNumId w:val="3"/>
  </w:num>
  <w:num w:numId="14" w16cid:durableId="1783069956">
    <w:abstractNumId w:val="31"/>
  </w:num>
  <w:num w:numId="15" w16cid:durableId="543954182">
    <w:abstractNumId w:val="27"/>
  </w:num>
  <w:num w:numId="16" w16cid:durableId="836844618">
    <w:abstractNumId w:val="18"/>
  </w:num>
  <w:num w:numId="17" w16cid:durableId="439765874">
    <w:abstractNumId w:val="33"/>
  </w:num>
  <w:num w:numId="18" w16cid:durableId="1616981598">
    <w:abstractNumId w:val="34"/>
  </w:num>
  <w:num w:numId="19" w16cid:durableId="1281062045">
    <w:abstractNumId w:val="4"/>
  </w:num>
  <w:num w:numId="20" w16cid:durableId="2034962827">
    <w:abstractNumId w:val="24"/>
  </w:num>
  <w:num w:numId="21" w16cid:durableId="911357601">
    <w:abstractNumId w:val="14"/>
  </w:num>
  <w:num w:numId="22" w16cid:durableId="707611981">
    <w:abstractNumId w:val="41"/>
  </w:num>
  <w:num w:numId="23" w16cid:durableId="644237075">
    <w:abstractNumId w:val="1"/>
  </w:num>
  <w:num w:numId="24" w16cid:durableId="178282000">
    <w:abstractNumId w:val="17"/>
  </w:num>
  <w:num w:numId="25" w16cid:durableId="442724923">
    <w:abstractNumId w:val="10"/>
  </w:num>
  <w:num w:numId="26" w16cid:durableId="1181578508">
    <w:abstractNumId w:val="12"/>
  </w:num>
  <w:num w:numId="27" w16cid:durableId="1256280455">
    <w:abstractNumId w:val="45"/>
  </w:num>
  <w:num w:numId="28" w16cid:durableId="1802771916">
    <w:abstractNumId w:val="7"/>
  </w:num>
  <w:num w:numId="29" w16cid:durableId="2027248786">
    <w:abstractNumId w:val="16"/>
  </w:num>
  <w:num w:numId="30" w16cid:durableId="1702901743">
    <w:abstractNumId w:val="11"/>
  </w:num>
  <w:num w:numId="31" w16cid:durableId="118692031">
    <w:abstractNumId w:val="20"/>
  </w:num>
  <w:num w:numId="32" w16cid:durableId="831914657">
    <w:abstractNumId w:val="6"/>
  </w:num>
  <w:num w:numId="33" w16cid:durableId="167644790">
    <w:abstractNumId w:val="40"/>
  </w:num>
  <w:num w:numId="34" w16cid:durableId="1739669899">
    <w:abstractNumId w:val="21"/>
  </w:num>
  <w:num w:numId="35" w16cid:durableId="390427637">
    <w:abstractNumId w:val="49"/>
  </w:num>
  <w:num w:numId="36" w16cid:durableId="1232276467">
    <w:abstractNumId w:val="28"/>
  </w:num>
  <w:num w:numId="37" w16cid:durableId="1041781160">
    <w:abstractNumId w:val="2"/>
  </w:num>
  <w:num w:numId="38" w16cid:durableId="1143739055">
    <w:abstractNumId w:val="36"/>
  </w:num>
  <w:num w:numId="39" w16cid:durableId="1909999876">
    <w:abstractNumId w:val="47"/>
  </w:num>
  <w:num w:numId="40" w16cid:durableId="809707680">
    <w:abstractNumId w:val="9"/>
  </w:num>
  <w:num w:numId="41" w16cid:durableId="297495666">
    <w:abstractNumId w:val="23"/>
  </w:num>
  <w:num w:numId="42" w16cid:durableId="1274482382">
    <w:abstractNumId w:val="38"/>
  </w:num>
  <w:num w:numId="43" w16cid:durableId="1517620989">
    <w:abstractNumId w:val="5"/>
  </w:num>
  <w:num w:numId="44" w16cid:durableId="889999661">
    <w:abstractNumId w:val="0"/>
  </w:num>
  <w:num w:numId="45" w16cid:durableId="453526009">
    <w:abstractNumId w:val="39"/>
  </w:num>
  <w:num w:numId="46" w16cid:durableId="1636255639">
    <w:abstractNumId w:val="15"/>
  </w:num>
  <w:num w:numId="47" w16cid:durableId="1920139760">
    <w:abstractNumId w:val="44"/>
  </w:num>
  <w:num w:numId="48" w16cid:durableId="234126642">
    <w:abstractNumId w:val="46"/>
  </w:num>
  <w:num w:numId="49" w16cid:durableId="760489119">
    <w:abstractNumId w:val="32"/>
  </w:num>
  <w:num w:numId="50" w16cid:durableId="599021577">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097"/>
    <w:rsid w:val="00016F5D"/>
    <w:rsid w:val="00022605"/>
    <w:rsid w:val="00027A42"/>
    <w:rsid w:val="00033051"/>
    <w:rsid w:val="000439F7"/>
    <w:rsid w:val="00045C35"/>
    <w:rsid w:val="00051744"/>
    <w:rsid w:val="00060297"/>
    <w:rsid w:val="0007080D"/>
    <w:rsid w:val="000751E8"/>
    <w:rsid w:val="00097EC0"/>
    <w:rsid w:val="000B32A1"/>
    <w:rsid w:val="000D6BF5"/>
    <w:rsid w:val="000E7EE5"/>
    <w:rsid w:val="000F2452"/>
    <w:rsid w:val="000F32D6"/>
    <w:rsid w:val="0010501B"/>
    <w:rsid w:val="00106428"/>
    <w:rsid w:val="0011414C"/>
    <w:rsid w:val="00122B0B"/>
    <w:rsid w:val="00122C66"/>
    <w:rsid w:val="00126323"/>
    <w:rsid w:val="001304A0"/>
    <w:rsid w:val="00135EAB"/>
    <w:rsid w:val="0013620D"/>
    <w:rsid w:val="00140956"/>
    <w:rsid w:val="00171362"/>
    <w:rsid w:val="00183B04"/>
    <w:rsid w:val="001A3EAA"/>
    <w:rsid w:val="001A3F0C"/>
    <w:rsid w:val="001A69C1"/>
    <w:rsid w:val="001B1C2B"/>
    <w:rsid w:val="001B7075"/>
    <w:rsid w:val="001C0C28"/>
    <w:rsid w:val="001C7539"/>
    <w:rsid w:val="001D3C97"/>
    <w:rsid w:val="001F413F"/>
    <w:rsid w:val="00215743"/>
    <w:rsid w:val="00217F56"/>
    <w:rsid w:val="00226E6B"/>
    <w:rsid w:val="00251B4A"/>
    <w:rsid w:val="00254B96"/>
    <w:rsid w:val="00256FE2"/>
    <w:rsid w:val="00260A7C"/>
    <w:rsid w:val="00274FAB"/>
    <w:rsid w:val="00282FF6"/>
    <w:rsid w:val="0028417D"/>
    <w:rsid w:val="00291E44"/>
    <w:rsid w:val="00293552"/>
    <w:rsid w:val="002A4E23"/>
    <w:rsid w:val="002C496F"/>
    <w:rsid w:val="002D0A53"/>
    <w:rsid w:val="002E71A6"/>
    <w:rsid w:val="00307A72"/>
    <w:rsid w:val="003103AC"/>
    <w:rsid w:val="0033246C"/>
    <w:rsid w:val="003416BA"/>
    <w:rsid w:val="00354A28"/>
    <w:rsid w:val="00355E76"/>
    <w:rsid w:val="0036581E"/>
    <w:rsid w:val="00394E14"/>
    <w:rsid w:val="003A05A4"/>
    <w:rsid w:val="003E3E80"/>
    <w:rsid w:val="003E5242"/>
    <w:rsid w:val="00416D48"/>
    <w:rsid w:val="0043031A"/>
    <w:rsid w:val="004326D3"/>
    <w:rsid w:val="0044484E"/>
    <w:rsid w:val="00445FEA"/>
    <w:rsid w:val="004503ED"/>
    <w:rsid w:val="004520D2"/>
    <w:rsid w:val="00452E41"/>
    <w:rsid w:val="0046172E"/>
    <w:rsid w:val="00463FAE"/>
    <w:rsid w:val="00476811"/>
    <w:rsid w:val="004A1511"/>
    <w:rsid w:val="004A39A5"/>
    <w:rsid w:val="004B2BF5"/>
    <w:rsid w:val="004C09DC"/>
    <w:rsid w:val="004D32FF"/>
    <w:rsid w:val="004E00BF"/>
    <w:rsid w:val="004E0E90"/>
    <w:rsid w:val="004E2C1E"/>
    <w:rsid w:val="004F7707"/>
    <w:rsid w:val="00505353"/>
    <w:rsid w:val="0052200B"/>
    <w:rsid w:val="00525214"/>
    <w:rsid w:val="00534896"/>
    <w:rsid w:val="00536779"/>
    <w:rsid w:val="0054369E"/>
    <w:rsid w:val="00550EF4"/>
    <w:rsid w:val="00552775"/>
    <w:rsid w:val="005602EF"/>
    <w:rsid w:val="00576D0E"/>
    <w:rsid w:val="00582A96"/>
    <w:rsid w:val="00583709"/>
    <w:rsid w:val="005C6E84"/>
    <w:rsid w:val="005E175B"/>
    <w:rsid w:val="005E1A8B"/>
    <w:rsid w:val="005F3DB2"/>
    <w:rsid w:val="00605663"/>
    <w:rsid w:val="006062C2"/>
    <w:rsid w:val="00617DE8"/>
    <w:rsid w:val="00632AF8"/>
    <w:rsid w:val="00641F79"/>
    <w:rsid w:val="00643140"/>
    <w:rsid w:val="00651DAD"/>
    <w:rsid w:val="00675553"/>
    <w:rsid w:val="006817B1"/>
    <w:rsid w:val="0068457A"/>
    <w:rsid w:val="006965B4"/>
    <w:rsid w:val="006A4EFC"/>
    <w:rsid w:val="006D7E61"/>
    <w:rsid w:val="007211CA"/>
    <w:rsid w:val="00764EFE"/>
    <w:rsid w:val="00772B41"/>
    <w:rsid w:val="00784A3D"/>
    <w:rsid w:val="0079111E"/>
    <w:rsid w:val="00791136"/>
    <w:rsid w:val="007A3569"/>
    <w:rsid w:val="007B11CC"/>
    <w:rsid w:val="007C77AE"/>
    <w:rsid w:val="007D4A44"/>
    <w:rsid w:val="00807874"/>
    <w:rsid w:val="008104C1"/>
    <w:rsid w:val="008312FD"/>
    <w:rsid w:val="0084783E"/>
    <w:rsid w:val="00850DCA"/>
    <w:rsid w:val="008522A8"/>
    <w:rsid w:val="0085589B"/>
    <w:rsid w:val="008664C6"/>
    <w:rsid w:val="008847B0"/>
    <w:rsid w:val="0088695D"/>
    <w:rsid w:val="008D2D9E"/>
    <w:rsid w:val="008D371C"/>
    <w:rsid w:val="008D66B5"/>
    <w:rsid w:val="0090371A"/>
    <w:rsid w:val="00904A72"/>
    <w:rsid w:val="009077AD"/>
    <w:rsid w:val="00907F58"/>
    <w:rsid w:val="00922EC4"/>
    <w:rsid w:val="009303D1"/>
    <w:rsid w:val="00935942"/>
    <w:rsid w:val="00973386"/>
    <w:rsid w:val="009B6458"/>
    <w:rsid w:val="009F71F3"/>
    <w:rsid w:val="00A0108C"/>
    <w:rsid w:val="00A13DF8"/>
    <w:rsid w:val="00A24CD2"/>
    <w:rsid w:val="00A41127"/>
    <w:rsid w:val="00A44925"/>
    <w:rsid w:val="00A46DDF"/>
    <w:rsid w:val="00A742D0"/>
    <w:rsid w:val="00A94B5B"/>
    <w:rsid w:val="00AA3807"/>
    <w:rsid w:val="00AA5DC8"/>
    <w:rsid w:val="00AD04CF"/>
    <w:rsid w:val="00AD4CE5"/>
    <w:rsid w:val="00AF5E03"/>
    <w:rsid w:val="00AF6397"/>
    <w:rsid w:val="00B04ED5"/>
    <w:rsid w:val="00B2284E"/>
    <w:rsid w:val="00B52B31"/>
    <w:rsid w:val="00B53CC7"/>
    <w:rsid w:val="00B678F0"/>
    <w:rsid w:val="00B93B23"/>
    <w:rsid w:val="00BA21EB"/>
    <w:rsid w:val="00BA5DCB"/>
    <w:rsid w:val="00BC274B"/>
    <w:rsid w:val="00BD0132"/>
    <w:rsid w:val="00BE2BA1"/>
    <w:rsid w:val="00BF6452"/>
    <w:rsid w:val="00C02BD8"/>
    <w:rsid w:val="00C0670C"/>
    <w:rsid w:val="00C0689D"/>
    <w:rsid w:val="00C47FE7"/>
    <w:rsid w:val="00C51F1B"/>
    <w:rsid w:val="00C52187"/>
    <w:rsid w:val="00C73EB1"/>
    <w:rsid w:val="00C8199D"/>
    <w:rsid w:val="00C95E24"/>
    <w:rsid w:val="00CA0740"/>
    <w:rsid w:val="00D04D47"/>
    <w:rsid w:val="00D129F7"/>
    <w:rsid w:val="00D30B07"/>
    <w:rsid w:val="00D362D3"/>
    <w:rsid w:val="00D65304"/>
    <w:rsid w:val="00D724FB"/>
    <w:rsid w:val="00D7677F"/>
    <w:rsid w:val="00D85A9F"/>
    <w:rsid w:val="00DA510E"/>
    <w:rsid w:val="00DB0823"/>
    <w:rsid w:val="00DB0963"/>
    <w:rsid w:val="00DD3C0A"/>
    <w:rsid w:val="00E02C48"/>
    <w:rsid w:val="00E22C6B"/>
    <w:rsid w:val="00E24D6B"/>
    <w:rsid w:val="00E5406B"/>
    <w:rsid w:val="00E5646E"/>
    <w:rsid w:val="00E7393B"/>
    <w:rsid w:val="00E74FE4"/>
    <w:rsid w:val="00E841CA"/>
    <w:rsid w:val="00E87105"/>
    <w:rsid w:val="00E95938"/>
    <w:rsid w:val="00EC037F"/>
    <w:rsid w:val="00EE1DDB"/>
    <w:rsid w:val="00F03E99"/>
    <w:rsid w:val="00F14BC5"/>
    <w:rsid w:val="00F1765D"/>
    <w:rsid w:val="00F20D1F"/>
    <w:rsid w:val="00F23277"/>
    <w:rsid w:val="00F35AAF"/>
    <w:rsid w:val="00F62526"/>
    <w:rsid w:val="00F85CF7"/>
    <w:rsid w:val="00F867C0"/>
    <w:rsid w:val="00FD70E9"/>
    <w:rsid w:val="00FF74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274FAB"/>
    <w:pPr>
      <w:tabs>
        <w:tab w:val="right" w:pos="9350"/>
      </w:tabs>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F85CF7"/>
    <w:pPr>
      <w:widowControl w:val="0"/>
      <w:suppressAutoHyphens/>
      <w:autoSpaceDN w:val="0"/>
      <w:spacing w:after="200" w:line="276" w:lineRule="auto"/>
      <w:textAlignment w:val="baseline"/>
    </w:pPr>
    <w:rPr>
      <w:rFonts w:eastAsia="Tahoma" w:cs="F"/>
      <w:kern w:val="3"/>
      <w:szCs w:val="24"/>
      <w:lang w:val="en-US" w:eastAsia="en-US" w:bidi="hi-IN"/>
    </w:rPr>
  </w:style>
  <w:style w:type="paragraph" w:styleId="ListParagraph">
    <w:name w:val="List Paragraph"/>
    <w:basedOn w:val="Standard"/>
    <w:rsid w:val="00F85CF7"/>
    <w:pPr>
      <w:autoSpaceDE w:val="0"/>
      <w:spacing w:after="0" w:line="240" w:lineRule="auto"/>
      <w:ind w:left="720"/>
    </w:pPr>
    <w:rPr>
      <w:rFonts w:eastAsia="Calibri" w:cs="Calibri"/>
      <w:sz w:val="24"/>
      <w:lang w:val="dsb-DE" w:eastAsia="zh-CN"/>
    </w:rPr>
  </w:style>
  <w:style w:type="numbering" w:customStyle="1" w:styleId="RTFNum5">
    <w:name w:val="RTF_Num 5"/>
    <w:basedOn w:val="NoList"/>
    <w:rsid w:val="00F85CF7"/>
    <w:pPr>
      <w:numPr>
        <w:numId w:val="2"/>
      </w:numPr>
    </w:pPr>
  </w:style>
  <w:style w:type="numbering" w:customStyle="1" w:styleId="RTFNum6">
    <w:name w:val="RTF_Num 6"/>
    <w:basedOn w:val="NoList"/>
    <w:rsid w:val="00F85CF7"/>
    <w:pPr>
      <w:numPr>
        <w:numId w:val="3"/>
      </w:numPr>
    </w:pPr>
  </w:style>
  <w:style w:type="numbering" w:customStyle="1" w:styleId="RTFNum2">
    <w:name w:val="RTF_Num 2"/>
    <w:basedOn w:val="NoList"/>
    <w:rsid w:val="00F85CF7"/>
    <w:pPr>
      <w:numPr>
        <w:numId w:val="4"/>
      </w:numPr>
    </w:pPr>
  </w:style>
  <w:style w:type="paragraph" w:styleId="NormalWeb">
    <w:name w:val="Normal (Web)"/>
    <w:basedOn w:val="Normal"/>
    <w:uiPriority w:val="99"/>
    <w:unhideWhenUsed/>
    <w:rsid w:val="00F85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62D3"/>
    <w:rPr>
      <w:color w:val="605E5C"/>
      <w:shd w:val="clear" w:color="auto" w:fill="E1DFDD"/>
    </w:rPr>
  </w:style>
  <w:style w:type="character" w:styleId="Emphasis">
    <w:name w:val="Emphasis"/>
    <w:basedOn w:val="DefaultParagraphFont"/>
    <w:uiPriority w:val="20"/>
    <w:qFormat/>
    <w:rsid w:val="00DA510E"/>
    <w:rPr>
      <w:i/>
      <w:iCs/>
    </w:rPr>
  </w:style>
  <w:style w:type="paragraph" w:styleId="TOCHeading">
    <w:name w:val="TOC Heading"/>
    <w:basedOn w:val="Heading1"/>
    <w:next w:val="Normal"/>
    <w:uiPriority w:val="39"/>
    <w:unhideWhenUsed/>
    <w:qFormat/>
    <w:rsid w:val="00274FAB"/>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5912">
      <w:bodyDiv w:val="1"/>
      <w:marLeft w:val="0"/>
      <w:marRight w:val="0"/>
      <w:marTop w:val="0"/>
      <w:marBottom w:val="0"/>
      <w:divBdr>
        <w:top w:val="none" w:sz="0" w:space="0" w:color="auto"/>
        <w:left w:val="none" w:sz="0" w:space="0" w:color="auto"/>
        <w:bottom w:val="none" w:sz="0" w:space="0" w:color="auto"/>
        <w:right w:val="none" w:sz="0" w:space="0" w:color="auto"/>
      </w:divBdr>
    </w:div>
    <w:div w:id="43339687">
      <w:bodyDiv w:val="1"/>
      <w:marLeft w:val="0"/>
      <w:marRight w:val="0"/>
      <w:marTop w:val="0"/>
      <w:marBottom w:val="0"/>
      <w:divBdr>
        <w:top w:val="none" w:sz="0" w:space="0" w:color="auto"/>
        <w:left w:val="none" w:sz="0" w:space="0" w:color="auto"/>
        <w:bottom w:val="none" w:sz="0" w:space="0" w:color="auto"/>
        <w:right w:val="none" w:sz="0" w:space="0" w:color="auto"/>
      </w:divBdr>
    </w:div>
    <w:div w:id="101220013">
      <w:bodyDiv w:val="1"/>
      <w:marLeft w:val="0"/>
      <w:marRight w:val="0"/>
      <w:marTop w:val="0"/>
      <w:marBottom w:val="0"/>
      <w:divBdr>
        <w:top w:val="none" w:sz="0" w:space="0" w:color="auto"/>
        <w:left w:val="none" w:sz="0" w:space="0" w:color="auto"/>
        <w:bottom w:val="none" w:sz="0" w:space="0" w:color="auto"/>
        <w:right w:val="none" w:sz="0" w:space="0" w:color="auto"/>
      </w:divBdr>
    </w:div>
    <w:div w:id="102268445">
      <w:bodyDiv w:val="1"/>
      <w:marLeft w:val="0"/>
      <w:marRight w:val="0"/>
      <w:marTop w:val="0"/>
      <w:marBottom w:val="0"/>
      <w:divBdr>
        <w:top w:val="none" w:sz="0" w:space="0" w:color="auto"/>
        <w:left w:val="none" w:sz="0" w:space="0" w:color="auto"/>
        <w:bottom w:val="none" w:sz="0" w:space="0" w:color="auto"/>
        <w:right w:val="none" w:sz="0" w:space="0" w:color="auto"/>
      </w:divBdr>
    </w:div>
    <w:div w:id="127360832">
      <w:bodyDiv w:val="1"/>
      <w:marLeft w:val="0"/>
      <w:marRight w:val="0"/>
      <w:marTop w:val="0"/>
      <w:marBottom w:val="0"/>
      <w:divBdr>
        <w:top w:val="none" w:sz="0" w:space="0" w:color="auto"/>
        <w:left w:val="none" w:sz="0" w:space="0" w:color="auto"/>
        <w:bottom w:val="none" w:sz="0" w:space="0" w:color="auto"/>
        <w:right w:val="none" w:sz="0" w:space="0" w:color="auto"/>
      </w:divBdr>
    </w:div>
    <w:div w:id="161166792">
      <w:bodyDiv w:val="1"/>
      <w:marLeft w:val="0"/>
      <w:marRight w:val="0"/>
      <w:marTop w:val="0"/>
      <w:marBottom w:val="0"/>
      <w:divBdr>
        <w:top w:val="none" w:sz="0" w:space="0" w:color="auto"/>
        <w:left w:val="none" w:sz="0" w:space="0" w:color="auto"/>
        <w:bottom w:val="none" w:sz="0" w:space="0" w:color="auto"/>
        <w:right w:val="none" w:sz="0" w:space="0" w:color="auto"/>
      </w:divBdr>
      <w:divsChild>
        <w:div w:id="1530486727">
          <w:marLeft w:val="0"/>
          <w:marRight w:val="0"/>
          <w:marTop w:val="0"/>
          <w:marBottom w:val="0"/>
          <w:divBdr>
            <w:top w:val="none" w:sz="0" w:space="0" w:color="auto"/>
            <w:left w:val="none" w:sz="0" w:space="0" w:color="auto"/>
            <w:bottom w:val="none" w:sz="0" w:space="0" w:color="auto"/>
            <w:right w:val="none" w:sz="0" w:space="0" w:color="auto"/>
          </w:divBdr>
          <w:divsChild>
            <w:div w:id="1518151361">
              <w:marLeft w:val="0"/>
              <w:marRight w:val="0"/>
              <w:marTop w:val="0"/>
              <w:marBottom w:val="0"/>
              <w:divBdr>
                <w:top w:val="none" w:sz="0" w:space="0" w:color="auto"/>
                <w:left w:val="none" w:sz="0" w:space="0" w:color="auto"/>
                <w:bottom w:val="none" w:sz="0" w:space="0" w:color="auto"/>
                <w:right w:val="none" w:sz="0" w:space="0" w:color="auto"/>
              </w:divBdr>
              <w:divsChild>
                <w:div w:id="1763792240">
                  <w:marLeft w:val="0"/>
                  <w:marRight w:val="0"/>
                  <w:marTop w:val="0"/>
                  <w:marBottom w:val="0"/>
                  <w:divBdr>
                    <w:top w:val="none" w:sz="0" w:space="0" w:color="auto"/>
                    <w:left w:val="none" w:sz="0" w:space="0" w:color="auto"/>
                    <w:bottom w:val="none" w:sz="0" w:space="0" w:color="auto"/>
                    <w:right w:val="none" w:sz="0" w:space="0" w:color="auto"/>
                  </w:divBdr>
                  <w:divsChild>
                    <w:div w:id="2146387268">
                      <w:marLeft w:val="0"/>
                      <w:marRight w:val="0"/>
                      <w:marTop w:val="0"/>
                      <w:marBottom w:val="0"/>
                      <w:divBdr>
                        <w:top w:val="none" w:sz="0" w:space="0" w:color="auto"/>
                        <w:left w:val="none" w:sz="0" w:space="0" w:color="auto"/>
                        <w:bottom w:val="none" w:sz="0" w:space="0" w:color="auto"/>
                        <w:right w:val="none" w:sz="0" w:space="0" w:color="auto"/>
                      </w:divBdr>
                      <w:divsChild>
                        <w:div w:id="1346249910">
                          <w:marLeft w:val="0"/>
                          <w:marRight w:val="0"/>
                          <w:marTop w:val="0"/>
                          <w:marBottom w:val="0"/>
                          <w:divBdr>
                            <w:top w:val="none" w:sz="0" w:space="0" w:color="auto"/>
                            <w:left w:val="none" w:sz="0" w:space="0" w:color="auto"/>
                            <w:bottom w:val="none" w:sz="0" w:space="0" w:color="auto"/>
                            <w:right w:val="none" w:sz="0" w:space="0" w:color="auto"/>
                          </w:divBdr>
                          <w:divsChild>
                            <w:div w:id="162137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15922">
      <w:bodyDiv w:val="1"/>
      <w:marLeft w:val="0"/>
      <w:marRight w:val="0"/>
      <w:marTop w:val="0"/>
      <w:marBottom w:val="0"/>
      <w:divBdr>
        <w:top w:val="none" w:sz="0" w:space="0" w:color="auto"/>
        <w:left w:val="none" w:sz="0" w:space="0" w:color="auto"/>
        <w:bottom w:val="none" w:sz="0" w:space="0" w:color="auto"/>
        <w:right w:val="none" w:sz="0" w:space="0" w:color="auto"/>
      </w:divBdr>
    </w:div>
    <w:div w:id="214977531">
      <w:bodyDiv w:val="1"/>
      <w:marLeft w:val="0"/>
      <w:marRight w:val="0"/>
      <w:marTop w:val="0"/>
      <w:marBottom w:val="0"/>
      <w:divBdr>
        <w:top w:val="none" w:sz="0" w:space="0" w:color="auto"/>
        <w:left w:val="none" w:sz="0" w:space="0" w:color="auto"/>
        <w:bottom w:val="none" w:sz="0" w:space="0" w:color="auto"/>
        <w:right w:val="none" w:sz="0" w:space="0" w:color="auto"/>
      </w:divBdr>
    </w:div>
    <w:div w:id="237978968">
      <w:bodyDiv w:val="1"/>
      <w:marLeft w:val="0"/>
      <w:marRight w:val="0"/>
      <w:marTop w:val="0"/>
      <w:marBottom w:val="0"/>
      <w:divBdr>
        <w:top w:val="none" w:sz="0" w:space="0" w:color="auto"/>
        <w:left w:val="none" w:sz="0" w:space="0" w:color="auto"/>
        <w:bottom w:val="none" w:sz="0" w:space="0" w:color="auto"/>
        <w:right w:val="none" w:sz="0" w:space="0" w:color="auto"/>
      </w:divBdr>
    </w:div>
    <w:div w:id="257178054">
      <w:bodyDiv w:val="1"/>
      <w:marLeft w:val="0"/>
      <w:marRight w:val="0"/>
      <w:marTop w:val="0"/>
      <w:marBottom w:val="0"/>
      <w:divBdr>
        <w:top w:val="none" w:sz="0" w:space="0" w:color="auto"/>
        <w:left w:val="none" w:sz="0" w:space="0" w:color="auto"/>
        <w:bottom w:val="none" w:sz="0" w:space="0" w:color="auto"/>
        <w:right w:val="none" w:sz="0" w:space="0" w:color="auto"/>
      </w:divBdr>
    </w:div>
    <w:div w:id="318922728">
      <w:bodyDiv w:val="1"/>
      <w:marLeft w:val="0"/>
      <w:marRight w:val="0"/>
      <w:marTop w:val="0"/>
      <w:marBottom w:val="0"/>
      <w:divBdr>
        <w:top w:val="none" w:sz="0" w:space="0" w:color="auto"/>
        <w:left w:val="none" w:sz="0" w:space="0" w:color="auto"/>
        <w:bottom w:val="none" w:sz="0" w:space="0" w:color="auto"/>
        <w:right w:val="none" w:sz="0" w:space="0" w:color="auto"/>
      </w:divBdr>
    </w:div>
    <w:div w:id="361514044">
      <w:bodyDiv w:val="1"/>
      <w:marLeft w:val="0"/>
      <w:marRight w:val="0"/>
      <w:marTop w:val="0"/>
      <w:marBottom w:val="0"/>
      <w:divBdr>
        <w:top w:val="none" w:sz="0" w:space="0" w:color="auto"/>
        <w:left w:val="none" w:sz="0" w:space="0" w:color="auto"/>
        <w:bottom w:val="none" w:sz="0" w:space="0" w:color="auto"/>
        <w:right w:val="none" w:sz="0" w:space="0" w:color="auto"/>
      </w:divBdr>
    </w:div>
    <w:div w:id="367528352">
      <w:bodyDiv w:val="1"/>
      <w:marLeft w:val="0"/>
      <w:marRight w:val="0"/>
      <w:marTop w:val="0"/>
      <w:marBottom w:val="0"/>
      <w:divBdr>
        <w:top w:val="none" w:sz="0" w:space="0" w:color="auto"/>
        <w:left w:val="none" w:sz="0" w:space="0" w:color="auto"/>
        <w:bottom w:val="none" w:sz="0" w:space="0" w:color="auto"/>
        <w:right w:val="none" w:sz="0" w:space="0" w:color="auto"/>
      </w:divBdr>
    </w:div>
    <w:div w:id="456948782">
      <w:bodyDiv w:val="1"/>
      <w:marLeft w:val="0"/>
      <w:marRight w:val="0"/>
      <w:marTop w:val="0"/>
      <w:marBottom w:val="0"/>
      <w:divBdr>
        <w:top w:val="none" w:sz="0" w:space="0" w:color="auto"/>
        <w:left w:val="none" w:sz="0" w:space="0" w:color="auto"/>
        <w:bottom w:val="none" w:sz="0" w:space="0" w:color="auto"/>
        <w:right w:val="none" w:sz="0" w:space="0" w:color="auto"/>
      </w:divBdr>
    </w:div>
    <w:div w:id="468520860">
      <w:bodyDiv w:val="1"/>
      <w:marLeft w:val="0"/>
      <w:marRight w:val="0"/>
      <w:marTop w:val="0"/>
      <w:marBottom w:val="0"/>
      <w:divBdr>
        <w:top w:val="none" w:sz="0" w:space="0" w:color="auto"/>
        <w:left w:val="none" w:sz="0" w:space="0" w:color="auto"/>
        <w:bottom w:val="none" w:sz="0" w:space="0" w:color="auto"/>
        <w:right w:val="none" w:sz="0" w:space="0" w:color="auto"/>
      </w:divBdr>
    </w:div>
    <w:div w:id="501749382">
      <w:bodyDiv w:val="1"/>
      <w:marLeft w:val="0"/>
      <w:marRight w:val="0"/>
      <w:marTop w:val="0"/>
      <w:marBottom w:val="0"/>
      <w:divBdr>
        <w:top w:val="none" w:sz="0" w:space="0" w:color="auto"/>
        <w:left w:val="none" w:sz="0" w:space="0" w:color="auto"/>
        <w:bottom w:val="none" w:sz="0" w:space="0" w:color="auto"/>
        <w:right w:val="none" w:sz="0" w:space="0" w:color="auto"/>
      </w:divBdr>
    </w:div>
    <w:div w:id="514076657">
      <w:bodyDiv w:val="1"/>
      <w:marLeft w:val="0"/>
      <w:marRight w:val="0"/>
      <w:marTop w:val="0"/>
      <w:marBottom w:val="0"/>
      <w:divBdr>
        <w:top w:val="none" w:sz="0" w:space="0" w:color="auto"/>
        <w:left w:val="none" w:sz="0" w:space="0" w:color="auto"/>
        <w:bottom w:val="none" w:sz="0" w:space="0" w:color="auto"/>
        <w:right w:val="none" w:sz="0" w:space="0" w:color="auto"/>
      </w:divBdr>
    </w:div>
    <w:div w:id="514459135">
      <w:bodyDiv w:val="1"/>
      <w:marLeft w:val="0"/>
      <w:marRight w:val="0"/>
      <w:marTop w:val="0"/>
      <w:marBottom w:val="0"/>
      <w:divBdr>
        <w:top w:val="none" w:sz="0" w:space="0" w:color="auto"/>
        <w:left w:val="none" w:sz="0" w:space="0" w:color="auto"/>
        <w:bottom w:val="none" w:sz="0" w:space="0" w:color="auto"/>
        <w:right w:val="none" w:sz="0" w:space="0" w:color="auto"/>
      </w:divBdr>
    </w:div>
    <w:div w:id="548304146">
      <w:bodyDiv w:val="1"/>
      <w:marLeft w:val="0"/>
      <w:marRight w:val="0"/>
      <w:marTop w:val="0"/>
      <w:marBottom w:val="0"/>
      <w:divBdr>
        <w:top w:val="none" w:sz="0" w:space="0" w:color="auto"/>
        <w:left w:val="none" w:sz="0" w:space="0" w:color="auto"/>
        <w:bottom w:val="none" w:sz="0" w:space="0" w:color="auto"/>
        <w:right w:val="none" w:sz="0" w:space="0" w:color="auto"/>
      </w:divBdr>
    </w:div>
    <w:div w:id="555746588">
      <w:bodyDiv w:val="1"/>
      <w:marLeft w:val="0"/>
      <w:marRight w:val="0"/>
      <w:marTop w:val="0"/>
      <w:marBottom w:val="0"/>
      <w:divBdr>
        <w:top w:val="none" w:sz="0" w:space="0" w:color="auto"/>
        <w:left w:val="none" w:sz="0" w:space="0" w:color="auto"/>
        <w:bottom w:val="none" w:sz="0" w:space="0" w:color="auto"/>
        <w:right w:val="none" w:sz="0" w:space="0" w:color="auto"/>
      </w:divBdr>
    </w:div>
    <w:div w:id="641810172">
      <w:bodyDiv w:val="1"/>
      <w:marLeft w:val="0"/>
      <w:marRight w:val="0"/>
      <w:marTop w:val="0"/>
      <w:marBottom w:val="0"/>
      <w:divBdr>
        <w:top w:val="none" w:sz="0" w:space="0" w:color="auto"/>
        <w:left w:val="none" w:sz="0" w:space="0" w:color="auto"/>
        <w:bottom w:val="none" w:sz="0" w:space="0" w:color="auto"/>
        <w:right w:val="none" w:sz="0" w:space="0" w:color="auto"/>
      </w:divBdr>
    </w:div>
    <w:div w:id="660352250">
      <w:bodyDiv w:val="1"/>
      <w:marLeft w:val="0"/>
      <w:marRight w:val="0"/>
      <w:marTop w:val="0"/>
      <w:marBottom w:val="0"/>
      <w:divBdr>
        <w:top w:val="none" w:sz="0" w:space="0" w:color="auto"/>
        <w:left w:val="none" w:sz="0" w:space="0" w:color="auto"/>
        <w:bottom w:val="none" w:sz="0" w:space="0" w:color="auto"/>
        <w:right w:val="none" w:sz="0" w:space="0" w:color="auto"/>
      </w:divBdr>
    </w:div>
    <w:div w:id="688457258">
      <w:bodyDiv w:val="1"/>
      <w:marLeft w:val="0"/>
      <w:marRight w:val="0"/>
      <w:marTop w:val="0"/>
      <w:marBottom w:val="0"/>
      <w:divBdr>
        <w:top w:val="none" w:sz="0" w:space="0" w:color="auto"/>
        <w:left w:val="none" w:sz="0" w:space="0" w:color="auto"/>
        <w:bottom w:val="none" w:sz="0" w:space="0" w:color="auto"/>
        <w:right w:val="none" w:sz="0" w:space="0" w:color="auto"/>
      </w:divBdr>
    </w:div>
    <w:div w:id="736517002">
      <w:bodyDiv w:val="1"/>
      <w:marLeft w:val="0"/>
      <w:marRight w:val="0"/>
      <w:marTop w:val="0"/>
      <w:marBottom w:val="0"/>
      <w:divBdr>
        <w:top w:val="none" w:sz="0" w:space="0" w:color="auto"/>
        <w:left w:val="none" w:sz="0" w:space="0" w:color="auto"/>
        <w:bottom w:val="none" w:sz="0" w:space="0" w:color="auto"/>
        <w:right w:val="none" w:sz="0" w:space="0" w:color="auto"/>
      </w:divBdr>
    </w:div>
    <w:div w:id="768962598">
      <w:bodyDiv w:val="1"/>
      <w:marLeft w:val="0"/>
      <w:marRight w:val="0"/>
      <w:marTop w:val="0"/>
      <w:marBottom w:val="0"/>
      <w:divBdr>
        <w:top w:val="none" w:sz="0" w:space="0" w:color="auto"/>
        <w:left w:val="none" w:sz="0" w:space="0" w:color="auto"/>
        <w:bottom w:val="none" w:sz="0" w:space="0" w:color="auto"/>
        <w:right w:val="none" w:sz="0" w:space="0" w:color="auto"/>
      </w:divBdr>
    </w:div>
    <w:div w:id="779488734">
      <w:bodyDiv w:val="1"/>
      <w:marLeft w:val="0"/>
      <w:marRight w:val="0"/>
      <w:marTop w:val="0"/>
      <w:marBottom w:val="0"/>
      <w:divBdr>
        <w:top w:val="none" w:sz="0" w:space="0" w:color="auto"/>
        <w:left w:val="none" w:sz="0" w:space="0" w:color="auto"/>
        <w:bottom w:val="none" w:sz="0" w:space="0" w:color="auto"/>
        <w:right w:val="none" w:sz="0" w:space="0" w:color="auto"/>
      </w:divBdr>
    </w:div>
    <w:div w:id="791367744">
      <w:bodyDiv w:val="1"/>
      <w:marLeft w:val="0"/>
      <w:marRight w:val="0"/>
      <w:marTop w:val="0"/>
      <w:marBottom w:val="0"/>
      <w:divBdr>
        <w:top w:val="none" w:sz="0" w:space="0" w:color="auto"/>
        <w:left w:val="none" w:sz="0" w:space="0" w:color="auto"/>
        <w:bottom w:val="none" w:sz="0" w:space="0" w:color="auto"/>
        <w:right w:val="none" w:sz="0" w:space="0" w:color="auto"/>
      </w:divBdr>
    </w:div>
    <w:div w:id="816805527">
      <w:bodyDiv w:val="1"/>
      <w:marLeft w:val="0"/>
      <w:marRight w:val="0"/>
      <w:marTop w:val="0"/>
      <w:marBottom w:val="0"/>
      <w:divBdr>
        <w:top w:val="none" w:sz="0" w:space="0" w:color="auto"/>
        <w:left w:val="none" w:sz="0" w:space="0" w:color="auto"/>
        <w:bottom w:val="none" w:sz="0" w:space="0" w:color="auto"/>
        <w:right w:val="none" w:sz="0" w:space="0" w:color="auto"/>
      </w:divBdr>
    </w:div>
    <w:div w:id="915285241">
      <w:bodyDiv w:val="1"/>
      <w:marLeft w:val="0"/>
      <w:marRight w:val="0"/>
      <w:marTop w:val="0"/>
      <w:marBottom w:val="0"/>
      <w:divBdr>
        <w:top w:val="none" w:sz="0" w:space="0" w:color="auto"/>
        <w:left w:val="none" w:sz="0" w:space="0" w:color="auto"/>
        <w:bottom w:val="none" w:sz="0" w:space="0" w:color="auto"/>
        <w:right w:val="none" w:sz="0" w:space="0" w:color="auto"/>
      </w:divBdr>
    </w:div>
    <w:div w:id="926842328">
      <w:bodyDiv w:val="1"/>
      <w:marLeft w:val="0"/>
      <w:marRight w:val="0"/>
      <w:marTop w:val="0"/>
      <w:marBottom w:val="0"/>
      <w:divBdr>
        <w:top w:val="none" w:sz="0" w:space="0" w:color="auto"/>
        <w:left w:val="none" w:sz="0" w:space="0" w:color="auto"/>
        <w:bottom w:val="none" w:sz="0" w:space="0" w:color="auto"/>
        <w:right w:val="none" w:sz="0" w:space="0" w:color="auto"/>
      </w:divBdr>
    </w:div>
    <w:div w:id="984117516">
      <w:bodyDiv w:val="1"/>
      <w:marLeft w:val="0"/>
      <w:marRight w:val="0"/>
      <w:marTop w:val="0"/>
      <w:marBottom w:val="0"/>
      <w:divBdr>
        <w:top w:val="none" w:sz="0" w:space="0" w:color="auto"/>
        <w:left w:val="none" w:sz="0" w:space="0" w:color="auto"/>
        <w:bottom w:val="none" w:sz="0" w:space="0" w:color="auto"/>
        <w:right w:val="none" w:sz="0" w:space="0" w:color="auto"/>
      </w:divBdr>
    </w:div>
    <w:div w:id="995885154">
      <w:bodyDiv w:val="1"/>
      <w:marLeft w:val="0"/>
      <w:marRight w:val="0"/>
      <w:marTop w:val="0"/>
      <w:marBottom w:val="0"/>
      <w:divBdr>
        <w:top w:val="none" w:sz="0" w:space="0" w:color="auto"/>
        <w:left w:val="none" w:sz="0" w:space="0" w:color="auto"/>
        <w:bottom w:val="none" w:sz="0" w:space="0" w:color="auto"/>
        <w:right w:val="none" w:sz="0" w:space="0" w:color="auto"/>
      </w:divBdr>
    </w:div>
    <w:div w:id="1027482958">
      <w:bodyDiv w:val="1"/>
      <w:marLeft w:val="0"/>
      <w:marRight w:val="0"/>
      <w:marTop w:val="0"/>
      <w:marBottom w:val="0"/>
      <w:divBdr>
        <w:top w:val="none" w:sz="0" w:space="0" w:color="auto"/>
        <w:left w:val="none" w:sz="0" w:space="0" w:color="auto"/>
        <w:bottom w:val="none" w:sz="0" w:space="0" w:color="auto"/>
        <w:right w:val="none" w:sz="0" w:space="0" w:color="auto"/>
      </w:divBdr>
    </w:div>
    <w:div w:id="1097822173">
      <w:bodyDiv w:val="1"/>
      <w:marLeft w:val="0"/>
      <w:marRight w:val="0"/>
      <w:marTop w:val="0"/>
      <w:marBottom w:val="0"/>
      <w:divBdr>
        <w:top w:val="none" w:sz="0" w:space="0" w:color="auto"/>
        <w:left w:val="none" w:sz="0" w:space="0" w:color="auto"/>
        <w:bottom w:val="none" w:sz="0" w:space="0" w:color="auto"/>
        <w:right w:val="none" w:sz="0" w:space="0" w:color="auto"/>
      </w:divBdr>
    </w:div>
    <w:div w:id="1126001700">
      <w:bodyDiv w:val="1"/>
      <w:marLeft w:val="0"/>
      <w:marRight w:val="0"/>
      <w:marTop w:val="0"/>
      <w:marBottom w:val="0"/>
      <w:divBdr>
        <w:top w:val="none" w:sz="0" w:space="0" w:color="auto"/>
        <w:left w:val="none" w:sz="0" w:space="0" w:color="auto"/>
        <w:bottom w:val="none" w:sz="0" w:space="0" w:color="auto"/>
        <w:right w:val="none" w:sz="0" w:space="0" w:color="auto"/>
      </w:divBdr>
    </w:div>
    <w:div w:id="1127969145">
      <w:bodyDiv w:val="1"/>
      <w:marLeft w:val="0"/>
      <w:marRight w:val="0"/>
      <w:marTop w:val="0"/>
      <w:marBottom w:val="0"/>
      <w:divBdr>
        <w:top w:val="none" w:sz="0" w:space="0" w:color="auto"/>
        <w:left w:val="none" w:sz="0" w:space="0" w:color="auto"/>
        <w:bottom w:val="none" w:sz="0" w:space="0" w:color="auto"/>
        <w:right w:val="none" w:sz="0" w:space="0" w:color="auto"/>
      </w:divBdr>
    </w:div>
    <w:div w:id="1197810048">
      <w:bodyDiv w:val="1"/>
      <w:marLeft w:val="0"/>
      <w:marRight w:val="0"/>
      <w:marTop w:val="0"/>
      <w:marBottom w:val="0"/>
      <w:divBdr>
        <w:top w:val="none" w:sz="0" w:space="0" w:color="auto"/>
        <w:left w:val="none" w:sz="0" w:space="0" w:color="auto"/>
        <w:bottom w:val="none" w:sz="0" w:space="0" w:color="auto"/>
        <w:right w:val="none" w:sz="0" w:space="0" w:color="auto"/>
      </w:divBdr>
    </w:div>
    <w:div w:id="1294946244">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41589298">
      <w:bodyDiv w:val="1"/>
      <w:marLeft w:val="0"/>
      <w:marRight w:val="0"/>
      <w:marTop w:val="0"/>
      <w:marBottom w:val="0"/>
      <w:divBdr>
        <w:top w:val="none" w:sz="0" w:space="0" w:color="auto"/>
        <w:left w:val="none" w:sz="0" w:space="0" w:color="auto"/>
        <w:bottom w:val="none" w:sz="0" w:space="0" w:color="auto"/>
        <w:right w:val="none" w:sz="0" w:space="0" w:color="auto"/>
      </w:divBdr>
    </w:div>
    <w:div w:id="1350984866">
      <w:bodyDiv w:val="1"/>
      <w:marLeft w:val="0"/>
      <w:marRight w:val="0"/>
      <w:marTop w:val="0"/>
      <w:marBottom w:val="0"/>
      <w:divBdr>
        <w:top w:val="none" w:sz="0" w:space="0" w:color="auto"/>
        <w:left w:val="none" w:sz="0" w:space="0" w:color="auto"/>
        <w:bottom w:val="none" w:sz="0" w:space="0" w:color="auto"/>
        <w:right w:val="none" w:sz="0" w:space="0" w:color="auto"/>
      </w:divBdr>
    </w:div>
    <w:div w:id="1353993353">
      <w:bodyDiv w:val="1"/>
      <w:marLeft w:val="0"/>
      <w:marRight w:val="0"/>
      <w:marTop w:val="0"/>
      <w:marBottom w:val="0"/>
      <w:divBdr>
        <w:top w:val="none" w:sz="0" w:space="0" w:color="auto"/>
        <w:left w:val="none" w:sz="0" w:space="0" w:color="auto"/>
        <w:bottom w:val="none" w:sz="0" w:space="0" w:color="auto"/>
        <w:right w:val="none" w:sz="0" w:space="0" w:color="auto"/>
      </w:divBdr>
    </w:div>
    <w:div w:id="1360008627">
      <w:bodyDiv w:val="1"/>
      <w:marLeft w:val="0"/>
      <w:marRight w:val="0"/>
      <w:marTop w:val="0"/>
      <w:marBottom w:val="0"/>
      <w:divBdr>
        <w:top w:val="none" w:sz="0" w:space="0" w:color="auto"/>
        <w:left w:val="none" w:sz="0" w:space="0" w:color="auto"/>
        <w:bottom w:val="none" w:sz="0" w:space="0" w:color="auto"/>
        <w:right w:val="none" w:sz="0" w:space="0" w:color="auto"/>
      </w:divBdr>
    </w:div>
    <w:div w:id="1362319311">
      <w:bodyDiv w:val="1"/>
      <w:marLeft w:val="0"/>
      <w:marRight w:val="0"/>
      <w:marTop w:val="0"/>
      <w:marBottom w:val="0"/>
      <w:divBdr>
        <w:top w:val="none" w:sz="0" w:space="0" w:color="auto"/>
        <w:left w:val="none" w:sz="0" w:space="0" w:color="auto"/>
        <w:bottom w:val="none" w:sz="0" w:space="0" w:color="auto"/>
        <w:right w:val="none" w:sz="0" w:space="0" w:color="auto"/>
      </w:divBdr>
    </w:div>
    <w:div w:id="1378772611">
      <w:bodyDiv w:val="1"/>
      <w:marLeft w:val="0"/>
      <w:marRight w:val="0"/>
      <w:marTop w:val="0"/>
      <w:marBottom w:val="0"/>
      <w:divBdr>
        <w:top w:val="none" w:sz="0" w:space="0" w:color="auto"/>
        <w:left w:val="none" w:sz="0" w:space="0" w:color="auto"/>
        <w:bottom w:val="none" w:sz="0" w:space="0" w:color="auto"/>
        <w:right w:val="none" w:sz="0" w:space="0" w:color="auto"/>
      </w:divBdr>
    </w:div>
    <w:div w:id="1382510048">
      <w:bodyDiv w:val="1"/>
      <w:marLeft w:val="0"/>
      <w:marRight w:val="0"/>
      <w:marTop w:val="0"/>
      <w:marBottom w:val="0"/>
      <w:divBdr>
        <w:top w:val="none" w:sz="0" w:space="0" w:color="auto"/>
        <w:left w:val="none" w:sz="0" w:space="0" w:color="auto"/>
        <w:bottom w:val="none" w:sz="0" w:space="0" w:color="auto"/>
        <w:right w:val="none" w:sz="0" w:space="0" w:color="auto"/>
      </w:divBdr>
      <w:divsChild>
        <w:div w:id="1658799678">
          <w:marLeft w:val="0"/>
          <w:marRight w:val="0"/>
          <w:marTop w:val="0"/>
          <w:marBottom w:val="0"/>
          <w:divBdr>
            <w:top w:val="none" w:sz="0" w:space="0" w:color="auto"/>
            <w:left w:val="none" w:sz="0" w:space="0" w:color="auto"/>
            <w:bottom w:val="none" w:sz="0" w:space="0" w:color="auto"/>
            <w:right w:val="none" w:sz="0" w:space="0" w:color="auto"/>
          </w:divBdr>
          <w:divsChild>
            <w:div w:id="1436902406">
              <w:marLeft w:val="0"/>
              <w:marRight w:val="0"/>
              <w:marTop w:val="0"/>
              <w:marBottom w:val="0"/>
              <w:divBdr>
                <w:top w:val="none" w:sz="0" w:space="0" w:color="auto"/>
                <w:left w:val="none" w:sz="0" w:space="0" w:color="auto"/>
                <w:bottom w:val="none" w:sz="0" w:space="0" w:color="auto"/>
                <w:right w:val="none" w:sz="0" w:space="0" w:color="auto"/>
              </w:divBdr>
              <w:divsChild>
                <w:div w:id="1362433595">
                  <w:marLeft w:val="0"/>
                  <w:marRight w:val="0"/>
                  <w:marTop w:val="0"/>
                  <w:marBottom w:val="0"/>
                  <w:divBdr>
                    <w:top w:val="none" w:sz="0" w:space="0" w:color="auto"/>
                    <w:left w:val="none" w:sz="0" w:space="0" w:color="auto"/>
                    <w:bottom w:val="none" w:sz="0" w:space="0" w:color="auto"/>
                    <w:right w:val="none" w:sz="0" w:space="0" w:color="auto"/>
                  </w:divBdr>
                  <w:divsChild>
                    <w:div w:id="1398236886">
                      <w:marLeft w:val="0"/>
                      <w:marRight w:val="0"/>
                      <w:marTop w:val="0"/>
                      <w:marBottom w:val="0"/>
                      <w:divBdr>
                        <w:top w:val="none" w:sz="0" w:space="0" w:color="auto"/>
                        <w:left w:val="none" w:sz="0" w:space="0" w:color="auto"/>
                        <w:bottom w:val="none" w:sz="0" w:space="0" w:color="auto"/>
                        <w:right w:val="none" w:sz="0" w:space="0" w:color="auto"/>
                      </w:divBdr>
                      <w:divsChild>
                        <w:div w:id="1938244485">
                          <w:marLeft w:val="0"/>
                          <w:marRight w:val="0"/>
                          <w:marTop w:val="0"/>
                          <w:marBottom w:val="0"/>
                          <w:divBdr>
                            <w:top w:val="none" w:sz="0" w:space="0" w:color="auto"/>
                            <w:left w:val="none" w:sz="0" w:space="0" w:color="auto"/>
                            <w:bottom w:val="none" w:sz="0" w:space="0" w:color="auto"/>
                            <w:right w:val="none" w:sz="0" w:space="0" w:color="auto"/>
                          </w:divBdr>
                          <w:divsChild>
                            <w:div w:id="208622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9666889">
      <w:bodyDiv w:val="1"/>
      <w:marLeft w:val="0"/>
      <w:marRight w:val="0"/>
      <w:marTop w:val="0"/>
      <w:marBottom w:val="0"/>
      <w:divBdr>
        <w:top w:val="none" w:sz="0" w:space="0" w:color="auto"/>
        <w:left w:val="none" w:sz="0" w:space="0" w:color="auto"/>
        <w:bottom w:val="none" w:sz="0" w:space="0" w:color="auto"/>
        <w:right w:val="none" w:sz="0" w:space="0" w:color="auto"/>
      </w:divBdr>
    </w:div>
    <w:div w:id="1441726924">
      <w:bodyDiv w:val="1"/>
      <w:marLeft w:val="0"/>
      <w:marRight w:val="0"/>
      <w:marTop w:val="0"/>
      <w:marBottom w:val="0"/>
      <w:divBdr>
        <w:top w:val="none" w:sz="0" w:space="0" w:color="auto"/>
        <w:left w:val="none" w:sz="0" w:space="0" w:color="auto"/>
        <w:bottom w:val="none" w:sz="0" w:space="0" w:color="auto"/>
        <w:right w:val="none" w:sz="0" w:space="0" w:color="auto"/>
      </w:divBdr>
    </w:div>
    <w:div w:id="1478953768">
      <w:bodyDiv w:val="1"/>
      <w:marLeft w:val="0"/>
      <w:marRight w:val="0"/>
      <w:marTop w:val="0"/>
      <w:marBottom w:val="0"/>
      <w:divBdr>
        <w:top w:val="none" w:sz="0" w:space="0" w:color="auto"/>
        <w:left w:val="none" w:sz="0" w:space="0" w:color="auto"/>
        <w:bottom w:val="none" w:sz="0" w:space="0" w:color="auto"/>
        <w:right w:val="none" w:sz="0" w:space="0" w:color="auto"/>
      </w:divBdr>
    </w:div>
    <w:div w:id="1548836784">
      <w:bodyDiv w:val="1"/>
      <w:marLeft w:val="0"/>
      <w:marRight w:val="0"/>
      <w:marTop w:val="0"/>
      <w:marBottom w:val="0"/>
      <w:divBdr>
        <w:top w:val="none" w:sz="0" w:space="0" w:color="auto"/>
        <w:left w:val="none" w:sz="0" w:space="0" w:color="auto"/>
        <w:bottom w:val="none" w:sz="0" w:space="0" w:color="auto"/>
        <w:right w:val="none" w:sz="0" w:space="0" w:color="auto"/>
      </w:divBdr>
    </w:div>
    <w:div w:id="1585064888">
      <w:bodyDiv w:val="1"/>
      <w:marLeft w:val="0"/>
      <w:marRight w:val="0"/>
      <w:marTop w:val="0"/>
      <w:marBottom w:val="0"/>
      <w:divBdr>
        <w:top w:val="none" w:sz="0" w:space="0" w:color="auto"/>
        <w:left w:val="none" w:sz="0" w:space="0" w:color="auto"/>
        <w:bottom w:val="none" w:sz="0" w:space="0" w:color="auto"/>
        <w:right w:val="none" w:sz="0" w:space="0" w:color="auto"/>
      </w:divBdr>
    </w:div>
    <w:div w:id="1587881133">
      <w:bodyDiv w:val="1"/>
      <w:marLeft w:val="0"/>
      <w:marRight w:val="0"/>
      <w:marTop w:val="0"/>
      <w:marBottom w:val="0"/>
      <w:divBdr>
        <w:top w:val="none" w:sz="0" w:space="0" w:color="auto"/>
        <w:left w:val="none" w:sz="0" w:space="0" w:color="auto"/>
        <w:bottom w:val="none" w:sz="0" w:space="0" w:color="auto"/>
        <w:right w:val="none" w:sz="0" w:space="0" w:color="auto"/>
      </w:divBdr>
    </w:div>
    <w:div w:id="1594821945">
      <w:bodyDiv w:val="1"/>
      <w:marLeft w:val="0"/>
      <w:marRight w:val="0"/>
      <w:marTop w:val="0"/>
      <w:marBottom w:val="0"/>
      <w:divBdr>
        <w:top w:val="none" w:sz="0" w:space="0" w:color="auto"/>
        <w:left w:val="none" w:sz="0" w:space="0" w:color="auto"/>
        <w:bottom w:val="none" w:sz="0" w:space="0" w:color="auto"/>
        <w:right w:val="none" w:sz="0" w:space="0" w:color="auto"/>
      </w:divBdr>
    </w:div>
    <w:div w:id="1625697606">
      <w:bodyDiv w:val="1"/>
      <w:marLeft w:val="0"/>
      <w:marRight w:val="0"/>
      <w:marTop w:val="0"/>
      <w:marBottom w:val="0"/>
      <w:divBdr>
        <w:top w:val="none" w:sz="0" w:space="0" w:color="auto"/>
        <w:left w:val="none" w:sz="0" w:space="0" w:color="auto"/>
        <w:bottom w:val="none" w:sz="0" w:space="0" w:color="auto"/>
        <w:right w:val="none" w:sz="0" w:space="0" w:color="auto"/>
      </w:divBdr>
    </w:div>
    <w:div w:id="1625883625">
      <w:bodyDiv w:val="1"/>
      <w:marLeft w:val="0"/>
      <w:marRight w:val="0"/>
      <w:marTop w:val="0"/>
      <w:marBottom w:val="0"/>
      <w:divBdr>
        <w:top w:val="none" w:sz="0" w:space="0" w:color="auto"/>
        <w:left w:val="none" w:sz="0" w:space="0" w:color="auto"/>
        <w:bottom w:val="none" w:sz="0" w:space="0" w:color="auto"/>
        <w:right w:val="none" w:sz="0" w:space="0" w:color="auto"/>
      </w:divBdr>
    </w:div>
    <w:div w:id="1690721473">
      <w:bodyDiv w:val="1"/>
      <w:marLeft w:val="0"/>
      <w:marRight w:val="0"/>
      <w:marTop w:val="0"/>
      <w:marBottom w:val="0"/>
      <w:divBdr>
        <w:top w:val="none" w:sz="0" w:space="0" w:color="auto"/>
        <w:left w:val="none" w:sz="0" w:space="0" w:color="auto"/>
        <w:bottom w:val="none" w:sz="0" w:space="0" w:color="auto"/>
        <w:right w:val="none" w:sz="0" w:space="0" w:color="auto"/>
      </w:divBdr>
    </w:div>
    <w:div w:id="1723942219">
      <w:bodyDiv w:val="1"/>
      <w:marLeft w:val="0"/>
      <w:marRight w:val="0"/>
      <w:marTop w:val="0"/>
      <w:marBottom w:val="0"/>
      <w:divBdr>
        <w:top w:val="none" w:sz="0" w:space="0" w:color="auto"/>
        <w:left w:val="none" w:sz="0" w:space="0" w:color="auto"/>
        <w:bottom w:val="none" w:sz="0" w:space="0" w:color="auto"/>
        <w:right w:val="none" w:sz="0" w:space="0" w:color="auto"/>
      </w:divBdr>
    </w:div>
    <w:div w:id="1757168539">
      <w:bodyDiv w:val="1"/>
      <w:marLeft w:val="0"/>
      <w:marRight w:val="0"/>
      <w:marTop w:val="0"/>
      <w:marBottom w:val="0"/>
      <w:divBdr>
        <w:top w:val="none" w:sz="0" w:space="0" w:color="auto"/>
        <w:left w:val="none" w:sz="0" w:space="0" w:color="auto"/>
        <w:bottom w:val="none" w:sz="0" w:space="0" w:color="auto"/>
        <w:right w:val="none" w:sz="0" w:space="0" w:color="auto"/>
      </w:divBdr>
    </w:div>
    <w:div w:id="1792747503">
      <w:bodyDiv w:val="1"/>
      <w:marLeft w:val="0"/>
      <w:marRight w:val="0"/>
      <w:marTop w:val="0"/>
      <w:marBottom w:val="0"/>
      <w:divBdr>
        <w:top w:val="none" w:sz="0" w:space="0" w:color="auto"/>
        <w:left w:val="none" w:sz="0" w:space="0" w:color="auto"/>
        <w:bottom w:val="none" w:sz="0" w:space="0" w:color="auto"/>
        <w:right w:val="none" w:sz="0" w:space="0" w:color="auto"/>
      </w:divBdr>
    </w:div>
    <w:div w:id="1805730871">
      <w:bodyDiv w:val="1"/>
      <w:marLeft w:val="0"/>
      <w:marRight w:val="0"/>
      <w:marTop w:val="0"/>
      <w:marBottom w:val="0"/>
      <w:divBdr>
        <w:top w:val="none" w:sz="0" w:space="0" w:color="auto"/>
        <w:left w:val="none" w:sz="0" w:space="0" w:color="auto"/>
        <w:bottom w:val="none" w:sz="0" w:space="0" w:color="auto"/>
        <w:right w:val="none" w:sz="0" w:space="0" w:color="auto"/>
      </w:divBdr>
    </w:div>
    <w:div w:id="1832063098">
      <w:bodyDiv w:val="1"/>
      <w:marLeft w:val="0"/>
      <w:marRight w:val="0"/>
      <w:marTop w:val="0"/>
      <w:marBottom w:val="0"/>
      <w:divBdr>
        <w:top w:val="none" w:sz="0" w:space="0" w:color="auto"/>
        <w:left w:val="none" w:sz="0" w:space="0" w:color="auto"/>
        <w:bottom w:val="none" w:sz="0" w:space="0" w:color="auto"/>
        <w:right w:val="none" w:sz="0" w:space="0" w:color="auto"/>
      </w:divBdr>
    </w:div>
    <w:div w:id="1859616456">
      <w:bodyDiv w:val="1"/>
      <w:marLeft w:val="0"/>
      <w:marRight w:val="0"/>
      <w:marTop w:val="0"/>
      <w:marBottom w:val="0"/>
      <w:divBdr>
        <w:top w:val="none" w:sz="0" w:space="0" w:color="auto"/>
        <w:left w:val="none" w:sz="0" w:space="0" w:color="auto"/>
        <w:bottom w:val="none" w:sz="0" w:space="0" w:color="auto"/>
        <w:right w:val="none" w:sz="0" w:space="0" w:color="auto"/>
      </w:divBdr>
    </w:div>
    <w:div w:id="1881434883">
      <w:bodyDiv w:val="1"/>
      <w:marLeft w:val="0"/>
      <w:marRight w:val="0"/>
      <w:marTop w:val="0"/>
      <w:marBottom w:val="0"/>
      <w:divBdr>
        <w:top w:val="none" w:sz="0" w:space="0" w:color="auto"/>
        <w:left w:val="none" w:sz="0" w:space="0" w:color="auto"/>
        <w:bottom w:val="none" w:sz="0" w:space="0" w:color="auto"/>
        <w:right w:val="none" w:sz="0" w:space="0" w:color="auto"/>
      </w:divBdr>
    </w:div>
    <w:div w:id="1896504141">
      <w:bodyDiv w:val="1"/>
      <w:marLeft w:val="0"/>
      <w:marRight w:val="0"/>
      <w:marTop w:val="0"/>
      <w:marBottom w:val="0"/>
      <w:divBdr>
        <w:top w:val="none" w:sz="0" w:space="0" w:color="auto"/>
        <w:left w:val="none" w:sz="0" w:space="0" w:color="auto"/>
        <w:bottom w:val="none" w:sz="0" w:space="0" w:color="auto"/>
        <w:right w:val="none" w:sz="0" w:space="0" w:color="auto"/>
      </w:divBdr>
    </w:div>
    <w:div w:id="1903255142">
      <w:bodyDiv w:val="1"/>
      <w:marLeft w:val="0"/>
      <w:marRight w:val="0"/>
      <w:marTop w:val="0"/>
      <w:marBottom w:val="0"/>
      <w:divBdr>
        <w:top w:val="none" w:sz="0" w:space="0" w:color="auto"/>
        <w:left w:val="none" w:sz="0" w:space="0" w:color="auto"/>
        <w:bottom w:val="none" w:sz="0" w:space="0" w:color="auto"/>
        <w:right w:val="none" w:sz="0" w:space="0" w:color="auto"/>
      </w:divBdr>
    </w:div>
    <w:div w:id="1905989578">
      <w:bodyDiv w:val="1"/>
      <w:marLeft w:val="0"/>
      <w:marRight w:val="0"/>
      <w:marTop w:val="0"/>
      <w:marBottom w:val="0"/>
      <w:divBdr>
        <w:top w:val="none" w:sz="0" w:space="0" w:color="auto"/>
        <w:left w:val="none" w:sz="0" w:space="0" w:color="auto"/>
        <w:bottom w:val="none" w:sz="0" w:space="0" w:color="auto"/>
        <w:right w:val="none" w:sz="0" w:space="0" w:color="auto"/>
      </w:divBdr>
    </w:div>
    <w:div w:id="1945263336">
      <w:bodyDiv w:val="1"/>
      <w:marLeft w:val="0"/>
      <w:marRight w:val="0"/>
      <w:marTop w:val="0"/>
      <w:marBottom w:val="0"/>
      <w:divBdr>
        <w:top w:val="none" w:sz="0" w:space="0" w:color="auto"/>
        <w:left w:val="none" w:sz="0" w:space="0" w:color="auto"/>
        <w:bottom w:val="none" w:sz="0" w:space="0" w:color="auto"/>
        <w:right w:val="none" w:sz="0" w:space="0" w:color="auto"/>
      </w:divBdr>
    </w:div>
    <w:div w:id="2048409196">
      <w:bodyDiv w:val="1"/>
      <w:marLeft w:val="0"/>
      <w:marRight w:val="0"/>
      <w:marTop w:val="0"/>
      <w:marBottom w:val="0"/>
      <w:divBdr>
        <w:top w:val="none" w:sz="0" w:space="0" w:color="auto"/>
        <w:left w:val="none" w:sz="0" w:space="0" w:color="auto"/>
        <w:bottom w:val="none" w:sz="0" w:space="0" w:color="auto"/>
        <w:right w:val="none" w:sz="0" w:space="0" w:color="auto"/>
      </w:divBdr>
    </w:div>
    <w:div w:id="2063599194">
      <w:bodyDiv w:val="1"/>
      <w:marLeft w:val="0"/>
      <w:marRight w:val="0"/>
      <w:marTop w:val="0"/>
      <w:marBottom w:val="0"/>
      <w:divBdr>
        <w:top w:val="none" w:sz="0" w:space="0" w:color="auto"/>
        <w:left w:val="none" w:sz="0" w:space="0" w:color="auto"/>
        <w:bottom w:val="none" w:sz="0" w:space="0" w:color="auto"/>
        <w:right w:val="none" w:sz="0" w:space="0" w:color="auto"/>
      </w:divBdr>
      <w:divsChild>
        <w:div w:id="568536284">
          <w:marLeft w:val="360"/>
          <w:marRight w:val="0"/>
          <w:marTop w:val="200"/>
          <w:marBottom w:val="0"/>
          <w:divBdr>
            <w:top w:val="none" w:sz="0" w:space="0" w:color="auto"/>
            <w:left w:val="none" w:sz="0" w:space="0" w:color="auto"/>
            <w:bottom w:val="none" w:sz="0" w:space="0" w:color="auto"/>
            <w:right w:val="none" w:sz="0" w:space="0" w:color="auto"/>
          </w:divBdr>
        </w:div>
      </w:divsChild>
    </w:div>
    <w:div w:id="21468956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C8747-DAA6-4F2D-BDEE-46501B032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16</Pages>
  <Words>4300</Words>
  <Characters>24512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kurylo</dc:creator>
  <cp:lastModifiedBy>robert kurylo</cp:lastModifiedBy>
  <cp:revision>46</cp:revision>
  <dcterms:created xsi:type="dcterms:W3CDTF">2025-02-01T14:37:00Z</dcterms:created>
  <dcterms:modified xsi:type="dcterms:W3CDTF">2025-07-30T14:19:00Z</dcterms:modified>
</cp:coreProperties>
</file>