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0F90F5BB" w:rsidR="00AD6D75" w:rsidRPr="00BB05A0" w:rsidRDefault="00465F16" w:rsidP="009F4F9E">
      <w:pPr>
        <w:pStyle w:val="COVERPAGETEXT"/>
      </w:pPr>
      <w:r>
        <w:t>Ian Dodd</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19705265" w14:textId="10B66EF5" w:rsidR="00AD6D75" w:rsidRPr="00483FC8" w:rsidRDefault="00465F16" w:rsidP="009F4F9E">
      <w:pPr>
        <w:pStyle w:val="COVERPAGETEXT"/>
        <w:rPr>
          <w:sz w:val="40"/>
          <w:szCs w:val="40"/>
        </w:rPr>
      </w:pPr>
      <w:r w:rsidRPr="00483FC8">
        <w:rPr>
          <w:b/>
          <w:sz w:val="32"/>
          <w:szCs w:val="32"/>
        </w:rPr>
        <w:t>Risk Assessment &amp; ALARP Justification for AJAX</w:t>
      </w:r>
    </w:p>
    <w:p w14:paraId="0515AE42" w14:textId="77777777" w:rsidR="00AD6D75" w:rsidRPr="00BB05A0" w:rsidRDefault="00AD6D75" w:rsidP="009F4F9E">
      <w:pPr>
        <w:pStyle w:val="COVERPAGETEXT"/>
      </w:pPr>
    </w:p>
    <w:p w14:paraId="0BE2921F" w14:textId="33A18C68" w:rsidR="00FA1008" w:rsidRDefault="00FA1008" w:rsidP="00FA1008">
      <w:pPr>
        <w:pStyle w:val="COVERPAGETEXT"/>
      </w:pPr>
    </w:p>
    <w:p w14:paraId="6FA74CFF" w14:textId="77777777" w:rsidR="00FA1008" w:rsidRPr="00BB05A0" w:rsidRDefault="00FA1008" w:rsidP="00FA1008">
      <w:pPr>
        <w:pStyle w:val="COVERPAGETEXT"/>
      </w:pPr>
    </w:p>
    <w:p w14:paraId="4836DA8F" w14:textId="28F57AC2" w:rsidR="00AD6D75" w:rsidRDefault="00465F16" w:rsidP="009F4F9E">
      <w:pPr>
        <w:pStyle w:val="COVERPAGETEXT"/>
      </w:pPr>
      <w:r>
        <w:t>University of Wales Trinity St. David</w:t>
      </w:r>
    </w:p>
    <w:p w14:paraId="55D0D009" w14:textId="77777777" w:rsidR="00483FC8" w:rsidRPr="00BB05A0" w:rsidRDefault="00483FC8" w:rsidP="009F4F9E">
      <w:pPr>
        <w:pStyle w:val="COVERPAGETEXT"/>
      </w:pPr>
    </w:p>
    <w:p w14:paraId="52B1F4ED" w14:textId="08EA6B16" w:rsidR="00DA28B2" w:rsidRDefault="00483FC8" w:rsidP="00FA1008">
      <w:pPr>
        <w:pStyle w:val="COVERPAGETEXT"/>
        <w:sectPr w:rsidR="00DA28B2" w:rsidSect="00623A81">
          <w:footerReference w:type="default" r:id="rId12"/>
          <w:pgSz w:w="11906" w:h="16838" w:code="9"/>
          <w:pgMar w:top="1701" w:right="1701" w:bottom="1701" w:left="1701" w:header="709" w:footer="851" w:gutter="0"/>
          <w:pgNumType w:fmt="lowerRoman" w:start="1"/>
          <w:cols w:space="708"/>
          <w:docGrid w:linePitch="360"/>
        </w:sectPr>
      </w:pPr>
      <w:r>
        <w:t xml:space="preserve">Safety and Hazard Assessment </w:t>
      </w:r>
      <w:r w:rsidRPr="00483FC8">
        <w:t>ACDB501</w:t>
      </w:r>
      <w:r w:rsidR="00B85761">
        <w:t>3</w:t>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04CB51DB" w14:textId="6FDE812B" w:rsidR="00F25A85"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203737940" w:history="1">
        <w:r w:rsidR="00F25A85" w:rsidRPr="00530B0D">
          <w:rPr>
            <w:rStyle w:val="Hyperlink"/>
          </w:rPr>
          <w:t>1 Part 1</w:t>
        </w:r>
        <w:r w:rsidR="00F25A85">
          <w:rPr>
            <w:webHidden/>
          </w:rPr>
          <w:tab/>
        </w:r>
        <w:r w:rsidR="00F25A85">
          <w:rPr>
            <w:webHidden/>
          </w:rPr>
          <w:fldChar w:fldCharType="begin"/>
        </w:r>
        <w:r w:rsidR="00F25A85">
          <w:rPr>
            <w:webHidden/>
          </w:rPr>
          <w:instrText xml:space="preserve"> PAGEREF _Toc203737940 \h </w:instrText>
        </w:r>
        <w:r w:rsidR="00F25A85">
          <w:rPr>
            <w:webHidden/>
          </w:rPr>
        </w:r>
        <w:r w:rsidR="00F25A85">
          <w:rPr>
            <w:webHidden/>
          </w:rPr>
          <w:fldChar w:fldCharType="separate"/>
        </w:r>
        <w:r w:rsidR="00F25A85">
          <w:rPr>
            <w:webHidden/>
          </w:rPr>
          <w:t>3</w:t>
        </w:r>
        <w:r w:rsidR="00F25A85">
          <w:rPr>
            <w:webHidden/>
          </w:rPr>
          <w:fldChar w:fldCharType="end"/>
        </w:r>
      </w:hyperlink>
    </w:p>
    <w:p w14:paraId="070FEF0A" w14:textId="2D5D4D20"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1" w:history="1">
        <w:r w:rsidRPr="00530B0D">
          <w:rPr>
            <w:rStyle w:val="Hyperlink"/>
            <w:noProof/>
          </w:rPr>
          <w:t>1.1 System Description</w:t>
        </w:r>
        <w:r>
          <w:rPr>
            <w:noProof/>
            <w:webHidden/>
          </w:rPr>
          <w:tab/>
        </w:r>
        <w:r>
          <w:rPr>
            <w:noProof/>
            <w:webHidden/>
          </w:rPr>
          <w:fldChar w:fldCharType="begin"/>
        </w:r>
        <w:r>
          <w:rPr>
            <w:noProof/>
            <w:webHidden/>
          </w:rPr>
          <w:instrText xml:space="preserve"> PAGEREF _Toc203737941 \h </w:instrText>
        </w:r>
        <w:r>
          <w:rPr>
            <w:noProof/>
            <w:webHidden/>
          </w:rPr>
        </w:r>
        <w:r>
          <w:rPr>
            <w:noProof/>
            <w:webHidden/>
          </w:rPr>
          <w:fldChar w:fldCharType="separate"/>
        </w:r>
        <w:r>
          <w:rPr>
            <w:noProof/>
            <w:webHidden/>
          </w:rPr>
          <w:t>3</w:t>
        </w:r>
        <w:r>
          <w:rPr>
            <w:noProof/>
            <w:webHidden/>
          </w:rPr>
          <w:fldChar w:fldCharType="end"/>
        </w:r>
      </w:hyperlink>
    </w:p>
    <w:p w14:paraId="09521A1E" w14:textId="00B8BD12"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2" w:history="1">
        <w:r w:rsidRPr="00530B0D">
          <w:rPr>
            <w:rStyle w:val="Hyperlink"/>
            <w:noProof/>
          </w:rPr>
          <w:t>1.2 Risk Classification Matrix</w:t>
        </w:r>
        <w:r>
          <w:rPr>
            <w:noProof/>
            <w:webHidden/>
          </w:rPr>
          <w:tab/>
        </w:r>
        <w:r>
          <w:rPr>
            <w:noProof/>
            <w:webHidden/>
          </w:rPr>
          <w:fldChar w:fldCharType="begin"/>
        </w:r>
        <w:r>
          <w:rPr>
            <w:noProof/>
            <w:webHidden/>
          </w:rPr>
          <w:instrText xml:space="preserve"> PAGEREF _Toc203737942 \h </w:instrText>
        </w:r>
        <w:r>
          <w:rPr>
            <w:noProof/>
            <w:webHidden/>
          </w:rPr>
        </w:r>
        <w:r>
          <w:rPr>
            <w:noProof/>
            <w:webHidden/>
          </w:rPr>
          <w:fldChar w:fldCharType="separate"/>
        </w:r>
        <w:r>
          <w:rPr>
            <w:noProof/>
            <w:webHidden/>
          </w:rPr>
          <w:t>3</w:t>
        </w:r>
        <w:r>
          <w:rPr>
            <w:noProof/>
            <w:webHidden/>
          </w:rPr>
          <w:fldChar w:fldCharType="end"/>
        </w:r>
      </w:hyperlink>
    </w:p>
    <w:p w14:paraId="2DC0AF51" w14:textId="32C60274"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3" w:history="1">
        <w:r w:rsidRPr="00530B0D">
          <w:rPr>
            <w:rStyle w:val="Hyperlink"/>
            <w:noProof/>
          </w:rPr>
          <w:t>1.3 Hazard Identification</w:t>
        </w:r>
        <w:r>
          <w:rPr>
            <w:noProof/>
            <w:webHidden/>
          </w:rPr>
          <w:tab/>
        </w:r>
        <w:r>
          <w:rPr>
            <w:noProof/>
            <w:webHidden/>
          </w:rPr>
          <w:fldChar w:fldCharType="begin"/>
        </w:r>
        <w:r>
          <w:rPr>
            <w:noProof/>
            <w:webHidden/>
          </w:rPr>
          <w:instrText xml:space="preserve"> PAGEREF _Toc203737943 \h </w:instrText>
        </w:r>
        <w:r>
          <w:rPr>
            <w:noProof/>
            <w:webHidden/>
          </w:rPr>
        </w:r>
        <w:r>
          <w:rPr>
            <w:noProof/>
            <w:webHidden/>
          </w:rPr>
          <w:fldChar w:fldCharType="separate"/>
        </w:r>
        <w:r>
          <w:rPr>
            <w:noProof/>
            <w:webHidden/>
          </w:rPr>
          <w:t>4</w:t>
        </w:r>
        <w:r>
          <w:rPr>
            <w:noProof/>
            <w:webHidden/>
          </w:rPr>
          <w:fldChar w:fldCharType="end"/>
        </w:r>
      </w:hyperlink>
    </w:p>
    <w:p w14:paraId="541275AA" w14:textId="78D97E48"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4" w:history="1">
        <w:r w:rsidRPr="00530B0D">
          <w:rPr>
            <w:rStyle w:val="Hyperlink"/>
            <w:noProof/>
          </w:rPr>
          <w:t>1.4 Control Identification</w:t>
        </w:r>
        <w:r>
          <w:rPr>
            <w:noProof/>
            <w:webHidden/>
          </w:rPr>
          <w:tab/>
        </w:r>
        <w:r>
          <w:rPr>
            <w:noProof/>
            <w:webHidden/>
          </w:rPr>
          <w:fldChar w:fldCharType="begin"/>
        </w:r>
        <w:r>
          <w:rPr>
            <w:noProof/>
            <w:webHidden/>
          </w:rPr>
          <w:instrText xml:space="preserve"> PAGEREF _Toc203737944 \h </w:instrText>
        </w:r>
        <w:r>
          <w:rPr>
            <w:noProof/>
            <w:webHidden/>
          </w:rPr>
        </w:r>
        <w:r>
          <w:rPr>
            <w:noProof/>
            <w:webHidden/>
          </w:rPr>
          <w:fldChar w:fldCharType="separate"/>
        </w:r>
        <w:r>
          <w:rPr>
            <w:noProof/>
            <w:webHidden/>
          </w:rPr>
          <w:t>6</w:t>
        </w:r>
        <w:r>
          <w:rPr>
            <w:noProof/>
            <w:webHidden/>
          </w:rPr>
          <w:fldChar w:fldCharType="end"/>
        </w:r>
      </w:hyperlink>
    </w:p>
    <w:p w14:paraId="6338E049" w14:textId="6EF588A7"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5" w:history="1">
        <w:r w:rsidRPr="00530B0D">
          <w:rPr>
            <w:rStyle w:val="Hyperlink"/>
            <w:noProof/>
          </w:rPr>
          <w:t>1.5 Risk Assessment</w:t>
        </w:r>
        <w:r>
          <w:rPr>
            <w:noProof/>
            <w:webHidden/>
          </w:rPr>
          <w:tab/>
        </w:r>
        <w:r>
          <w:rPr>
            <w:noProof/>
            <w:webHidden/>
          </w:rPr>
          <w:fldChar w:fldCharType="begin"/>
        </w:r>
        <w:r>
          <w:rPr>
            <w:noProof/>
            <w:webHidden/>
          </w:rPr>
          <w:instrText xml:space="preserve"> PAGEREF _Toc203737945 \h </w:instrText>
        </w:r>
        <w:r>
          <w:rPr>
            <w:noProof/>
            <w:webHidden/>
          </w:rPr>
        </w:r>
        <w:r>
          <w:rPr>
            <w:noProof/>
            <w:webHidden/>
          </w:rPr>
          <w:fldChar w:fldCharType="separate"/>
        </w:r>
        <w:r>
          <w:rPr>
            <w:noProof/>
            <w:webHidden/>
          </w:rPr>
          <w:t>7</w:t>
        </w:r>
        <w:r>
          <w:rPr>
            <w:noProof/>
            <w:webHidden/>
          </w:rPr>
          <w:fldChar w:fldCharType="end"/>
        </w:r>
      </w:hyperlink>
    </w:p>
    <w:p w14:paraId="18012F15" w14:textId="7720E934" w:rsidR="00F25A85" w:rsidRDefault="00F25A85">
      <w:pPr>
        <w:pStyle w:val="TOC1"/>
        <w:rPr>
          <w:rFonts w:asciiTheme="minorHAnsi" w:eastAsiaTheme="minorEastAsia" w:hAnsiTheme="minorHAnsi" w:cstheme="minorBidi"/>
          <w:kern w:val="2"/>
          <w:lang w:eastAsia="en-GB"/>
          <w14:ligatures w14:val="standardContextual"/>
        </w:rPr>
      </w:pPr>
      <w:hyperlink w:anchor="_Toc203737946" w:history="1">
        <w:r w:rsidRPr="00530B0D">
          <w:rPr>
            <w:rStyle w:val="Hyperlink"/>
          </w:rPr>
          <w:t>2 Part 2 - ALARP Justification of HAZ-001: Heavy Vehicle Movement</w:t>
        </w:r>
        <w:r>
          <w:rPr>
            <w:webHidden/>
          </w:rPr>
          <w:tab/>
        </w:r>
        <w:r>
          <w:rPr>
            <w:webHidden/>
          </w:rPr>
          <w:fldChar w:fldCharType="begin"/>
        </w:r>
        <w:r>
          <w:rPr>
            <w:webHidden/>
          </w:rPr>
          <w:instrText xml:space="preserve"> PAGEREF _Toc203737946 \h </w:instrText>
        </w:r>
        <w:r>
          <w:rPr>
            <w:webHidden/>
          </w:rPr>
        </w:r>
        <w:r>
          <w:rPr>
            <w:webHidden/>
          </w:rPr>
          <w:fldChar w:fldCharType="separate"/>
        </w:r>
        <w:r>
          <w:rPr>
            <w:webHidden/>
          </w:rPr>
          <w:t>8</w:t>
        </w:r>
        <w:r>
          <w:rPr>
            <w:webHidden/>
          </w:rPr>
          <w:fldChar w:fldCharType="end"/>
        </w:r>
      </w:hyperlink>
    </w:p>
    <w:p w14:paraId="0077F4F3" w14:textId="333D3ECF"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7" w:history="1">
        <w:r w:rsidRPr="00530B0D">
          <w:rPr>
            <w:rStyle w:val="Hyperlink"/>
            <w:noProof/>
          </w:rPr>
          <w:t>2.1 Introduction</w:t>
        </w:r>
        <w:r>
          <w:rPr>
            <w:noProof/>
            <w:webHidden/>
          </w:rPr>
          <w:tab/>
        </w:r>
        <w:r>
          <w:rPr>
            <w:noProof/>
            <w:webHidden/>
          </w:rPr>
          <w:fldChar w:fldCharType="begin"/>
        </w:r>
        <w:r>
          <w:rPr>
            <w:noProof/>
            <w:webHidden/>
          </w:rPr>
          <w:instrText xml:space="preserve"> PAGEREF _Toc203737947 \h </w:instrText>
        </w:r>
        <w:r>
          <w:rPr>
            <w:noProof/>
            <w:webHidden/>
          </w:rPr>
        </w:r>
        <w:r>
          <w:rPr>
            <w:noProof/>
            <w:webHidden/>
          </w:rPr>
          <w:fldChar w:fldCharType="separate"/>
        </w:r>
        <w:r>
          <w:rPr>
            <w:noProof/>
            <w:webHidden/>
          </w:rPr>
          <w:t>8</w:t>
        </w:r>
        <w:r>
          <w:rPr>
            <w:noProof/>
            <w:webHidden/>
          </w:rPr>
          <w:fldChar w:fldCharType="end"/>
        </w:r>
      </w:hyperlink>
    </w:p>
    <w:p w14:paraId="14FCCA39" w14:textId="305BA929"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8" w:history="1">
        <w:r w:rsidRPr="00530B0D">
          <w:rPr>
            <w:rStyle w:val="Hyperlink"/>
            <w:noProof/>
          </w:rPr>
          <w:t>2.2 Hazard</w:t>
        </w:r>
        <w:r>
          <w:rPr>
            <w:noProof/>
            <w:webHidden/>
          </w:rPr>
          <w:tab/>
        </w:r>
        <w:r>
          <w:rPr>
            <w:noProof/>
            <w:webHidden/>
          </w:rPr>
          <w:fldChar w:fldCharType="begin"/>
        </w:r>
        <w:r>
          <w:rPr>
            <w:noProof/>
            <w:webHidden/>
          </w:rPr>
          <w:instrText xml:space="preserve"> PAGEREF _Toc203737948 \h </w:instrText>
        </w:r>
        <w:r>
          <w:rPr>
            <w:noProof/>
            <w:webHidden/>
          </w:rPr>
        </w:r>
        <w:r>
          <w:rPr>
            <w:noProof/>
            <w:webHidden/>
          </w:rPr>
          <w:fldChar w:fldCharType="separate"/>
        </w:r>
        <w:r>
          <w:rPr>
            <w:noProof/>
            <w:webHidden/>
          </w:rPr>
          <w:t>8</w:t>
        </w:r>
        <w:r>
          <w:rPr>
            <w:noProof/>
            <w:webHidden/>
          </w:rPr>
          <w:fldChar w:fldCharType="end"/>
        </w:r>
      </w:hyperlink>
    </w:p>
    <w:p w14:paraId="40E6AC2C" w14:textId="7BAB6A0C"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49" w:history="1">
        <w:r w:rsidRPr="00530B0D">
          <w:rPr>
            <w:rStyle w:val="Hyperlink"/>
            <w:noProof/>
          </w:rPr>
          <w:t>2.3 Risk</w:t>
        </w:r>
        <w:r>
          <w:rPr>
            <w:noProof/>
            <w:webHidden/>
          </w:rPr>
          <w:tab/>
        </w:r>
        <w:r>
          <w:rPr>
            <w:noProof/>
            <w:webHidden/>
          </w:rPr>
          <w:fldChar w:fldCharType="begin"/>
        </w:r>
        <w:r>
          <w:rPr>
            <w:noProof/>
            <w:webHidden/>
          </w:rPr>
          <w:instrText xml:space="preserve"> PAGEREF _Toc203737949 \h </w:instrText>
        </w:r>
        <w:r>
          <w:rPr>
            <w:noProof/>
            <w:webHidden/>
          </w:rPr>
        </w:r>
        <w:r>
          <w:rPr>
            <w:noProof/>
            <w:webHidden/>
          </w:rPr>
          <w:fldChar w:fldCharType="separate"/>
        </w:r>
        <w:r>
          <w:rPr>
            <w:noProof/>
            <w:webHidden/>
          </w:rPr>
          <w:t>8</w:t>
        </w:r>
        <w:r>
          <w:rPr>
            <w:noProof/>
            <w:webHidden/>
          </w:rPr>
          <w:fldChar w:fldCharType="end"/>
        </w:r>
      </w:hyperlink>
    </w:p>
    <w:p w14:paraId="6C67F38E" w14:textId="5BBFFD5F"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0" w:history="1">
        <w:r w:rsidRPr="00530B0D">
          <w:rPr>
            <w:rStyle w:val="Hyperlink"/>
            <w:noProof/>
          </w:rPr>
          <w:t>2.4 Control Measures</w:t>
        </w:r>
        <w:r>
          <w:rPr>
            <w:noProof/>
            <w:webHidden/>
          </w:rPr>
          <w:tab/>
        </w:r>
        <w:r>
          <w:rPr>
            <w:noProof/>
            <w:webHidden/>
          </w:rPr>
          <w:fldChar w:fldCharType="begin"/>
        </w:r>
        <w:r>
          <w:rPr>
            <w:noProof/>
            <w:webHidden/>
          </w:rPr>
          <w:instrText xml:space="preserve"> PAGEREF _Toc203737950 \h </w:instrText>
        </w:r>
        <w:r>
          <w:rPr>
            <w:noProof/>
            <w:webHidden/>
          </w:rPr>
        </w:r>
        <w:r>
          <w:rPr>
            <w:noProof/>
            <w:webHidden/>
          </w:rPr>
          <w:fldChar w:fldCharType="separate"/>
        </w:r>
        <w:r>
          <w:rPr>
            <w:noProof/>
            <w:webHidden/>
          </w:rPr>
          <w:t>8</w:t>
        </w:r>
        <w:r>
          <w:rPr>
            <w:noProof/>
            <w:webHidden/>
          </w:rPr>
          <w:fldChar w:fldCharType="end"/>
        </w:r>
      </w:hyperlink>
    </w:p>
    <w:p w14:paraId="6AF76F64" w14:textId="038273F5"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1" w:history="1">
        <w:r w:rsidRPr="00530B0D">
          <w:rPr>
            <w:rStyle w:val="Hyperlink"/>
            <w:noProof/>
          </w:rPr>
          <w:t>2.5 ALARP</w:t>
        </w:r>
        <w:r>
          <w:rPr>
            <w:noProof/>
            <w:webHidden/>
          </w:rPr>
          <w:tab/>
        </w:r>
        <w:r>
          <w:rPr>
            <w:noProof/>
            <w:webHidden/>
          </w:rPr>
          <w:fldChar w:fldCharType="begin"/>
        </w:r>
        <w:r>
          <w:rPr>
            <w:noProof/>
            <w:webHidden/>
          </w:rPr>
          <w:instrText xml:space="preserve"> PAGEREF _Toc203737951 \h </w:instrText>
        </w:r>
        <w:r>
          <w:rPr>
            <w:noProof/>
            <w:webHidden/>
          </w:rPr>
        </w:r>
        <w:r>
          <w:rPr>
            <w:noProof/>
            <w:webHidden/>
          </w:rPr>
          <w:fldChar w:fldCharType="separate"/>
        </w:r>
        <w:r>
          <w:rPr>
            <w:noProof/>
            <w:webHidden/>
          </w:rPr>
          <w:t>9</w:t>
        </w:r>
        <w:r>
          <w:rPr>
            <w:noProof/>
            <w:webHidden/>
          </w:rPr>
          <w:fldChar w:fldCharType="end"/>
        </w:r>
      </w:hyperlink>
    </w:p>
    <w:p w14:paraId="3179433E" w14:textId="2FF1040C"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2" w:history="1">
        <w:r w:rsidRPr="00530B0D">
          <w:rPr>
            <w:rStyle w:val="Hyperlink"/>
            <w:noProof/>
          </w:rPr>
          <w:t>2.5.1 Control Effectiveness</w:t>
        </w:r>
        <w:r>
          <w:rPr>
            <w:noProof/>
            <w:webHidden/>
          </w:rPr>
          <w:tab/>
        </w:r>
        <w:r>
          <w:rPr>
            <w:noProof/>
            <w:webHidden/>
          </w:rPr>
          <w:fldChar w:fldCharType="begin"/>
        </w:r>
        <w:r>
          <w:rPr>
            <w:noProof/>
            <w:webHidden/>
          </w:rPr>
          <w:instrText xml:space="preserve"> PAGEREF _Toc203737952 \h </w:instrText>
        </w:r>
        <w:r>
          <w:rPr>
            <w:noProof/>
            <w:webHidden/>
          </w:rPr>
        </w:r>
        <w:r>
          <w:rPr>
            <w:noProof/>
            <w:webHidden/>
          </w:rPr>
          <w:fldChar w:fldCharType="separate"/>
        </w:r>
        <w:r>
          <w:rPr>
            <w:noProof/>
            <w:webHidden/>
          </w:rPr>
          <w:t>9</w:t>
        </w:r>
        <w:r>
          <w:rPr>
            <w:noProof/>
            <w:webHidden/>
          </w:rPr>
          <w:fldChar w:fldCharType="end"/>
        </w:r>
      </w:hyperlink>
    </w:p>
    <w:p w14:paraId="14157B5E" w14:textId="27F0D99A"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3" w:history="1">
        <w:r w:rsidRPr="00530B0D">
          <w:rPr>
            <w:rStyle w:val="Hyperlink"/>
            <w:noProof/>
          </w:rPr>
          <w:t>2.5.2 Reasonable Practicability</w:t>
        </w:r>
        <w:r>
          <w:rPr>
            <w:noProof/>
            <w:webHidden/>
          </w:rPr>
          <w:tab/>
        </w:r>
        <w:r>
          <w:rPr>
            <w:noProof/>
            <w:webHidden/>
          </w:rPr>
          <w:fldChar w:fldCharType="begin"/>
        </w:r>
        <w:r>
          <w:rPr>
            <w:noProof/>
            <w:webHidden/>
          </w:rPr>
          <w:instrText xml:space="preserve"> PAGEREF _Toc203737953 \h </w:instrText>
        </w:r>
        <w:r>
          <w:rPr>
            <w:noProof/>
            <w:webHidden/>
          </w:rPr>
        </w:r>
        <w:r>
          <w:rPr>
            <w:noProof/>
            <w:webHidden/>
          </w:rPr>
          <w:fldChar w:fldCharType="separate"/>
        </w:r>
        <w:r>
          <w:rPr>
            <w:noProof/>
            <w:webHidden/>
          </w:rPr>
          <w:t>9</w:t>
        </w:r>
        <w:r>
          <w:rPr>
            <w:noProof/>
            <w:webHidden/>
          </w:rPr>
          <w:fldChar w:fldCharType="end"/>
        </w:r>
      </w:hyperlink>
    </w:p>
    <w:p w14:paraId="172A7076" w14:textId="5FD7E923"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4" w:history="1">
        <w:r w:rsidRPr="00530B0D">
          <w:rPr>
            <w:rStyle w:val="Hyperlink"/>
            <w:noProof/>
          </w:rPr>
          <w:t>2.6 Discounted Controls and Justifications</w:t>
        </w:r>
        <w:r>
          <w:rPr>
            <w:noProof/>
            <w:webHidden/>
          </w:rPr>
          <w:tab/>
        </w:r>
        <w:r>
          <w:rPr>
            <w:noProof/>
            <w:webHidden/>
          </w:rPr>
          <w:fldChar w:fldCharType="begin"/>
        </w:r>
        <w:r>
          <w:rPr>
            <w:noProof/>
            <w:webHidden/>
          </w:rPr>
          <w:instrText xml:space="preserve"> PAGEREF _Toc203737954 \h </w:instrText>
        </w:r>
        <w:r>
          <w:rPr>
            <w:noProof/>
            <w:webHidden/>
          </w:rPr>
        </w:r>
        <w:r>
          <w:rPr>
            <w:noProof/>
            <w:webHidden/>
          </w:rPr>
          <w:fldChar w:fldCharType="separate"/>
        </w:r>
        <w:r>
          <w:rPr>
            <w:noProof/>
            <w:webHidden/>
          </w:rPr>
          <w:t>10</w:t>
        </w:r>
        <w:r>
          <w:rPr>
            <w:noProof/>
            <w:webHidden/>
          </w:rPr>
          <w:fldChar w:fldCharType="end"/>
        </w:r>
      </w:hyperlink>
    </w:p>
    <w:p w14:paraId="522911E4" w14:textId="22D4D3F6"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5" w:history="1">
        <w:r w:rsidRPr="00530B0D">
          <w:rPr>
            <w:rStyle w:val="Hyperlink"/>
            <w:noProof/>
          </w:rPr>
          <w:t>2.6.1 Fully Autonomous Vehicle Movement</w:t>
        </w:r>
        <w:r>
          <w:rPr>
            <w:noProof/>
            <w:webHidden/>
          </w:rPr>
          <w:tab/>
        </w:r>
        <w:r>
          <w:rPr>
            <w:noProof/>
            <w:webHidden/>
          </w:rPr>
          <w:fldChar w:fldCharType="begin"/>
        </w:r>
        <w:r>
          <w:rPr>
            <w:noProof/>
            <w:webHidden/>
          </w:rPr>
          <w:instrText xml:space="preserve"> PAGEREF _Toc203737955 \h </w:instrText>
        </w:r>
        <w:r>
          <w:rPr>
            <w:noProof/>
            <w:webHidden/>
          </w:rPr>
        </w:r>
        <w:r>
          <w:rPr>
            <w:noProof/>
            <w:webHidden/>
          </w:rPr>
          <w:fldChar w:fldCharType="separate"/>
        </w:r>
        <w:r>
          <w:rPr>
            <w:noProof/>
            <w:webHidden/>
          </w:rPr>
          <w:t>10</w:t>
        </w:r>
        <w:r>
          <w:rPr>
            <w:noProof/>
            <w:webHidden/>
          </w:rPr>
          <w:fldChar w:fldCharType="end"/>
        </w:r>
      </w:hyperlink>
    </w:p>
    <w:p w14:paraId="0CA04C6C" w14:textId="407D07F7"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6" w:history="1">
        <w:r w:rsidRPr="00530B0D">
          <w:rPr>
            <w:rStyle w:val="Hyperlink"/>
            <w:noProof/>
          </w:rPr>
          <w:t>2.6.2 Remote Monitoring of Driver Inputs</w:t>
        </w:r>
        <w:r>
          <w:rPr>
            <w:noProof/>
            <w:webHidden/>
          </w:rPr>
          <w:tab/>
        </w:r>
        <w:r>
          <w:rPr>
            <w:noProof/>
            <w:webHidden/>
          </w:rPr>
          <w:fldChar w:fldCharType="begin"/>
        </w:r>
        <w:r>
          <w:rPr>
            <w:noProof/>
            <w:webHidden/>
          </w:rPr>
          <w:instrText xml:space="preserve"> PAGEREF _Toc203737956 \h </w:instrText>
        </w:r>
        <w:r>
          <w:rPr>
            <w:noProof/>
            <w:webHidden/>
          </w:rPr>
        </w:r>
        <w:r>
          <w:rPr>
            <w:noProof/>
            <w:webHidden/>
          </w:rPr>
          <w:fldChar w:fldCharType="separate"/>
        </w:r>
        <w:r>
          <w:rPr>
            <w:noProof/>
            <w:webHidden/>
          </w:rPr>
          <w:t>10</w:t>
        </w:r>
        <w:r>
          <w:rPr>
            <w:noProof/>
            <w:webHidden/>
          </w:rPr>
          <w:fldChar w:fldCharType="end"/>
        </w:r>
      </w:hyperlink>
    </w:p>
    <w:p w14:paraId="7CA0709F" w14:textId="0B1049FA"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7" w:history="1">
        <w:r w:rsidRPr="00530B0D">
          <w:rPr>
            <w:rStyle w:val="Hyperlink"/>
            <w:noProof/>
          </w:rPr>
          <w:t>2.6.3 Reinforced Pedestrian Barriers in Forward Operating Areas</w:t>
        </w:r>
        <w:r>
          <w:rPr>
            <w:noProof/>
            <w:webHidden/>
          </w:rPr>
          <w:tab/>
        </w:r>
        <w:r>
          <w:rPr>
            <w:noProof/>
            <w:webHidden/>
          </w:rPr>
          <w:fldChar w:fldCharType="begin"/>
        </w:r>
        <w:r>
          <w:rPr>
            <w:noProof/>
            <w:webHidden/>
          </w:rPr>
          <w:instrText xml:space="preserve"> PAGEREF _Toc203737957 \h </w:instrText>
        </w:r>
        <w:r>
          <w:rPr>
            <w:noProof/>
            <w:webHidden/>
          </w:rPr>
        </w:r>
        <w:r>
          <w:rPr>
            <w:noProof/>
            <w:webHidden/>
          </w:rPr>
          <w:fldChar w:fldCharType="separate"/>
        </w:r>
        <w:r>
          <w:rPr>
            <w:noProof/>
            <w:webHidden/>
          </w:rPr>
          <w:t>10</w:t>
        </w:r>
        <w:r>
          <w:rPr>
            <w:noProof/>
            <w:webHidden/>
          </w:rPr>
          <w:fldChar w:fldCharType="end"/>
        </w:r>
      </w:hyperlink>
    </w:p>
    <w:p w14:paraId="320D761A" w14:textId="194D5E87"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58" w:history="1">
        <w:r w:rsidRPr="00530B0D">
          <w:rPr>
            <w:rStyle w:val="Hyperlink"/>
            <w:noProof/>
          </w:rPr>
          <w:t>2.7 Maintaining ALARP Status</w:t>
        </w:r>
        <w:r>
          <w:rPr>
            <w:noProof/>
            <w:webHidden/>
          </w:rPr>
          <w:tab/>
        </w:r>
        <w:r>
          <w:rPr>
            <w:noProof/>
            <w:webHidden/>
          </w:rPr>
          <w:fldChar w:fldCharType="begin"/>
        </w:r>
        <w:r>
          <w:rPr>
            <w:noProof/>
            <w:webHidden/>
          </w:rPr>
          <w:instrText xml:space="preserve"> PAGEREF _Toc203737958 \h </w:instrText>
        </w:r>
        <w:r>
          <w:rPr>
            <w:noProof/>
            <w:webHidden/>
          </w:rPr>
        </w:r>
        <w:r>
          <w:rPr>
            <w:noProof/>
            <w:webHidden/>
          </w:rPr>
          <w:fldChar w:fldCharType="separate"/>
        </w:r>
        <w:r>
          <w:rPr>
            <w:noProof/>
            <w:webHidden/>
          </w:rPr>
          <w:t>11</w:t>
        </w:r>
        <w:r>
          <w:rPr>
            <w:noProof/>
            <w:webHidden/>
          </w:rPr>
          <w:fldChar w:fldCharType="end"/>
        </w:r>
      </w:hyperlink>
    </w:p>
    <w:p w14:paraId="4978A47A" w14:textId="7A3C2535"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59" w:history="1">
        <w:r w:rsidRPr="00530B0D">
          <w:rPr>
            <w:rStyle w:val="Hyperlink"/>
            <w:noProof/>
          </w:rPr>
          <w:t>2.7.1 Continuous Improvement</w:t>
        </w:r>
        <w:r>
          <w:rPr>
            <w:noProof/>
            <w:webHidden/>
          </w:rPr>
          <w:tab/>
        </w:r>
        <w:r>
          <w:rPr>
            <w:noProof/>
            <w:webHidden/>
          </w:rPr>
          <w:fldChar w:fldCharType="begin"/>
        </w:r>
        <w:r>
          <w:rPr>
            <w:noProof/>
            <w:webHidden/>
          </w:rPr>
          <w:instrText xml:space="preserve"> PAGEREF _Toc203737959 \h </w:instrText>
        </w:r>
        <w:r>
          <w:rPr>
            <w:noProof/>
            <w:webHidden/>
          </w:rPr>
        </w:r>
        <w:r>
          <w:rPr>
            <w:noProof/>
            <w:webHidden/>
          </w:rPr>
          <w:fldChar w:fldCharType="separate"/>
        </w:r>
        <w:r>
          <w:rPr>
            <w:noProof/>
            <w:webHidden/>
          </w:rPr>
          <w:t>11</w:t>
        </w:r>
        <w:r>
          <w:rPr>
            <w:noProof/>
            <w:webHidden/>
          </w:rPr>
          <w:fldChar w:fldCharType="end"/>
        </w:r>
      </w:hyperlink>
    </w:p>
    <w:p w14:paraId="344ABEC7" w14:textId="05B71A89"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60" w:history="1">
        <w:r w:rsidRPr="00530B0D">
          <w:rPr>
            <w:rStyle w:val="Hyperlink"/>
            <w:noProof/>
          </w:rPr>
          <w:t>2.7.2 Periodic Risk Reassessment</w:t>
        </w:r>
        <w:r>
          <w:rPr>
            <w:noProof/>
            <w:webHidden/>
          </w:rPr>
          <w:tab/>
        </w:r>
        <w:r>
          <w:rPr>
            <w:noProof/>
            <w:webHidden/>
          </w:rPr>
          <w:fldChar w:fldCharType="begin"/>
        </w:r>
        <w:r>
          <w:rPr>
            <w:noProof/>
            <w:webHidden/>
          </w:rPr>
          <w:instrText xml:space="preserve"> PAGEREF _Toc203737960 \h </w:instrText>
        </w:r>
        <w:r>
          <w:rPr>
            <w:noProof/>
            <w:webHidden/>
          </w:rPr>
        </w:r>
        <w:r>
          <w:rPr>
            <w:noProof/>
            <w:webHidden/>
          </w:rPr>
          <w:fldChar w:fldCharType="separate"/>
        </w:r>
        <w:r>
          <w:rPr>
            <w:noProof/>
            <w:webHidden/>
          </w:rPr>
          <w:t>11</w:t>
        </w:r>
        <w:r>
          <w:rPr>
            <w:noProof/>
            <w:webHidden/>
          </w:rPr>
          <w:fldChar w:fldCharType="end"/>
        </w:r>
      </w:hyperlink>
    </w:p>
    <w:p w14:paraId="3285A5B2" w14:textId="75B21DA0" w:rsidR="00F25A85" w:rsidRDefault="00F25A85">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203737961" w:history="1">
        <w:r w:rsidRPr="00530B0D">
          <w:rPr>
            <w:rStyle w:val="Hyperlink"/>
            <w:noProof/>
          </w:rPr>
          <w:t>2.7.3 Emerging Controls for Future Consideration</w:t>
        </w:r>
        <w:r>
          <w:rPr>
            <w:noProof/>
            <w:webHidden/>
          </w:rPr>
          <w:tab/>
        </w:r>
        <w:r>
          <w:rPr>
            <w:noProof/>
            <w:webHidden/>
          </w:rPr>
          <w:fldChar w:fldCharType="begin"/>
        </w:r>
        <w:r>
          <w:rPr>
            <w:noProof/>
            <w:webHidden/>
          </w:rPr>
          <w:instrText xml:space="preserve"> PAGEREF _Toc203737961 \h </w:instrText>
        </w:r>
        <w:r>
          <w:rPr>
            <w:noProof/>
            <w:webHidden/>
          </w:rPr>
        </w:r>
        <w:r>
          <w:rPr>
            <w:noProof/>
            <w:webHidden/>
          </w:rPr>
          <w:fldChar w:fldCharType="separate"/>
        </w:r>
        <w:r>
          <w:rPr>
            <w:noProof/>
            <w:webHidden/>
          </w:rPr>
          <w:t>11</w:t>
        </w:r>
        <w:r>
          <w:rPr>
            <w:noProof/>
            <w:webHidden/>
          </w:rPr>
          <w:fldChar w:fldCharType="end"/>
        </w:r>
      </w:hyperlink>
    </w:p>
    <w:p w14:paraId="4C32697E" w14:textId="7E36D2A8" w:rsidR="00F25A85" w:rsidRDefault="00F25A85">
      <w:pPr>
        <w:pStyle w:val="TOC2"/>
        <w:rPr>
          <w:rFonts w:asciiTheme="minorHAnsi" w:eastAsiaTheme="minorEastAsia" w:hAnsiTheme="minorHAnsi" w:cstheme="minorBidi"/>
          <w:noProof/>
          <w:kern w:val="2"/>
          <w:lang w:eastAsia="en-GB"/>
          <w14:ligatures w14:val="standardContextual"/>
        </w:rPr>
      </w:pPr>
      <w:hyperlink w:anchor="_Toc203737962" w:history="1">
        <w:r w:rsidRPr="00530B0D">
          <w:rPr>
            <w:rStyle w:val="Hyperlink"/>
            <w:noProof/>
          </w:rPr>
          <w:t>2.8 Conclusion</w:t>
        </w:r>
        <w:r>
          <w:rPr>
            <w:noProof/>
            <w:webHidden/>
          </w:rPr>
          <w:tab/>
        </w:r>
        <w:r>
          <w:rPr>
            <w:noProof/>
            <w:webHidden/>
          </w:rPr>
          <w:fldChar w:fldCharType="begin"/>
        </w:r>
        <w:r>
          <w:rPr>
            <w:noProof/>
            <w:webHidden/>
          </w:rPr>
          <w:instrText xml:space="preserve"> PAGEREF _Toc203737962 \h </w:instrText>
        </w:r>
        <w:r>
          <w:rPr>
            <w:noProof/>
            <w:webHidden/>
          </w:rPr>
        </w:r>
        <w:r>
          <w:rPr>
            <w:noProof/>
            <w:webHidden/>
          </w:rPr>
          <w:fldChar w:fldCharType="separate"/>
        </w:r>
        <w:r>
          <w:rPr>
            <w:noProof/>
            <w:webHidden/>
          </w:rPr>
          <w:t>11</w:t>
        </w:r>
        <w:r>
          <w:rPr>
            <w:noProof/>
            <w:webHidden/>
          </w:rPr>
          <w:fldChar w:fldCharType="end"/>
        </w:r>
      </w:hyperlink>
    </w:p>
    <w:p w14:paraId="4505D9B8" w14:textId="6457D7B7" w:rsidR="00F25A85" w:rsidRDefault="00F25A85">
      <w:pPr>
        <w:pStyle w:val="TOC1"/>
        <w:rPr>
          <w:rFonts w:asciiTheme="minorHAnsi" w:eastAsiaTheme="minorEastAsia" w:hAnsiTheme="minorHAnsi" w:cstheme="minorBidi"/>
          <w:kern w:val="2"/>
          <w:lang w:eastAsia="en-GB"/>
          <w14:ligatures w14:val="standardContextual"/>
        </w:rPr>
      </w:pPr>
      <w:hyperlink w:anchor="_Toc203737963" w:history="1">
        <w:r w:rsidRPr="00530B0D">
          <w:rPr>
            <w:rStyle w:val="Hyperlink"/>
          </w:rPr>
          <w:t>References</w:t>
        </w:r>
        <w:r>
          <w:rPr>
            <w:webHidden/>
          </w:rPr>
          <w:tab/>
        </w:r>
        <w:r>
          <w:rPr>
            <w:webHidden/>
          </w:rPr>
          <w:fldChar w:fldCharType="begin"/>
        </w:r>
        <w:r>
          <w:rPr>
            <w:webHidden/>
          </w:rPr>
          <w:instrText xml:space="preserve"> PAGEREF _Toc203737963 \h </w:instrText>
        </w:r>
        <w:r>
          <w:rPr>
            <w:webHidden/>
          </w:rPr>
        </w:r>
        <w:r>
          <w:rPr>
            <w:webHidden/>
          </w:rPr>
          <w:fldChar w:fldCharType="separate"/>
        </w:r>
        <w:r>
          <w:rPr>
            <w:webHidden/>
          </w:rPr>
          <w:t>13</w:t>
        </w:r>
        <w:r>
          <w:rPr>
            <w:webHidden/>
          </w:rPr>
          <w:fldChar w:fldCharType="end"/>
        </w:r>
      </w:hyperlink>
    </w:p>
    <w:p w14:paraId="22E55604" w14:textId="0C7E449C" w:rsidR="00DA28B2" w:rsidRDefault="00B765F2" w:rsidP="00E34374">
      <w:pPr>
        <w:sectPr w:rsidR="00DA28B2" w:rsidSect="003B1C9F">
          <w:footerReference w:type="default" r:id="rId13"/>
          <w:pgSz w:w="11906" w:h="16838" w:code="9"/>
          <w:pgMar w:top="1701" w:right="1701" w:bottom="1701" w:left="1701" w:header="709" w:footer="851" w:gutter="0"/>
          <w:pgNumType w:fmt="lowerRoman"/>
          <w:cols w:space="708"/>
          <w:docGrid w:linePitch="360"/>
        </w:sectPr>
      </w:pPr>
      <w:r>
        <w:fldChar w:fldCharType="end"/>
      </w:r>
    </w:p>
    <w:p w14:paraId="4ED0B06B" w14:textId="3BE2A767" w:rsidR="00161BFC" w:rsidRDefault="00161BFC" w:rsidP="00161BFC">
      <w:pPr>
        <w:pStyle w:val="Heading1"/>
      </w:pPr>
      <w:bookmarkStart w:id="0" w:name="_Toc203737940"/>
      <w:bookmarkStart w:id="1" w:name="_Toc299631423"/>
      <w:bookmarkStart w:id="2" w:name="_Toc299631485"/>
      <w:bookmarkStart w:id="3" w:name="_Toc299631575"/>
      <w:bookmarkStart w:id="4" w:name="_Toc299631651"/>
      <w:r w:rsidRPr="00161BFC">
        <w:lastRenderedPageBreak/>
        <w:t>Part 1</w:t>
      </w:r>
      <w:bookmarkEnd w:id="0"/>
    </w:p>
    <w:p w14:paraId="65D27D9E" w14:textId="12490529" w:rsidR="00DA28B2" w:rsidRDefault="00DC0755" w:rsidP="00941D35">
      <w:pPr>
        <w:pStyle w:val="Heading2"/>
      </w:pPr>
      <w:bookmarkStart w:id="5" w:name="_Toc203737941"/>
      <w:bookmarkEnd w:id="1"/>
      <w:bookmarkEnd w:id="2"/>
      <w:bookmarkEnd w:id="3"/>
      <w:bookmarkEnd w:id="4"/>
      <w:r>
        <w:t>System Description</w:t>
      </w:r>
      <w:bookmarkEnd w:id="5"/>
    </w:p>
    <w:p w14:paraId="3456BD75" w14:textId="1C18D16B" w:rsidR="000D26D3" w:rsidRDefault="000D26D3" w:rsidP="000D26D3">
      <w:r>
        <w:t>The AJAX is a British armoured fighting vehicle designed primarily for reconnaissance and combat support roles. It is intended to replace the older CVR(T) family of vehicles in the British Army</w:t>
      </w:r>
      <w:r w:rsidR="002C4A8E">
        <w:t xml:space="preserve"> </w:t>
      </w:r>
      <w:r w:rsidR="002C4A8E">
        <w:fldChar w:fldCharType="begin"/>
      </w:r>
      <w:r w:rsidR="002C4A8E">
        <w:instrText xml:space="preserve"> ADDIN ZOTERO_ITEM CSL_CITATION {"citationID":"hAK5gCSB","properties":{"formattedCitation":"[1]","plainCitation":"[1]","noteIndex":0},"citationItems":[{"id":270,"uris":["http://zotero.org/users/local/kxeNHLpj/items/XJ7MNBGE"],"itemData":{"id":270,"type":"document","title":"AJAX Variants - The Future of British Army Reconnaissance","author":[{"literal":"General Dynamics"}],"issued":{"date-parts":[["2021"]]}}}],"schema":"https://github.com/citation-style-language/schema/raw/master/csl-citation.json"} </w:instrText>
      </w:r>
      <w:r w:rsidR="002C4A8E">
        <w:fldChar w:fldCharType="separate"/>
      </w:r>
      <w:r w:rsidR="002C4A8E" w:rsidRPr="002C4A8E">
        <w:rPr>
          <w:rFonts w:cs="Arial"/>
        </w:rPr>
        <w:t>[1]</w:t>
      </w:r>
      <w:r w:rsidR="002C4A8E">
        <w:fldChar w:fldCharType="end"/>
      </w:r>
      <w:r>
        <w:t>. The vehicle</w:t>
      </w:r>
      <w:r w:rsidR="00975E94">
        <w:t xml:space="preserve"> is powered by a diesel engine and</w:t>
      </w:r>
      <w:r>
        <w:t xml:space="preserve"> built on a tracked chassis, providing high mobility across a range of terrains, including rough and urban environments.</w:t>
      </w:r>
    </w:p>
    <w:p w14:paraId="196D6202" w14:textId="147F9419" w:rsidR="000D26D3" w:rsidRDefault="000D26D3" w:rsidP="000D26D3">
      <w:r>
        <w:t xml:space="preserve">It is equipped with a turret-mounted 40mm cannon, </w:t>
      </w:r>
      <w:r w:rsidR="00C43382">
        <w:t xml:space="preserve">coaxial machine gun, and </w:t>
      </w:r>
      <w:r w:rsidR="00893302">
        <w:t>has a number of possible loadouts supporting a GPMG and Javelin</w:t>
      </w:r>
      <w:r w:rsidR="00975E94">
        <w:t xml:space="preserve"> ATGM system</w:t>
      </w:r>
      <w:r w:rsidR="004C0767">
        <w:t xml:space="preserve"> </w:t>
      </w:r>
      <w:r w:rsidR="004C0767">
        <w:fldChar w:fldCharType="begin"/>
      </w:r>
      <w:r w:rsidR="002C4A8E">
        <w:instrText xml:space="preserve"> ADDIN ZOTERO_ITEM CSL_CITATION {"citationID":"VuuqF5nb","properties":{"formattedCitation":"[2], [3]","plainCitation":"[2], [3]","noteIndex":0},"citationItems":[{"id":268,"uris":["http://zotero.org/users/local/kxeNHLpj/items/XDBZTJ32"],"itemData":{"id":268,"type":"document","title":"AJAX Promotional Data Sheet","author":[{"literal":"General Dynamics"}],"issued":{"date-parts":[["2018"]]}}},{"id":263,"uris":["http://zotero.org/users/local/kxeNHLpj/items/AV75LQE3"],"itemData":{"id":263,"type":"post-weblog","abstract":"AJAX: The future of Armoured Fighting Vehicles AJAX is the next-generation of Armoured Fighting Vehicles (AFV).  Fully-digital and fully-integrated, it enables soldiers to ‘See First, Decide First, Act First’ on the modern […]","container-title":"General Dynamics UK","language":"en-GB","title":"AJAX","URL":"https://generaldynamics.uk.com/systems/land-systems/ajax/","accessed":{"date-parts":[["2025",7,18]]}}}],"schema":"https://github.com/citation-style-language/schema/raw/master/csl-citation.json"} </w:instrText>
      </w:r>
      <w:r w:rsidR="004C0767">
        <w:fldChar w:fldCharType="separate"/>
      </w:r>
      <w:r w:rsidR="002C4A8E" w:rsidRPr="002C4A8E">
        <w:rPr>
          <w:rFonts w:cs="Arial"/>
        </w:rPr>
        <w:t>[2], [3]</w:t>
      </w:r>
      <w:r w:rsidR="004C0767">
        <w:fldChar w:fldCharType="end"/>
      </w:r>
      <w:r w:rsidR="00975E94">
        <w:t>.</w:t>
      </w:r>
    </w:p>
    <w:p w14:paraId="37146002" w14:textId="3A456C69" w:rsidR="000D26D3" w:rsidRDefault="000D26D3" w:rsidP="000D26D3">
      <w:r>
        <w:t>The vehicle is operated by a crew of three to four personnel, depending on the variant. It has integrated communications systems to enable effective coordination with other units on the battlefield. Additionally, AJAX incorporates modern sensors and surveillance equipment to gather intelligence and enhance situational awareness</w:t>
      </w:r>
      <w:r w:rsidR="00DF4959">
        <w:t xml:space="preserve"> </w:t>
      </w:r>
      <w:r w:rsidR="00DF4959">
        <w:fldChar w:fldCharType="begin"/>
      </w:r>
      <w:r w:rsidR="002C4A8E">
        <w:instrText xml:space="preserve"> ADDIN ZOTERO_ITEM CSL_CITATION {"citationID":"BfrpspQb","properties":{"formattedCitation":"[4]","plainCitation":"[4]","noteIndex":0},"citationItems":[{"id":265,"uris":["http://zotero.org/users/local/kxeNHLpj/items/C2SGGF79"],"itemData":{"id":265,"type":"webpage","abstract":"Ajax is an advanced, fully digitised, land vehicle system delivering transformational change in capability to the British Army. There are six variants in the Ajax family, all based upon a common base platform.","language":"en-GB","title":"Ajax | British Army","URL":"https://www.army.mod.uk/learn-and-explore/equipment/combat-vehicles/ajax/","accessed":{"date-parts":[["2025",7,18]]}}}],"schema":"https://github.com/citation-style-language/schema/raw/master/csl-citation.json"} </w:instrText>
      </w:r>
      <w:r w:rsidR="00DF4959">
        <w:fldChar w:fldCharType="separate"/>
      </w:r>
      <w:r w:rsidR="002C4A8E" w:rsidRPr="002C4A8E">
        <w:rPr>
          <w:rFonts w:cs="Arial"/>
        </w:rPr>
        <w:t>[4]</w:t>
      </w:r>
      <w:r w:rsidR="00DF4959">
        <w:fldChar w:fldCharType="end"/>
      </w:r>
      <w:r>
        <w:t>.</w:t>
      </w:r>
    </w:p>
    <w:p w14:paraId="0FF1EC2F" w14:textId="63C55A62" w:rsidR="000D26D3" w:rsidRDefault="000D26D3" w:rsidP="008D1035">
      <w:r>
        <w:t xml:space="preserve">Designed with modularity in mind, the AJAX platform can be adapted for various roles, including command and control, electronic warfare, and engineering </w:t>
      </w:r>
      <w:r w:rsidR="00DF4959">
        <w:t xml:space="preserve">support </w:t>
      </w:r>
      <w:r w:rsidR="00DF4959">
        <w:fldChar w:fldCharType="begin"/>
      </w:r>
      <w:r w:rsidR="002C4A8E">
        <w:instrText xml:space="preserve"> ADDIN ZOTERO_ITEM CSL_CITATION {"citationID":"TfC4eguW","properties":{"formattedCitation":"[4]","plainCitation":"[4]","noteIndex":0},"citationItems":[{"id":265,"uris":["http://zotero.org/users/local/kxeNHLpj/items/C2SGGF79"],"itemData":{"id":265,"type":"webpage","abstract":"Ajax is an advanced, fully digitised, land vehicle system delivering transformational change in capability to the British Army. There are six variants in the Ajax family, all based upon a common base platform.","language":"en-GB","title":"Ajax | British Army","URL":"https://www.army.mod.uk/learn-and-explore/equipment/combat-vehicles/ajax/","accessed":{"date-parts":[["2025",7,18]]}}}],"schema":"https://github.com/citation-style-language/schema/raw/master/csl-citation.json"} </w:instrText>
      </w:r>
      <w:r w:rsidR="00DF4959">
        <w:fldChar w:fldCharType="separate"/>
      </w:r>
      <w:r w:rsidR="002C4A8E" w:rsidRPr="002C4A8E">
        <w:rPr>
          <w:rFonts w:cs="Arial"/>
        </w:rPr>
        <w:t>[4]</w:t>
      </w:r>
      <w:r w:rsidR="00DF4959">
        <w:fldChar w:fldCharType="end"/>
      </w:r>
      <w:r w:rsidR="00DF4959">
        <w:t>.</w:t>
      </w:r>
    </w:p>
    <w:p w14:paraId="573C7A5F" w14:textId="5850CDEB" w:rsidR="008D1035" w:rsidRPr="008D1035" w:rsidRDefault="0073659B" w:rsidP="008D1035">
      <w:pPr>
        <w:pStyle w:val="Heading2"/>
      </w:pPr>
      <w:bookmarkStart w:id="6" w:name="_Toc203737942"/>
      <w:r w:rsidRPr="003C1BE0">
        <w:rPr>
          <w:noProof/>
        </w:rPr>
        <w:drawing>
          <wp:anchor distT="0" distB="0" distL="114300" distR="114300" simplePos="0" relativeHeight="251660288" behindDoc="0" locked="0" layoutInCell="1" allowOverlap="1" wp14:anchorId="3FBCD9B6" wp14:editId="5811A02D">
            <wp:simplePos x="0" y="0"/>
            <wp:positionH relativeFrom="margin">
              <wp:align>right</wp:align>
            </wp:positionH>
            <wp:positionV relativeFrom="page">
              <wp:posOffset>5457825</wp:posOffset>
            </wp:positionV>
            <wp:extent cx="6645910" cy="2134235"/>
            <wp:effectExtent l="0" t="0" r="2540" b="0"/>
            <wp:wrapTopAndBottom/>
            <wp:docPr id="416146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45910" cy="2134235"/>
                    </a:xfrm>
                    <a:prstGeom prst="rect">
                      <a:avLst/>
                    </a:prstGeom>
                    <a:noFill/>
                    <a:ln>
                      <a:noFill/>
                    </a:ln>
                  </pic:spPr>
                </pic:pic>
              </a:graphicData>
            </a:graphic>
          </wp:anchor>
        </w:drawing>
      </w:r>
      <w:r w:rsidR="008D1035">
        <w:t>Risk Classification Matrix</w:t>
      </w:r>
      <w:bookmarkEnd w:id="6"/>
    </w:p>
    <w:p w14:paraId="336E9DE6" w14:textId="77777777" w:rsidR="003C7407" w:rsidRPr="003C7407" w:rsidRDefault="003C7407" w:rsidP="003C7407"/>
    <w:p w14:paraId="76B92AB4" w14:textId="77777777" w:rsidR="00B61041" w:rsidRDefault="00B61041" w:rsidP="000D26D3">
      <w:pPr>
        <w:sectPr w:rsidR="00B61041" w:rsidSect="008D1035">
          <w:headerReference w:type="default" r:id="rId15"/>
          <w:pgSz w:w="11906" w:h="16838" w:code="9"/>
          <w:pgMar w:top="720" w:right="720" w:bottom="720" w:left="720" w:header="709" w:footer="851" w:gutter="0"/>
          <w:cols w:space="708"/>
          <w:docGrid w:linePitch="360"/>
        </w:sectPr>
      </w:pPr>
    </w:p>
    <w:p w14:paraId="5C23DE8C" w14:textId="50D1875D" w:rsidR="003C7407" w:rsidRDefault="006444F3" w:rsidP="002E4D3E">
      <w:pPr>
        <w:pStyle w:val="Heading2"/>
      </w:pPr>
      <w:bookmarkStart w:id="7" w:name="_Toc203737943"/>
      <w:r w:rsidRPr="006444F3">
        <w:rPr>
          <w:noProof/>
        </w:rPr>
        <w:lastRenderedPageBreak/>
        <w:drawing>
          <wp:anchor distT="0" distB="0" distL="114300" distR="114300" simplePos="0" relativeHeight="251658240" behindDoc="0" locked="0" layoutInCell="1" allowOverlap="1" wp14:anchorId="0CA4B304" wp14:editId="68A56A4B">
            <wp:simplePos x="0" y="0"/>
            <wp:positionH relativeFrom="margin">
              <wp:posOffset>0</wp:posOffset>
            </wp:positionH>
            <wp:positionV relativeFrom="page">
              <wp:posOffset>1076325</wp:posOffset>
            </wp:positionV>
            <wp:extent cx="6645910" cy="8695055"/>
            <wp:effectExtent l="0" t="0" r="2540" b="0"/>
            <wp:wrapTopAndBottom/>
            <wp:docPr id="18338664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8695055"/>
                    </a:xfrm>
                    <a:prstGeom prst="rect">
                      <a:avLst/>
                    </a:prstGeom>
                    <a:noFill/>
                    <a:ln>
                      <a:noFill/>
                    </a:ln>
                  </pic:spPr>
                </pic:pic>
              </a:graphicData>
            </a:graphic>
          </wp:anchor>
        </w:drawing>
      </w:r>
      <w:r w:rsidR="002E4D3E">
        <w:t>Hazard Identification</w:t>
      </w:r>
      <w:bookmarkEnd w:id="7"/>
    </w:p>
    <w:p w14:paraId="27E15FB5" w14:textId="7E9EE219" w:rsidR="0073659B" w:rsidRDefault="0073659B" w:rsidP="000D26D3">
      <w:r w:rsidRPr="006444F3">
        <w:rPr>
          <w:noProof/>
        </w:rPr>
        <w:lastRenderedPageBreak/>
        <w:drawing>
          <wp:anchor distT="0" distB="0" distL="114300" distR="114300" simplePos="0" relativeHeight="251659264" behindDoc="0" locked="0" layoutInCell="1" allowOverlap="1" wp14:anchorId="2214E996" wp14:editId="3054D8B0">
            <wp:simplePos x="0" y="0"/>
            <wp:positionH relativeFrom="margin">
              <wp:align>right</wp:align>
            </wp:positionH>
            <wp:positionV relativeFrom="page">
              <wp:posOffset>666750</wp:posOffset>
            </wp:positionV>
            <wp:extent cx="6645910" cy="3070225"/>
            <wp:effectExtent l="0" t="0" r="2540" b="0"/>
            <wp:wrapTopAndBottom/>
            <wp:docPr id="18035478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3070225"/>
                    </a:xfrm>
                    <a:prstGeom prst="rect">
                      <a:avLst/>
                    </a:prstGeom>
                    <a:noFill/>
                    <a:ln>
                      <a:noFill/>
                    </a:ln>
                  </pic:spPr>
                </pic:pic>
              </a:graphicData>
            </a:graphic>
          </wp:anchor>
        </w:drawing>
      </w:r>
    </w:p>
    <w:p w14:paraId="47A162C7" w14:textId="3752CD68" w:rsidR="009878CB" w:rsidRDefault="009878CB" w:rsidP="000D26D3">
      <w:pPr>
        <w:sectPr w:rsidR="009878CB" w:rsidSect="00162D34">
          <w:pgSz w:w="11906" w:h="16838" w:code="9"/>
          <w:pgMar w:top="720" w:right="720" w:bottom="720" w:left="720" w:header="709" w:footer="851" w:gutter="0"/>
          <w:cols w:space="708"/>
          <w:docGrid w:linePitch="360"/>
        </w:sectPr>
      </w:pPr>
    </w:p>
    <w:p w14:paraId="5980198B" w14:textId="17168790" w:rsidR="00AD40F4" w:rsidRDefault="00AD40F4" w:rsidP="00AD40F4">
      <w:pPr>
        <w:pStyle w:val="Heading2"/>
      </w:pPr>
      <w:bookmarkStart w:id="8" w:name="_Toc203737944"/>
      <w:r>
        <w:lastRenderedPageBreak/>
        <w:t>Control Identification</w:t>
      </w:r>
      <w:bookmarkEnd w:id="8"/>
    </w:p>
    <w:p w14:paraId="012C9D76" w14:textId="6AFD7DB7" w:rsidR="00AD40F4" w:rsidRDefault="00ED5886" w:rsidP="000D26D3">
      <w:r w:rsidRPr="00ED5886">
        <w:rPr>
          <w:noProof/>
        </w:rPr>
        <w:drawing>
          <wp:inline distT="0" distB="0" distL="0" distR="0" wp14:anchorId="03135290" wp14:editId="79D44C00">
            <wp:extent cx="6645910" cy="8227695"/>
            <wp:effectExtent l="0" t="0" r="2540" b="1905"/>
            <wp:docPr id="876965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8227695"/>
                    </a:xfrm>
                    <a:prstGeom prst="rect">
                      <a:avLst/>
                    </a:prstGeom>
                    <a:noFill/>
                    <a:ln>
                      <a:noFill/>
                    </a:ln>
                  </pic:spPr>
                </pic:pic>
              </a:graphicData>
            </a:graphic>
          </wp:inline>
        </w:drawing>
      </w:r>
    </w:p>
    <w:p w14:paraId="59F26B64" w14:textId="77777777" w:rsidR="009878CB" w:rsidRDefault="009878CB" w:rsidP="000D26D3">
      <w:pPr>
        <w:sectPr w:rsidR="009878CB" w:rsidSect="00162D34">
          <w:pgSz w:w="11906" w:h="16838" w:code="9"/>
          <w:pgMar w:top="720" w:right="720" w:bottom="720" w:left="720" w:header="709" w:footer="851" w:gutter="0"/>
          <w:cols w:space="708"/>
          <w:docGrid w:linePitch="360"/>
        </w:sectPr>
      </w:pPr>
    </w:p>
    <w:p w14:paraId="0C3B5640" w14:textId="58C83188" w:rsidR="00AD40F4" w:rsidRDefault="004B7601" w:rsidP="003148C2">
      <w:pPr>
        <w:pStyle w:val="Heading2"/>
      </w:pPr>
      <w:bookmarkStart w:id="9" w:name="_Toc203737945"/>
      <w:r w:rsidRPr="00486C80">
        <w:rPr>
          <w:noProof/>
        </w:rPr>
        <w:lastRenderedPageBreak/>
        <w:drawing>
          <wp:anchor distT="0" distB="0" distL="114300" distR="114300" simplePos="0" relativeHeight="251661312" behindDoc="0" locked="0" layoutInCell="1" allowOverlap="1" wp14:anchorId="2EAA332D" wp14:editId="39C58B49">
            <wp:simplePos x="0" y="0"/>
            <wp:positionH relativeFrom="margin">
              <wp:align>right</wp:align>
            </wp:positionH>
            <wp:positionV relativeFrom="paragraph">
              <wp:posOffset>460375</wp:posOffset>
            </wp:positionV>
            <wp:extent cx="9777730" cy="5125720"/>
            <wp:effectExtent l="0" t="0" r="0" b="0"/>
            <wp:wrapTopAndBottom/>
            <wp:docPr id="3790350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777730" cy="5125720"/>
                    </a:xfrm>
                    <a:prstGeom prst="rect">
                      <a:avLst/>
                    </a:prstGeom>
                    <a:noFill/>
                    <a:ln>
                      <a:noFill/>
                    </a:ln>
                  </pic:spPr>
                </pic:pic>
              </a:graphicData>
            </a:graphic>
          </wp:anchor>
        </w:drawing>
      </w:r>
      <w:r w:rsidR="003148C2">
        <w:t>Risk Assessment</w:t>
      </w:r>
      <w:bookmarkEnd w:id="9"/>
    </w:p>
    <w:p w14:paraId="4F58ECC5" w14:textId="77777777" w:rsidR="004C094A" w:rsidRDefault="004C094A" w:rsidP="003148C2"/>
    <w:p w14:paraId="1D36D17F" w14:textId="77777777" w:rsidR="004B7601" w:rsidRDefault="004B7601" w:rsidP="003148C2">
      <w:pPr>
        <w:sectPr w:rsidR="004B7601" w:rsidSect="00486C80">
          <w:pgSz w:w="16838" w:h="11906" w:orient="landscape" w:code="9"/>
          <w:pgMar w:top="720" w:right="720" w:bottom="720" w:left="720" w:header="709" w:footer="851" w:gutter="0"/>
          <w:cols w:space="708"/>
          <w:docGrid w:linePitch="360"/>
        </w:sectPr>
      </w:pPr>
    </w:p>
    <w:p w14:paraId="4F85A646" w14:textId="6E3A7CE8" w:rsidR="00DA28B2" w:rsidRDefault="00161BFC" w:rsidP="00DA28B2">
      <w:pPr>
        <w:pStyle w:val="Heading1"/>
      </w:pPr>
      <w:bookmarkStart w:id="10" w:name="_Toc203737946"/>
      <w:r>
        <w:lastRenderedPageBreak/>
        <w:t>Part 2</w:t>
      </w:r>
      <w:r w:rsidR="00C1009A">
        <w:t xml:space="preserve"> - </w:t>
      </w:r>
      <w:r w:rsidR="00C1009A" w:rsidRPr="00C1009A">
        <w:t>ALARP Justification of HAZ-001: Heavy Vehicle Movement</w:t>
      </w:r>
      <w:bookmarkEnd w:id="10"/>
    </w:p>
    <w:p w14:paraId="6AD141D3" w14:textId="1300251C" w:rsidR="005B120A" w:rsidRDefault="005B120A" w:rsidP="005B120A">
      <w:pPr>
        <w:pStyle w:val="Heading2"/>
      </w:pPr>
      <w:bookmarkStart w:id="11" w:name="_Toc203737947"/>
      <w:bookmarkStart w:id="12" w:name="_Toc51833419"/>
      <w:bookmarkStart w:id="13" w:name="_Toc290554257"/>
      <w:bookmarkStart w:id="14" w:name="_Toc299621222"/>
      <w:bookmarkStart w:id="15" w:name="_Toc299631447"/>
      <w:bookmarkStart w:id="16" w:name="_Toc299631509"/>
      <w:bookmarkStart w:id="17" w:name="_Toc299631599"/>
      <w:bookmarkStart w:id="18" w:name="_Toc299631675"/>
      <w:r>
        <w:t>Introduction</w:t>
      </w:r>
      <w:bookmarkEnd w:id="11"/>
    </w:p>
    <w:p w14:paraId="2A129307" w14:textId="661B20E4" w:rsidR="004B0EB7" w:rsidRDefault="00DE3DBF" w:rsidP="005B120A">
      <w:r>
        <w:t>This report provides an ALARP (As Low As Reasonably Practicable) justification for the hazard associated with the movement of the AJAX armoured vehicle. The AJAX is a 38-tonne tracked reconnaissance platform operated by the British Army, designed for tactical mobility across varied terrain</w:t>
      </w:r>
      <w:r w:rsidR="00316A6E">
        <w:t xml:space="preserve"> </w:t>
      </w:r>
      <w:r w:rsidR="00316A6E">
        <w:fldChar w:fldCharType="begin"/>
      </w:r>
      <w:r w:rsidR="002C4A8E">
        <w:instrText xml:space="preserve"> ADDIN ZOTERO_ITEM CSL_CITATION {"citationID":"eIzCv4G3","properties":{"formattedCitation":"[3]","plainCitation":"[3]","noteIndex":0},"citationItems":[{"id":263,"uris":["http://zotero.org/users/local/kxeNHLpj/items/AV75LQE3"],"itemData":{"id":263,"type":"post-weblog","abstract":"AJAX: The future of Armoured Fighting Vehicles AJAX is the next-generation of Armoured Fighting Vehicles (AFV).  Fully-digital and fully-integrated, it enables soldiers to ‘See First, Decide First, Act First’ on the modern […]","container-title":"General Dynamics UK","language":"en-GB","title":"AJAX","URL":"https://generaldynamics.uk.com/systems/land-systems/ajax/","accessed":{"date-parts":[["2025",7,18]]}}}],"schema":"https://github.com/citation-style-language/schema/raw/master/csl-citation.json"} </w:instrText>
      </w:r>
      <w:r w:rsidR="00316A6E">
        <w:fldChar w:fldCharType="separate"/>
      </w:r>
      <w:r w:rsidR="002C4A8E" w:rsidRPr="002C4A8E">
        <w:rPr>
          <w:rFonts w:cs="Arial"/>
        </w:rPr>
        <w:t>[3]</w:t>
      </w:r>
      <w:r w:rsidR="00316A6E">
        <w:fldChar w:fldCharType="end"/>
      </w:r>
      <w:r>
        <w:t>. Its weight, bulk, and operational environment present a significant hazard of injury or fatality during vehicle movement phases, particularly in transit, deployment, and maintenance areas.</w:t>
      </w:r>
    </w:p>
    <w:p w14:paraId="305E1273" w14:textId="3150B0CA" w:rsidR="004B0EB7" w:rsidRDefault="004B0EB7" w:rsidP="005B120A">
      <w:pPr>
        <w:pStyle w:val="Heading2"/>
      </w:pPr>
      <w:bookmarkStart w:id="19" w:name="_Toc203737948"/>
      <w:r>
        <w:t>Hazard</w:t>
      </w:r>
      <w:bookmarkEnd w:id="19"/>
    </w:p>
    <w:p w14:paraId="3424FFB0" w14:textId="77777777" w:rsidR="004B0EB7" w:rsidRDefault="00085B4F" w:rsidP="005B120A">
      <w:r w:rsidRPr="00085B4F">
        <w:t xml:space="preserve">The movement of a heavy tracked vehicle such as the AJAX introduces several hazards in both controlled environments, such as garrisons and workshops, and operational settings, including training grounds and urban terrain. One significant risk is the potential for crushing incidents involving personnel who are in close proximity to the vehicle. There is also a risk of vehicle collisions, which may occur due to limited visibility from the operator’s position or as a result of driver error. The vehicle's high centre of gravity and tracked design also create a risk of rollovers, particularly when operating on uneven ground or steep slopes. Additionally, there is a hazard of entrapment, </w:t>
      </w:r>
      <w:r w:rsidR="00EC5EDF">
        <w:t xml:space="preserve">this is </w:t>
      </w:r>
      <w:r w:rsidR="00EC5EDF" w:rsidRPr="00EC5EDF">
        <w:t>where a person becomes caught, trapped, or pinned by part of the vehicle</w:t>
      </w:r>
      <w:r w:rsidR="00EC5EDF">
        <w:t xml:space="preserve"> due to it moving.</w:t>
      </w:r>
    </w:p>
    <w:p w14:paraId="07C60D6C" w14:textId="0EFFE213" w:rsidR="00E93B52" w:rsidRDefault="00E93B52" w:rsidP="00E93B52">
      <w:pPr>
        <w:pStyle w:val="Heading2"/>
      </w:pPr>
      <w:bookmarkStart w:id="20" w:name="_Toc203737949"/>
      <w:r>
        <w:t>Risk</w:t>
      </w:r>
      <w:bookmarkEnd w:id="20"/>
    </w:p>
    <w:p w14:paraId="04F6970A" w14:textId="631D9ED0" w:rsidR="0013418D" w:rsidRDefault="00E93B52" w:rsidP="005B120A">
      <w:r>
        <w:t xml:space="preserve">Pre-control, the risk </w:t>
      </w:r>
      <w:r w:rsidR="0067125B">
        <w:t>is estimated to have a severity of risk</w:t>
      </w:r>
      <w:r w:rsidR="00446ABB">
        <w:t xml:space="preserve"> at ‘major’</w:t>
      </w:r>
      <w:r w:rsidR="0067125B">
        <w:t xml:space="preserve"> and a likelihood of</w:t>
      </w:r>
      <w:r w:rsidR="00446ABB">
        <w:t xml:space="preserve"> ‘possible’</w:t>
      </w:r>
      <w:r w:rsidR="0067125B">
        <w:t>, putting the overall risk rating at high.</w:t>
      </w:r>
      <w:r w:rsidR="00426FAA">
        <w:t xml:space="preserve"> This </w:t>
      </w:r>
      <w:r w:rsidR="00757DA9">
        <w:t>high-risk</w:t>
      </w:r>
      <w:r w:rsidR="00426FAA">
        <w:t xml:space="preserve"> rating necessitates the application of risk mitigation to reduce it to an ALARP level.</w:t>
      </w:r>
    </w:p>
    <w:p w14:paraId="3260E2AD" w14:textId="39FD085A" w:rsidR="00E93B52" w:rsidRDefault="0013418D" w:rsidP="005B120A">
      <w:pPr>
        <w:pStyle w:val="Heading2"/>
      </w:pPr>
      <w:bookmarkStart w:id="21" w:name="_Toc203737950"/>
      <w:r>
        <w:t>Control Measures</w:t>
      </w:r>
      <w:bookmarkEnd w:id="21"/>
    </w:p>
    <w:p w14:paraId="5CFA182D" w14:textId="30788EBF" w:rsidR="00B471B8" w:rsidRPr="00B471B8" w:rsidRDefault="00B471B8" w:rsidP="00B471B8">
      <w:r w:rsidRPr="00B471B8">
        <w:t>To mitigate the risks associated with the movement of the AJAX armoured vehicle, several control measures have been implemented. All vehicle operators must be trained and certified to ensure they have the skills and awareness needed to operate safely in both static and operational environments. The vehicle is equipped with 360-degree cameras and proximity sensors to enhance situational awareness and reduce collisions or crushing incidents, particularly in low-visibility areas, in line with ISO 5006:2017 standards on operator field of view</w:t>
      </w:r>
      <w:r w:rsidR="006A4FAF">
        <w:t xml:space="preserve"> </w:t>
      </w:r>
      <w:r w:rsidR="006A4FAF">
        <w:fldChar w:fldCharType="begin"/>
      </w:r>
      <w:r w:rsidR="002C4A8E">
        <w:instrText xml:space="preserve"> ADDIN ZOTERO_ITEM CSL_CITATION {"citationID":"Bg1Z8C0G","properties":{"formattedCitation":"[5]","plainCitation":"[5]","noteIndex":0},"citationItems":[{"id":243,"uris":["http://zotero.org/users/local/kxeNHLpj/items/BI488KMV"],"itemData":{"id":243,"type":"webpage","abstract":"Earth-moving machinery — Operator's field of view — Test method and performance criteria","container-title":"ISO","language":"en","title":"ISO 5006:2017","title-short":"ISO 5006","URL":"https://www.iso.org/standard/45609.html","accessed":{"date-parts":[["2025",7,18]]}}}],"schema":"https://github.com/citation-style-language/schema/raw/master/csl-citation.json"} </w:instrText>
      </w:r>
      <w:r w:rsidR="006A4FAF">
        <w:fldChar w:fldCharType="separate"/>
      </w:r>
      <w:r w:rsidR="002C4A8E" w:rsidRPr="002C4A8E">
        <w:rPr>
          <w:rFonts w:cs="Arial"/>
        </w:rPr>
        <w:t>[5]</w:t>
      </w:r>
      <w:r w:rsidR="006A4FAF">
        <w:fldChar w:fldCharType="end"/>
      </w:r>
      <w:r w:rsidRPr="00B471B8">
        <w:t>.</w:t>
      </w:r>
    </w:p>
    <w:p w14:paraId="017E4E78" w14:textId="38AFC7C7" w:rsidR="00B471B8" w:rsidRPr="00B471B8" w:rsidRDefault="00B471B8" w:rsidP="00B471B8">
      <w:r w:rsidRPr="00B471B8">
        <w:t>Vehicle operating areas are clearly marked with designated zones to keep personnel and equipment at a safe distance during movement. Spotters or marshallers, trained according to HSE HSG136 guidance, are routinely used to guide drivers in confined or high-risk areas</w:t>
      </w:r>
      <w:r w:rsidR="005C236B">
        <w:t xml:space="preserve"> </w:t>
      </w:r>
      <w:r w:rsidR="004640A8">
        <w:fldChar w:fldCharType="begin"/>
      </w:r>
      <w:r w:rsidR="002C4A8E">
        <w:instrText xml:space="preserve"> ADDIN ZOTERO_ITEM CSL_CITATION {"citationID":"TjbOmxI2","properties":{"formattedCitation":"[6]","plainCitation":"[6]","noteIndex":0},"citationItems":[{"id":241,"uris":["http://zotero.org/users/local/kxeNHLpj/items/64XXR28A"],"itemData":{"id":241,"type":"webpage","title":"A guide to workplace transport safety - HSE","URL":"https://www.hse.gov.uk/pubns/books/hsg136.htm","author":[{"literal":"Health and Safety Executive"}],"accessed":{"date-parts":[["2025",7,18]]}}}],"schema":"https://github.com/citation-style-language/schema/raw/master/csl-citation.json"} </w:instrText>
      </w:r>
      <w:r w:rsidR="004640A8">
        <w:fldChar w:fldCharType="separate"/>
      </w:r>
      <w:r w:rsidR="002C4A8E" w:rsidRPr="002C4A8E">
        <w:rPr>
          <w:rFonts w:cs="Arial"/>
        </w:rPr>
        <w:t>[6]</w:t>
      </w:r>
      <w:r w:rsidR="004640A8">
        <w:fldChar w:fldCharType="end"/>
      </w:r>
      <w:r w:rsidRPr="00B471B8">
        <w:t>. Audible alarms activate automatically when the vehicle reverses, alerting nearby personnel to the hazard.</w:t>
      </w:r>
    </w:p>
    <w:p w14:paraId="6594F615" w14:textId="32A6513F" w:rsidR="00B471B8" w:rsidRPr="00B471B8" w:rsidRDefault="00B471B8" w:rsidP="00B471B8">
      <w:r w:rsidRPr="00B471B8">
        <w:lastRenderedPageBreak/>
        <w:t>Personnel working near the AJAX during movement receive training on vehicle handling and situational awareness, with operators</w:t>
      </w:r>
      <w:r w:rsidR="006C4E71">
        <w:t xml:space="preserve"> now</w:t>
      </w:r>
      <w:r w:rsidRPr="00B471B8">
        <w:t xml:space="preserve"> instructed to ensure competency in all conditions</w:t>
      </w:r>
      <w:r w:rsidR="0065436C">
        <w:t xml:space="preserve">, despite </w:t>
      </w:r>
      <w:r w:rsidRPr="00B471B8">
        <w:t xml:space="preserve"> The mandatory use of personal protective equipment (PPE), including high-visibility clothing and protective footwear, further reduces injury risk</w:t>
      </w:r>
      <w:r w:rsidR="00A43F2C">
        <w:t xml:space="preserve"> </w:t>
      </w:r>
      <w:r w:rsidR="00A43F2C">
        <w:fldChar w:fldCharType="begin"/>
      </w:r>
      <w:r w:rsidR="002C4A8E">
        <w:instrText xml:space="preserve"> ADDIN ZOTERO_ITEM CSL_CITATION {"citationID":"nbybWYsi","properties":{"formattedCitation":"[7]","plainCitation":"[7]","noteIndex":0},"citationItems":[{"id":245,"uris":["http://zotero.org/users/local/kxeNHLpj/items/MW4SBT9X"],"itemData":{"id":245,"type":"webpage","abstract":"These Regulations amend the Personal Protective Equipment at Work Regulations 1992 (“PPER 1992”) to extend the duties contained in regulations 4 to 11 of the PPER 1992 from employees to workers, and to update cross-references to other legislation.","language":"eng","note":"publisher: King's Printer of Acts of Parliament","title":"The Personal Protective Equipment at Work (Amendment) Regulations 2022","URL":"https://www.legislation.gov.uk/uksi/2022/8/contents/made","accessed":{"date-parts":[["2025",7,18]]}}}],"schema":"https://github.com/citation-style-language/schema/raw/master/csl-citation.json"} </w:instrText>
      </w:r>
      <w:r w:rsidR="00A43F2C">
        <w:fldChar w:fldCharType="separate"/>
      </w:r>
      <w:r w:rsidR="002C4A8E" w:rsidRPr="002C4A8E">
        <w:rPr>
          <w:rFonts w:cs="Arial"/>
        </w:rPr>
        <w:t>[7]</w:t>
      </w:r>
      <w:r w:rsidR="00A43F2C">
        <w:fldChar w:fldCharType="end"/>
      </w:r>
      <w:r w:rsidRPr="00B471B8">
        <w:t>. Together, these measures have significantly lowered incident likelihood and helped maintain the hazard at an ALARP level.</w:t>
      </w:r>
    </w:p>
    <w:p w14:paraId="1EB16F14" w14:textId="49912931" w:rsidR="00B471B8" w:rsidRPr="00B471B8" w:rsidRDefault="00B471B8" w:rsidP="00B471B8">
      <w:r w:rsidRPr="00B471B8">
        <w:t>Control measures were selected following the hierarchy of risk control and guided by regulatory requirements, industry standards, and available technologies. Ministry of Defence regulations, notably</w:t>
      </w:r>
      <w:r w:rsidR="00864E1A">
        <w:t xml:space="preserve"> the</w:t>
      </w:r>
      <w:r w:rsidRPr="00B471B8">
        <w:t xml:space="preserve"> </w:t>
      </w:r>
      <w:r w:rsidR="00864E1A" w:rsidRPr="00864E1A">
        <w:t>Defence Land Safety and Environmental Regulations</w:t>
      </w:r>
      <w:r w:rsidRPr="00B471B8">
        <w:t>, mandate a systematic hazard mitigation approach aligned with Defence Land Safety and Environmental Protection standards</w:t>
      </w:r>
      <w:r w:rsidR="00AD2699">
        <w:t xml:space="preserve"> </w:t>
      </w:r>
      <w:r w:rsidR="00AD2699">
        <w:fldChar w:fldCharType="begin"/>
      </w:r>
      <w:r w:rsidR="002C4A8E">
        <w:instrText xml:space="preserve"> ADDIN ZOTERO_ITEM CSL_CITATION {"citationID":"mAtqzIyD","properties":{"formattedCitation":"[8]","plainCitation":"[8]","noteIndex":0},"citationItems":[{"id":249,"uris":["http://zotero.org/users/local/kxeNHLpj/items/MU43NHK6"],"itemData":{"id":249,"type":"webpage","abstract":"Regulations used by Defence Land Safety Regulator (DLSR) in the management of safety and environmental aspects of Land Domain activities.","container-title":"GOV.UK","language":"en","title":"Defence Land Safety and Environmental Regulations","URL":"https://www.gov.uk/government/publications/defence-land-safety-and-environmental-regulations","accessed":{"date-parts":[["2025",7,18]]},"issued":{"date-parts":[["2025",7,10]]}}}],"schema":"https://github.com/citation-style-language/schema/raw/master/csl-citation.json"} </w:instrText>
      </w:r>
      <w:r w:rsidR="00AD2699">
        <w:fldChar w:fldCharType="separate"/>
      </w:r>
      <w:r w:rsidR="002C4A8E" w:rsidRPr="002C4A8E">
        <w:rPr>
          <w:rFonts w:cs="Arial"/>
        </w:rPr>
        <w:t>[8]</w:t>
      </w:r>
      <w:r w:rsidR="00AD2699">
        <w:fldChar w:fldCharType="end"/>
      </w:r>
      <w:r w:rsidRPr="00B471B8">
        <w:t>. Industry best practices, including HSE HSG136 on workplace transport safety and ISO 26262 on functional vehicle safety, informed the design and implementation of these controls</w:t>
      </w:r>
      <w:r w:rsidR="0037730A">
        <w:t xml:space="preserve"> </w:t>
      </w:r>
      <w:r w:rsidR="0037730A">
        <w:fldChar w:fldCharType="begin"/>
      </w:r>
      <w:r w:rsidR="002C4A8E">
        <w:instrText xml:space="preserve"> ADDIN ZOTERO_ITEM CSL_CITATION {"citationID":"A6tmpNnI","properties":{"formattedCitation":"[5], [9]","plainCitation":"[5], [9]","noteIndex":0},"citationItems":[{"id":243,"uris":["http://zotero.org/users/local/kxeNHLpj/items/BI488KMV"],"itemData":{"id":243,"type":"webpage","abstract":"Earth-moving machinery — Operator's field of view — Test method and performance criteria","container-title":"ISO","language":"en","title":"ISO 5006:2017","title-short":"ISO 5006","URL":"https://www.iso.org/standard/45609.html","accessed":{"date-parts":[["2025",7,18]]}}},{"id":251,"uris":["http://zotero.org/users/local/kxeNHLpj/items/W5ZUAQV2"],"itemData":{"id":251,"type":"webpage","abstract":"Ensure comprehensive functional safety for road vehicles with our ISO 26262 standards bundle, covering all critical aspects from vocabulary to guidelines.  This bundle includes 10 essential parts:  ISO 26262-1:2018 - Road vehicles — Functional safety — Part 1: Vocabulary  ISO 26262-2:2018 - Road vehicles …","container-title":"ISO","language":"en","title":"ISO 26262 road vehicles functional safety","URL":"https://www.iso.org/publication/PUB200262.html","accessed":{"date-parts":[["2025",7,18]]}}}],"schema":"https://github.com/citation-style-language/schema/raw/master/csl-citation.json"} </w:instrText>
      </w:r>
      <w:r w:rsidR="0037730A">
        <w:fldChar w:fldCharType="separate"/>
      </w:r>
      <w:r w:rsidR="002C4A8E" w:rsidRPr="002C4A8E">
        <w:rPr>
          <w:rFonts w:cs="Arial"/>
        </w:rPr>
        <w:t>[5], [9]</w:t>
      </w:r>
      <w:r w:rsidR="0037730A">
        <w:fldChar w:fldCharType="end"/>
      </w:r>
      <w:r w:rsidRPr="00B471B8">
        <w:t>.</w:t>
      </w:r>
    </w:p>
    <w:p w14:paraId="17FF2357" w14:textId="77777777" w:rsidR="00B471B8" w:rsidRPr="00B471B8" w:rsidRDefault="00B471B8" w:rsidP="00B471B8">
      <w:r w:rsidRPr="00B471B8">
        <w:t>The AJAX platform benefits from emerging digital technologies that improve visibility, proximity detection, and operator awareness, offering advances over legacy systems like the CVR(T). When assessing reasonable practicability, controls were evaluated based on their cost, complexity, and ease of implementation relative to their risk reduction benefit. Only measures providing clear, proportionate risk reduction were adopted.</w:t>
      </w:r>
    </w:p>
    <w:p w14:paraId="72520482" w14:textId="31FB889D" w:rsidR="00DE44A3" w:rsidRDefault="00666E51" w:rsidP="00B471B8">
      <w:pPr>
        <w:pStyle w:val="Heading2"/>
      </w:pPr>
      <w:bookmarkStart w:id="22" w:name="_Toc203737951"/>
      <w:r>
        <w:t>ALARP</w:t>
      </w:r>
      <w:bookmarkEnd w:id="22"/>
    </w:p>
    <w:p w14:paraId="58541143" w14:textId="15ACA301" w:rsidR="00FE5865" w:rsidRDefault="00FE5865" w:rsidP="00FE5865">
      <w:r>
        <w:t>To demonstrate that the residual risk associated with heavy vehicle movement has been reduced to a level that is As Low As Reasonably Practicable (ALARP), two key factors were evaluated: the effectiveness of the implemented controls and the principle of reasonable practicability.</w:t>
      </w:r>
    </w:p>
    <w:p w14:paraId="2C270E09" w14:textId="77777777" w:rsidR="00FE5865" w:rsidRDefault="00FE5865" w:rsidP="00FE5865">
      <w:pPr>
        <w:pStyle w:val="Heading3"/>
      </w:pPr>
      <w:bookmarkStart w:id="23" w:name="_Toc203737952"/>
      <w:r>
        <w:t>Control Effectiveness</w:t>
      </w:r>
      <w:bookmarkEnd w:id="23"/>
    </w:p>
    <w:p w14:paraId="77F4A095" w14:textId="07F44AFC" w:rsidR="00FE5865" w:rsidRDefault="00FE5865" w:rsidP="00FE5865">
      <w:r>
        <w:t xml:space="preserve">Following the implementation of control measures, the risk level was reassessed. The severity of potential harm remains high, given the possibility of </w:t>
      </w:r>
      <w:r w:rsidR="00441A43">
        <w:t>major injury</w:t>
      </w:r>
      <w:r>
        <w:t xml:space="preserve">, and is therefore rated at </w:t>
      </w:r>
      <w:r w:rsidR="00441A43">
        <w:t>Major</w:t>
      </w:r>
      <w:r>
        <w:t xml:space="preserve">. However, the likelihood of such an event occurring has been reduced to </w:t>
      </w:r>
      <w:r w:rsidR="00F20568">
        <w:t>Rare</w:t>
      </w:r>
      <w:r>
        <w:t xml:space="preserve">, due to the effectiveness of the controls. This results in a revised risk rating of </w:t>
      </w:r>
      <w:r w:rsidR="00F20568">
        <w:t>Medium</w:t>
      </w:r>
      <w:r>
        <w:t>, which falls within a tolerable range. The integration of multiple independent and complementary controls</w:t>
      </w:r>
      <w:r w:rsidR="00F20568">
        <w:t xml:space="preserve">, </w:t>
      </w:r>
      <w:r>
        <w:t>such as improved visibility systems, certified operators, and clearly defined movement procedures</w:t>
      </w:r>
      <w:r w:rsidR="00F20568">
        <w:t xml:space="preserve">, </w:t>
      </w:r>
      <w:r>
        <w:t>has significantly reduced both the likelihood of an incident and the potential for personnel exposure.</w:t>
      </w:r>
    </w:p>
    <w:p w14:paraId="7EC1590E" w14:textId="77777777" w:rsidR="00FE5865" w:rsidRDefault="00FE5865" w:rsidP="00FE5865">
      <w:pPr>
        <w:pStyle w:val="Heading3"/>
      </w:pPr>
      <w:bookmarkStart w:id="24" w:name="_Toc203737953"/>
      <w:r>
        <w:t>Reasonable Practicability</w:t>
      </w:r>
      <w:bookmarkEnd w:id="24"/>
    </w:p>
    <w:p w14:paraId="56EAF45B" w14:textId="34612217" w:rsidR="00FE5865" w:rsidRDefault="00FE5865" w:rsidP="00FE5865">
      <w:r>
        <w:t xml:space="preserve">An assessment was also carried out to determine whether the selected measures met the criteria of reasonable practicability, in line with the </w:t>
      </w:r>
      <w:r w:rsidR="000A095C">
        <w:t>definition of</w:t>
      </w:r>
      <w:r w:rsidRPr="000A095C">
        <w:t xml:space="preserve"> ALAR</w:t>
      </w:r>
      <w:r w:rsidR="002112DA">
        <w:t xml:space="preserve">P </w:t>
      </w:r>
      <w:r w:rsidR="006D2240">
        <w:fldChar w:fldCharType="begin"/>
      </w:r>
      <w:r w:rsidR="002C4A8E">
        <w:instrText xml:space="preserve"> ADDIN ZOTERO_ITEM CSL_CITATION {"citationID":"hHY8g3U5","properties":{"formattedCitation":"[10], [11]","plainCitation":"[10], [11]","noteIndex":0},"citationItems":[{"id":260,"uris":["http://zotero.org/users/local/kxeNHLpj/items/PNH2MG4X"],"itemData":{"id":260,"type":"document","title":"DStan 00-056 Part 1 Issue 8 - Safety Management Requirements for Defence Systems - Requirements and Guidance","issued":{"date-parts":[["2023",10,14]]}}},{"id":253,"uris":["http://zotero.org/users/local/kxeNHLpj/items/WWB9Z62J"],"itemData":{"id":253,"type":"webpage","title":"A guide to the Control of Major Accident Hazards Regulations (COMAH) 2015 - HSE","URL":"https://www.hse.gov.uk/pubns/books/l111.htm","accessed":{"date-parts":[["2025",7,18]]}}}],"schema":"https://github.com/citation-style-language/schema/raw/master/csl-citation.json"} </w:instrText>
      </w:r>
      <w:r w:rsidR="006D2240">
        <w:fldChar w:fldCharType="separate"/>
      </w:r>
      <w:r w:rsidR="002C4A8E" w:rsidRPr="002C4A8E">
        <w:rPr>
          <w:rFonts w:cs="Arial"/>
        </w:rPr>
        <w:t>[10], [11]</w:t>
      </w:r>
      <w:r w:rsidR="006D2240">
        <w:fldChar w:fldCharType="end"/>
      </w:r>
      <w:r>
        <w:t xml:space="preserve">. As an example, the </w:t>
      </w:r>
      <w:r>
        <w:lastRenderedPageBreak/>
        <w:t>installation of 360-degree situational awareness systems represents a capital cost of approximately £50,000 per vehicle. However, this is considered proportionate when weighed against the potential for preventing fatal incidents. Similarly, investment in enhanced training programmes and the consistent use of movement marshalling offers high effectiveness at a relatively low ongoing cost.</w:t>
      </w:r>
    </w:p>
    <w:p w14:paraId="144DD966" w14:textId="4C619C4B" w:rsidR="00DE44A3" w:rsidRDefault="00FE5865" w:rsidP="005B120A">
      <w:r>
        <w:t>Overall, the time, effort, and financial resources required to implement these controls were deemed reasonable when considered against the scale of risk reduction achieved. This judgement satisfies the legal and regulatory requirement that risks be reduced so far as is reasonably practicable</w:t>
      </w:r>
      <w:r w:rsidR="00CC3678">
        <w:t xml:space="preserve"> </w:t>
      </w:r>
      <w:r w:rsidR="00CC3678">
        <w:fldChar w:fldCharType="begin"/>
      </w:r>
      <w:r w:rsidR="002C4A8E">
        <w:instrText xml:space="preserve"> ADDIN ZOTERO_ITEM CSL_CITATION {"citationID":"lCv3BpoX","properties":{"formattedCitation":"[11]","plainCitation":"[11]","noteIndex":0},"citationItems":[{"id":253,"uris":["http://zotero.org/users/local/kxeNHLpj/items/WWB9Z62J"],"itemData":{"id":253,"type":"webpage","title":"A guide to the Control of Major Accident Hazards Regulations (COMAH) 2015 - HSE","URL":"https://www.hse.gov.uk/pubns/books/l111.htm","accessed":{"date-parts":[["2025",7,18]]}}}],"schema":"https://github.com/citation-style-language/schema/raw/master/csl-citation.json"} </w:instrText>
      </w:r>
      <w:r w:rsidR="00CC3678">
        <w:fldChar w:fldCharType="separate"/>
      </w:r>
      <w:r w:rsidR="002C4A8E" w:rsidRPr="002C4A8E">
        <w:rPr>
          <w:rFonts w:cs="Arial"/>
        </w:rPr>
        <w:t>[11]</w:t>
      </w:r>
      <w:r w:rsidR="00CC3678">
        <w:fldChar w:fldCharType="end"/>
      </w:r>
      <w:r>
        <w:t>.</w:t>
      </w:r>
    </w:p>
    <w:p w14:paraId="7C7F64C6" w14:textId="136C4E00" w:rsidR="00211E3B" w:rsidRDefault="00211E3B" w:rsidP="00211E3B">
      <w:pPr>
        <w:pStyle w:val="Heading2"/>
      </w:pPr>
      <w:bookmarkStart w:id="25" w:name="_Toc203737954"/>
      <w:r>
        <w:t>Discounted Controls and Justifications</w:t>
      </w:r>
      <w:bookmarkEnd w:id="25"/>
    </w:p>
    <w:p w14:paraId="382A87B8" w14:textId="12097ABA" w:rsidR="00211E3B" w:rsidRDefault="00211E3B" w:rsidP="00211E3B">
      <w:r>
        <w:t>As part of the ALARP assessment, several potential control measures were considered but ultimately discounted on the grounds of being either grossly disproportionate or not reasonably practicable in the current context.</w:t>
      </w:r>
    </w:p>
    <w:p w14:paraId="52A55D3B" w14:textId="77777777" w:rsidR="00211E3B" w:rsidRDefault="00211E3B" w:rsidP="00211E3B">
      <w:pPr>
        <w:pStyle w:val="Heading3"/>
      </w:pPr>
      <w:bookmarkStart w:id="26" w:name="_Toc203737955"/>
      <w:r>
        <w:t>Fully Autonomous Vehicle Movement</w:t>
      </w:r>
      <w:bookmarkEnd w:id="26"/>
    </w:p>
    <w:p w14:paraId="0A94B4E0" w14:textId="2156D72E" w:rsidR="00211E3B" w:rsidRDefault="00211E3B" w:rsidP="00211E3B">
      <w:r>
        <w:t>Although full vehicle autonomy could theoretically eliminate the need for personnel to be near the AJAX during movement, thereby removing the associated hazard entirely, this option was discounted. Current autonomous technologies do not offer the level of reliability required for unsupervised operation of heavy military vehicles in complex and unpredictable terrains. Furthermore, the legal and regulatory frameworks for autonomous military mobility are not yet established. Integration costs are estimated at over £2</w:t>
      </w:r>
      <w:r w:rsidR="005611FC">
        <w:t>0</w:t>
      </w:r>
      <w:r>
        <w:t xml:space="preserve"> million per vehicle, with an extended timeframe required for testing and validation. In this case, the cost and uncertainty are grossly disproportionate to the potential benefit at this stage. As such, the option has been deferred pending the future maturity of autonomous OME systems.</w:t>
      </w:r>
    </w:p>
    <w:p w14:paraId="05EBB272" w14:textId="77777777" w:rsidR="00211E3B" w:rsidRDefault="00211E3B" w:rsidP="00211E3B">
      <w:pPr>
        <w:pStyle w:val="Heading3"/>
      </w:pPr>
      <w:bookmarkStart w:id="27" w:name="_Toc203737956"/>
      <w:r>
        <w:t>Remote Monitoring of Driver Inputs</w:t>
      </w:r>
      <w:bookmarkEnd w:id="27"/>
    </w:p>
    <w:p w14:paraId="5760040B" w14:textId="12C10CB6" w:rsidR="00211E3B" w:rsidRDefault="00CF1F8D" w:rsidP="00211E3B">
      <w:r w:rsidRPr="00CF1F8D">
        <w:t>Biometric sensors, such as eye-tracking and fatigue-monitoring systems, were considered to reduce operator error. However, testing under simulated operational conditions revealed significant reliability issues, including false positives and system faults in harsh environments. Due to their limited effectiveness and potential to disrupt operations, this option was judged not currently practicable, with the cost-benefit analysis not supporting implementation.</w:t>
      </w:r>
    </w:p>
    <w:p w14:paraId="1987F1D1" w14:textId="77777777" w:rsidR="00211E3B" w:rsidRDefault="00211E3B" w:rsidP="00211E3B">
      <w:pPr>
        <w:pStyle w:val="Heading3"/>
      </w:pPr>
      <w:bookmarkStart w:id="28" w:name="_Toc203737957"/>
      <w:r>
        <w:t>Reinforced Pedestrian Barriers in Forward Operating Areas</w:t>
      </w:r>
      <w:bookmarkEnd w:id="28"/>
    </w:p>
    <w:p w14:paraId="086654EF" w14:textId="2C20C2F7" w:rsidR="00666E51" w:rsidRDefault="00614936" w:rsidP="00211E3B">
      <w:r w:rsidRPr="00614936">
        <w:t xml:space="preserve">The use of reinforced barriers to separate vehicles and personnel was considered for deployment areas. However, the mobile and dynamic nature of military operations makes such barriers </w:t>
      </w:r>
      <w:r w:rsidRPr="00614936">
        <w:lastRenderedPageBreak/>
        <w:t>impractical, as they could obstruct vehicle manoeuvrability and delay response times. As a result, fixed barriers were deemed operationally infeasible and not reasonably practicable for AJAX.</w:t>
      </w:r>
    </w:p>
    <w:p w14:paraId="2537ECB9" w14:textId="7DEEEE30" w:rsidR="00C670E9" w:rsidRDefault="00C670E9" w:rsidP="00C670E9">
      <w:pPr>
        <w:pStyle w:val="Heading2"/>
      </w:pPr>
      <w:bookmarkStart w:id="29" w:name="_Toc203737958"/>
      <w:r>
        <w:t>Maintaining ALARP Status</w:t>
      </w:r>
      <w:bookmarkEnd w:id="29"/>
    </w:p>
    <w:p w14:paraId="0FA94BC0" w14:textId="2FECAB24" w:rsidR="00C670E9" w:rsidRDefault="00C670E9" w:rsidP="00C670E9">
      <w:r>
        <w:t>To ensure that the risk associated with heavy vehicle movement remains at an ALARP level over the lifecycle of the AJAX platform, a programme of continuous review and improvement has been established. This approach incorporates ongoing incident analysis, periodic reassessment of risks, and consideration of emerging technologies and control measures</w:t>
      </w:r>
      <w:r w:rsidR="002A178C">
        <w:t xml:space="preserve"> </w:t>
      </w:r>
      <w:r w:rsidR="0000395A">
        <w:fldChar w:fldCharType="begin"/>
      </w:r>
      <w:r w:rsidR="002C4A8E">
        <w:instrText xml:space="preserve"> ADDIN ZOTERO_ITEM CSL_CITATION {"citationID":"jp4tUQ7R","properties":{"formattedCitation":"[10], [12]","plainCitation":"[10], [12]","noteIndex":0},"citationItems":[{"id":260,"uris":["http://zotero.org/users/local/kxeNHLpj/items/PNH2MG4X"],"itemData":{"id":260,"type":"document","title":"DStan 00-056 Part 1 Issue 8 - Safety Management Requirements for Defence Systems - Requirements and Guidance","issued":{"date-parts":[["2023",10,14]]}}},{"id":261,"uris":["http://zotero.org/users/local/kxeNHLpj/items/NQMWPUMG"],"itemData":{"id":261,"type":"webpage","abstract":"A list of all documents relating to JSP 375: Management of health and safety in defence.","container-title":"GOV.UK","language":"en","title":"Management of health and safety in defence (JSP 375)","URL":"https://www.gov.uk/government/collections/jsp-375-health-and-safety-handbook","accessed":{"date-parts":[["2025",7,18]]},"issued":{"date-parts":[["2024",10,2]]}}}],"schema":"https://github.com/citation-style-language/schema/raw/master/csl-citation.json"} </w:instrText>
      </w:r>
      <w:r w:rsidR="0000395A">
        <w:fldChar w:fldCharType="separate"/>
      </w:r>
      <w:r w:rsidR="002C4A8E" w:rsidRPr="002C4A8E">
        <w:rPr>
          <w:rFonts w:cs="Arial"/>
        </w:rPr>
        <w:t>[10], [12]</w:t>
      </w:r>
      <w:r w:rsidR="0000395A">
        <w:fldChar w:fldCharType="end"/>
      </w:r>
      <w:r>
        <w:t>.</w:t>
      </w:r>
    </w:p>
    <w:p w14:paraId="6CCBAEEF" w14:textId="77777777" w:rsidR="00C670E9" w:rsidRDefault="00C670E9" w:rsidP="00C670E9">
      <w:pPr>
        <w:pStyle w:val="Heading3"/>
      </w:pPr>
      <w:bookmarkStart w:id="30" w:name="_Toc203737959"/>
      <w:r>
        <w:t>Continuous Improvement</w:t>
      </w:r>
      <w:bookmarkEnd w:id="30"/>
    </w:p>
    <w:p w14:paraId="53F5BA1F" w14:textId="54D09072" w:rsidR="00C670E9" w:rsidRDefault="001D46E9" w:rsidP="00C670E9">
      <w:r w:rsidRPr="001D46E9">
        <w:t>All vehicle movement incidents are reported under RIDDOR and formally investigated to identify systemic issues like procedural gaps or training needs, enabling timely corrective action</w:t>
      </w:r>
      <w:r w:rsidR="000C5D75">
        <w:t xml:space="preserve"> </w:t>
      </w:r>
      <w:r w:rsidR="000C5D75">
        <w:fldChar w:fldCharType="begin"/>
      </w:r>
      <w:r w:rsidR="002C4A8E">
        <w:instrText xml:space="preserve"> ADDIN ZOTERO_ITEM CSL_CITATION {"citationID":"FXtcsQ1u","properties":{"formattedCitation":"[13]","plainCitation":"[13]","noteIndex":0},"citationItems":[{"id":256,"uris":["http://zotero.org/users/local/kxeNHLpj/items/6PF72XRI"],"itemData":{"id":256,"type":"webpage","abstract":"These Regulations revoke and replace, with amendments, the Reporting of Injuries, Diseases and Dangerous Occurrences Regulations 1995 (S.I. 1995/3163) (“the 1995 Regulations”) and the Reporting of Injuries, Diseases and Dangerous Occurrences (Amendment) Regulations 2012 (S.I. 2012/199) (“the 2012 Regulations”). They maintain requirements that the responsible person must notify, and subsequently send a report to, the relevant enforcing authority by an approved means in relation to fatal and certain non-fatal work-related accidents, specified diseases contracted by persons at work and certain specified dangerous occurrences.","genre":"Text","language":"eng","note":"publisher: Statute Law Database","title":"The Reporting of Injuries, Diseases and Dangerous Occurrences Regulations 2013","URL":"https://www.legislation.gov.uk/uksi/2013/1471/contents","author":[{"family":"Participation","given":"Expert"}],"accessed":{"date-parts":[["2025",7,18]]}}}],"schema":"https://github.com/citation-style-language/schema/raw/master/csl-citation.json"} </w:instrText>
      </w:r>
      <w:r w:rsidR="000C5D75">
        <w:fldChar w:fldCharType="separate"/>
      </w:r>
      <w:r w:rsidR="002C4A8E" w:rsidRPr="002C4A8E">
        <w:rPr>
          <w:rFonts w:cs="Arial"/>
        </w:rPr>
        <w:t>[13]</w:t>
      </w:r>
      <w:r w:rsidR="000C5D75">
        <w:fldChar w:fldCharType="end"/>
      </w:r>
      <w:r w:rsidRPr="001D46E9">
        <w:t>. A technology watch also monitors advances in autonomous navigation and biometric monitoring, with their suitability for AJAX regularly reassessed as these technologies develop.</w:t>
      </w:r>
    </w:p>
    <w:p w14:paraId="14F20B56" w14:textId="77777777" w:rsidR="00C670E9" w:rsidRDefault="00C670E9" w:rsidP="00C670E9">
      <w:pPr>
        <w:pStyle w:val="Heading3"/>
      </w:pPr>
      <w:bookmarkStart w:id="31" w:name="_Toc203737960"/>
      <w:r>
        <w:t>Periodic Risk Reassessment</w:t>
      </w:r>
      <w:bookmarkEnd w:id="31"/>
    </w:p>
    <w:p w14:paraId="17BC52B6" w14:textId="060F9859" w:rsidR="00C670E9" w:rsidRDefault="00C670E9" w:rsidP="00C670E9">
      <w:r>
        <w:t>Risks associated with vehicle movement are subject to formal review during scheduled annual safety audits, as well as prior to any major deployment or operational shift. These reviews are conducted in line with the lifecycle safety management requirements set out in</w:t>
      </w:r>
      <w:r w:rsidR="00AD2699">
        <w:t xml:space="preserve"> the</w:t>
      </w:r>
      <w:r>
        <w:t xml:space="preserve"> </w:t>
      </w:r>
      <w:r w:rsidR="00AD2699" w:rsidRPr="00AD2699">
        <w:t>Defence Land Safety and Environmental Regulations</w:t>
      </w:r>
      <w:r w:rsidR="000B68DB">
        <w:t xml:space="preserve"> </w:t>
      </w:r>
      <w:r w:rsidR="00AD2699">
        <w:fldChar w:fldCharType="begin"/>
      </w:r>
      <w:r w:rsidR="002C4A8E">
        <w:instrText xml:space="preserve"> ADDIN ZOTERO_ITEM CSL_CITATION {"citationID":"hecej465","properties":{"formattedCitation":"[8]","plainCitation":"[8]","noteIndex":0},"citationItems":[{"id":249,"uris":["http://zotero.org/users/local/kxeNHLpj/items/MU43NHK6"],"itemData":{"id":249,"type":"webpage","abstract":"Regulations used by Defence Land Safety Regulator (DLSR) in the management of safety and environmental aspects of Land Domain activities.","container-title":"GOV.UK","language":"en","title":"Defence Land Safety and Environmental Regulations","URL":"https://www.gov.uk/government/publications/defence-land-safety-and-environmental-regulations","accessed":{"date-parts":[["2025",7,18]]},"issued":{"date-parts":[["2025",7,10]]}}}],"schema":"https://github.com/citation-style-language/schema/raw/master/csl-citation.json"} </w:instrText>
      </w:r>
      <w:r w:rsidR="00AD2699">
        <w:fldChar w:fldCharType="separate"/>
      </w:r>
      <w:r w:rsidR="002C4A8E" w:rsidRPr="002C4A8E">
        <w:rPr>
          <w:rFonts w:cs="Arial"/>
        </w:rPr>
        <w:t>[8]</w:t>
      </w:r>
      <w:r w:rsidR="00AD2699">
        <w:fldChar w:fldCharType="end"/>
      </w:r>
      <w:r>
        <w:t>. Near-miss reporting and feedback from vehicle crews and support personnel are also used to inform updates to standard operating procedures, ensuring that lessons learned are incorporated into future operations</w:t>
      </w:r>
      <w:r w:rsidR="0000395A">
        <w:t xml:space="preserve"> </w:t>
      </w:r>
      <w:r w:rsidR="004023E9">
        <w:fldChar w:fldCharType="begin"/>
      </w:r>
      <w:r w:rsidR="002C4A8E">
        <w:instrText xml:space="preserve"> ADDIN ZOTERO_ITEM CSL_CITATION {"citationID":"Xkxg5wYv","properties":{"formattedCitation":"[12], [13]","plainCitation":"[12], [13]","noteIndex":0},"citationItems":[{"id":256,"uris":["http://zotero.org/users/local/kxeNHLpj/items/6PF72XRI"],"itemData":{"id":256,"type":"webpage","abstract":"These Regulations revoke and replace, with amendments, the Reporting of Injuries, Diseases and Dangerous Occurrences Regulations 1995 (S.I. 1995/3163) (“the 1995 Regulations”) and the Reporting of Injuries, Diseases and Dangerous Occurrences (Amendment) Regulations 2012 (S.I. 2012/199) (“the 2012 Regulations”). They maintain requirements that the responsible person must notify, and subsequently send a report to, the relevant enforcing authority by an approved means in relation to fatal and certain non-fatal work-related accidents, specified diseases contracted by persons at work and certain specified dangerous occurrences.","genre":"Text","language":"eng","note":"publisher: Statute Law Database","title":"The Reporting of Injuries, Diseases and Dangerous Occurrences Regulations 2013","URL":"https://www.legislation.gov.uk/uksi/2013/1471/contents","author":[{"family":"Participation","given":"Expert"}],"accessed":{"date-parts":[["2025",7,18]]}}},{"id":261,"uris":["http://zotero.org/users/local/kxeNHLpj/items/NQMWPUMG"],"itemData":{"id":261,"type":"webpage","abstract":"A list of all documents relating to JSP 375: Management of health and safety in defence.","container-title":"GOV.UK","language":"en","title":"Management of health and safety in defence (JSP 375)","URL":"https://www.gov.uk/government/collections/jsp-375-health-and-safety-handbook","accessed":{"date-parts":[["2025",7,18]]},"issued":{"date-parts":[["2024",10,2]]}}}],"schema":"https://github.com/citation-style-language/schema/raw/master/csl-citation.json"} </w:instrText>
      </w:r>
      <w:r w:rsidR="004023E9">
        <w:fldChar w:fldCharType="separate"/>
      </w:r>
      <w:r w:rsidR="002C4A8E" w:rsidRPr="002C4A8E">
        <w:rPr>
          <w:rFonts w:cs="Arial"/>
        </w:rPr>
        <w:t>[12], [13]</w:t>
      </w:r>
      <w:r w:rsidR="004023E9">
        <w:fldChar w:fldCharType="end"/>
      </w:r>
      <w:r>
        <w:t>.</w:t>
      </w:r>
    </w:p>
    <w:p w14:paraId="2EBDC17F" w14:textId="77777777" w:rsidR="00C670E9" w:rsidRDefault="00C670E9" w:rsidP="00C670E9">
      <w:pPr>
        <w:pStyle w:val="Heading3"/>
      </w:pPr>
      <w:bookmarkStart w:id="32" w:name="_Toc203737961"/>
      <w:r>
        <w:t>Emerging Controls for Future Consideration</w:t>
      </w:r>
      <w:bookmarkEnd w:id="32"/>
    </w:p>
    <w:p w14:paraId="4AEBE23A" w14:textId="77777777" w:rsidR="009A3909" w:rsidRDefault="009A3909" w:rsidP="009A3909">
      <w:r w:rsidRPr="009A3909">
        <w:t>Several potential controls are under evaluation for future use. Wearable proximity alarms, which alert operators and nearby personnel to unsafe distances, are being trialled and may be adopted if costs and reliability improve. Lightweight deployable ground markers, intended to quickly set up exclusion zones in the field, are also being tested and considered for future implementation.</w:t>
      </w:r>
    </w:p>
    <w:p w14:paraId="3CDEE627" w14:textId="2FA0E7DD" w:rsidR="00030A21" w:rsidRDefault="00030A21" w:rsidP="009A3909">
      <w:pPr>
        <w:pStyle w:val="Heading2"/>
      </w:pPr>
      <w:bookmarkStart w:id="33" w:name="_Toc203737962"/>
      <w:r>
        <w:t>Conclusion</w:t>
      </w:r>
      <w:bookmarkEnd w:id="33"/>
    </w:p>
    <w:p w14:paraId="5DE9756B" w14:textId="16005C4D" w:rsidR="00030A21" w:rsidRDefault="00030A21" w:rsidP="00030A21">
      <w:r>
        <w:t>The movement of the AJAX armoured vehicle presents a serious hazard due to its mass and operational complexity. A structured risk assessment process has been followed, using MOD, HSE, and ISO frameworks to select a package of controls that are effective, integrated, and reasonably practicable.</w:t>
      </w:r>
    </w:p>
    <w:p w14:paraId="06553075" w14:textId="2D11EA22" w:rsidR="00030A21" w:rsidRDefault="00030A21" w:rsidP="00211E3B">
      <w:pPr>
        <w:sectPr w:rsidR="00030A21" w:rsidSect="00162D34">
          <w:pgSz w:w="11906" w:h="16838" w:code="9"/>
          <w:pgMar w:top="720" w:right="720" w:bottom="720" w:left="720" w:header="709" w:footer="851" w:gutter="0"/>
          <w:cols w:space="708"/>
          <w:docGrid w:linePitch="360"/>
        </w:sectPr>
      </w:pPr>
      <w:r>
        <w:lastRenderedPageBreak/>
        <w:t>While certain advanced or emerging technologies were reviewed, they were discounted as grossly disproportionate or currently impractical. The residual risk level is tolerable, and the justification for ALARP has been demonstrated. The system will continue to be monitored, and potential new controls will be revisited as technology matures.</w:t>
      </w:r>
    </w:p>
    <w:p w14:paraId="1898B99F" w14:textId="2DFF9D73" w:rsidR="0021602C" w:rsidRDefault="00161BFC" w:rsidP="00B85761">
      <w:pPr>
        <w:pStyle w:val="Heading1nonumber"/>
      </w:pPr>
      <w:bookmarkStart w:id="34" w:name="_Toc203737963"/>
      <w:r>
        <w:lastRenderedPageBreak/>
        <w:t>R</w:t>
      </w:r>
      <w:r w:rsidR="004C2C9C">
        <w:t>eferences</w:t>
      </w:r>
      <w:bookmarkEnd w:id="12"/>
      <w:bookmarkEnd w:id="13"/>
      <w:bookmarkEnd w:id="14"/>
      <w:bookmarkEnd w:id="15"/>
      <w:bookmarkEnd w:id="16"/>
      <w:bookmarkEnd w:id="17"/>
      <w:bookmarkEnd w:id="18"/>
      <w:bookmarkEnd w:id="34"/>
    </w:p>
    <w:p w14:paraId="413DA660" w14:textId="77777777" w:rsidR="00590BE9" w:rsidRPr="00590BE9" w:rsidRDefault="00590BE9" w:rsidP="00590BE9">
      <w:pPr>
        <w:pStyle w:val="Bibliography"/>
        <w:rPr>
          <w:rFonts w:cs="Arial"/>
        </w:rPr>
      </w:pPr>
      <w:r>
        <w:fldChar w:fldCharType="begin"/>
      </w:r>
      <w:r>
        <w:instrText xml:space="preserve"> ADDIN ZOTERO_BIBL {"uncited":[],"omitted":[],"custom":[]} CSL_BIBLIOGRAPHY </w:instrText>
      </w:r>
      <w:r>
        <w:fldChar w:fldCharType="separate"/>
      </w:r>
      <w:r w:rsidRPr="00590BE9">
        <w:rPr>
          <w:rFonts w:cs="Arial"/>
        </w:rPr>
        <w:t>[1]</w:t>
      </w:r>
      <w:r w:rsidRPr="00590BE9">
        <w:rPr>
          <w:rFonts w:cs="Arial"/>
        </w:rPr>
        <w:tab/>
        <w:t>General Dynamics, ‘AJAX Variants - The Future of British Army Reconnaissance’. 2021.</w:t>
      </w:r>
    </w:p>
    <w:p w14:paraId="75248B89" w14:textId="77777777" w:rsidR="00590BE9" w:rsidRPr="00590BE9" w:rsidRDefault="00590BE9" w:rsidP="00590BE9">
      <w:pPr>
        <w:pStyle w:val="Bibliography"/>
        <w:rPr>
          <w:rFonts w:cs="Arial"/>
        </w:rPr>
      </w:pPr>
      <w:r w:rsidRPr="00590BE9">
        <w:rPr>
          <w:rFonts w:cs="Arial"/>
        </w:rPr>
        <w:t>[2]</w:t>
      </w:r>
      <w:r w:rsidRPr="00590BE9">
        <w:rPr>
          <w:rFonts w:cs="Arial"/>
        </w:rPr>
        <w:tab/>
        <w:t>General Dynamics, ‘AJAX Promotional Data Sheet’. 2018.</w:t>
      </w:r>
    </w:p>
    <w:p w14:paraId="1609FEBC" w14:textId="77777777" w:rsidR="00590BE9" w:rsidRPr="00590BE9" w:rsidRDefault="00590BE9" w:rsidP="00590BE9">
      <w:pPr>
        <w:pStyle w:val="Bibliography"/>
        <w:rPr>
          <w:rFonts w:cs="Arial"/>
        </w:rPr>
      </w:pPr>
      <w:r w:rsidRPr="00590BE9">
        <w:rPr>
          <w:rFonts w:cs="Arial"/>
        </w:rPr>
        <w:t>[3]</w:t>
      </w:r>
      <w:r w:rsidRPr="00590BE9">
        <w:rPr>
          <w:rFonts w:cs="Arial"/>
        </w:rPr>
        <w:tab/>
        <w:t>‘AJAX’, General Dynamics UK. Accessed: Jul. 18, 2025. [Online]. Available: https://generaldynamics.uk.com/systems/land-systems/ajax/</w:t>
      </w:r>
    </w:p>
    <w:p w14:paraId="187E1E6F" w14:textId="77777777" w:rsidR="00590BE9" w:rsidRPr="00590BE9" w:rsidRDefault="00590BE9" w:rsidP="00590BE9">
      <w:pPr>
        <w:pStyle w:val="Bibliography"/>
        <w:rPr>
          <w:rFonts w:cs="Arial"/>
        </w:rPr>
      </w:pPr>
      <w:r w:rsidRPr="00590BE9">
        <w:rPr>
          <w:rFonts w:cs="Arial"/>
        </w:rPr>
        <w:t>[4]</w:t>
      </w:r>
      <w:r w:rsidRPr="00590BE9">
        <w:rPr>
          <w:rFonts w:cs="Arial"/>
        </w:rPr>
        <w:tab/>
        <w:t>‘Ajax | British Army’. Accessed: Jul. 18, 2025. [Online]. Available: https://www.army.mod.uk/learn-and-explore/equipment/combat-vehicles/ajax/</w:t>
      </w:r>
    </w:p>
    <w:p w14:paraId="39623B47" w14:textId="77777777" w:rsidR="00590BE9" w:rsidRPr="00590BE9" w:rsidRDefault="00590BE9" w:rsidP="00590BE9">
      <w:pPr>
        <w:pStyle w:val="Bibliography"/>
        <w:rPr>
          <w:rFonts w:cs="Arial"/>
        </w:rPr>
      </w:pPr>
      <w:r w:rsidRPr="00590BE9">
        <w:rPr>
          <w:rFonts w:cs="Arial"/>
        </w:rPr>
        <w:t>[5]</w:t>
      </w:r>
      <w:r w:rsidRPr="00590BE9">
        <w:rPr>
          <w:rFonts w:cs="Arial"/>
        </w:rPr>
        <w:tab/>
        <w:t>‘ISO 5006:2017’, ISO. Accessed: Jul. 18, 2025. [Online]. Available: https://www.iso.org/standard/45609.html</w:t>
      </w:r>
    </w:p>
    <w:p w14:paraId="0888DA0E" w14:textId="77777777" w:rsidR="00590BE9" w:rsidRPr="00590BE9" w:rsidRDefault="00590BE9" w:rsidP="00590BE9">
      <w:pPr>
        <w:pStyle w:val="Bibliography"/>
        <w:rPr>
          <w:rFonts w:cs="Arial"/>
        </w:rPr>
      </w:pPr>
      <w:r w:rsidRPr="00590BE9">
        <w:rPr>
          <w:rFonts w:cs="Arial"/>
        </w:rPr>
        <w:t>[6]</w:t>
      </w:r>
      <w:r w:rsidRPr="00590BE9">
        <w:rPr>
          <w:rFonts w:cs="Arial"/>
        </w:rPr>
        <w:tab/>
        <w:t>Health and Safety Executive, ‘A guide to workplace transport safety - HSE’. Accessed: Jul. 18, 2025. [Online]. Available: https://www.hse.gov.uk/pubns/books/hsg136.htm</w:t>
      </w:r>
    </w:p>
    <w:p w14:paraId="0521F49A" w14:textId="77777777" w:rsidR="00590BE9" w:rsidRPr="00590BE9" w:rsidRDefault="00590BE9" w:rsidP="00590BE9">
      <w:pPr>
        <w:pStyle w:val="Bibliography"/>
        <w:rPr>
          <w:rFonts w:cs="Arial"/>
        </w:rPr>
      </w:pPr>
      <w:r w:rsidRPr="00590BE9">
        <w:rPr>
          <w:rFonts w:cs="Arial"/>
        </w:rPr>
        <w:t>[7]</w:t>
      </w:r>
      <w:r w:rsidRPr="00590BE9">
        <w:rPr>
          <w:rFonts w:cs="Arial"/>
        </w:rPr>
        <w:tab/>
        <w:t>‘The Personal Protective Equipment at Work (Amendment) Regulations 2022’. Accessed: Jul. 18, 2025. [Online]. Available: https://www.legislation.gov.uk/uksi/2022/8/contents/made</w:t>
      </w:r>
    </w:p>
    <w:p w14:paraId="02B15D30" w14:textId="77777777" w:rsidR="00590BE9" w:rsidRPr="00590BE9" w:rsidRDefault="00590BE9" w:rsidP="00590BE9">
      <w:pPr>
        <w:pStyle w:val="Bibliography"/>
        <w:rPr>
          <w:rFonts w:cs="Arial"/>
        </w:rPr>
      </w:pPr>
      <w:r w:rsidRPr="00590BE9">
        <w:rPr>
          <w:rFonts w:cs="Arial"/>
        </w:rPr>
        <w:t>[8]</w:t>
      </w:r>
      <w:r w:rsidRPr="00590BE9">
        <w:rPr>
          <w:rFonts w:cs="Arial"/>
        </w:rPr>
        <w:tab/>
        <w:t>‘Defence Land Safety and Environmental Regulations’, GOV.UK. Accessed: Jul. 18, 2025. [Online]. Available: https://www.gov.uk/government/publications/defence-land-safety-and-environmental-regulations</w:t>
      </w:r>
    </w:p>
    <w:p w14:paraId="6950B87A" w14:textId="77777777" w:rsidR="00590BE9" w:rsidRPr="00590BE9" w:rsidRDefault="00590BE9" w:rsidP="00590BE9">
      <w:pPr>
        <w:pStyle w:val="Bibliography"/>
        <w:rPr>
          <w:rFonts w:cs="Arial"/>
        </w:rPr>
      </w:pPr>
      <w:r w:rsidRPr="00590BE9">
        <w:rPr>
          <w:rFonts w:cs="Arial"/>
        </w:rPr>
        <w:t>[9]</w:t>
      </w:r>
      <w:r w:rsidRPr="00590BE9">
        <w:rPr>
          <w:rFonts w:cs="Arial"/>
        </w:rPr>
        <w:tab/>
        <w:t>‘ISO 26262 road vehicles functional safety’, ISO. Accessed: Jul. 18, 2025. [Online]. Available: https://www.iso.org/publication/PUB200262.html</w:t>
      </w:r>
    </w:p>
    <w:p w14:paraId="58C20972" w14:textId="77777777" w:rsidR="00590BE9" w:rsidRPr="00590BE9" w:rsidRDefault="00590BE9" w:rsidP="00590BE9">
      <w:pPr>
        <w:pStyle w:val="Bibliography"/>
        <w:rPr>
          <w:rFonts w:cs="Arial"/>
        </w:rPr>
      </w:pPr>
      <w:r w:rsidRPr="00590BE9">
        <w:rPr>
          <w:rFonts w:cs="Arial"/>
        </w:rPr>
        <w:t>[10]</w:t>
      </w:r>
      <w:r w:rsidRPr="00590BE9">
        <w:rPr>
          <w:rFonts w:cs="Arial"/>
        </w:rPr>
        <w:tab/>
        <w:t>‘DStan 00-056 Part 1 Issue 8 - Safety Management Requirements for Defence Systems - Requirements and Guidance’. Oct. 14, 2023.</w:t>
      </w:r>
    </w:p>
    <w:p w14:paraId="26F14530" w14:textId="77777777" w:rsidR="00590BE9" w:rsidRPr="00590BE9" w:rsidRDefault="00590BE9" w:rsidP="00590BE9">
      <w:pPr>
        <w:pStyle w:val="Bibliography"/>
        <w:rPr>
          <w:rFonts w:cs="Arial"/>
        </w:rPr>
      </w:pPr>
      <w:r w:rsidRPr="00590BE9">
        <w:rPr>
          <w:rFonts w:cs="Arial"/>
        </w:rPr>
        <w:t>[11]</w:t>
      </w:r>
      <w:r w:rsidRPr="00590BE9">
        <w:rPr>
          <w:rFonts w:cs="Arial"/>
        </w:rPr>
        <w:tab/>
        <w:t>‘A guide to the Control of Major Accident Hazards Regulations (COMAH) 2015 - HSE’. Accessed: Jul. 18, 2025. [Online]. Available: https://www.hse.gov.uk/pubns/books/l111.htm</w:t>
      </w:r>
    </w:p>
    <w:p w14:paraId="10F81610" w14:textId="77777777" w:rsidR="00590BE9" w:rsidRPr="00590BE9" w:rsidRDefault="00590BE9" w:rsidP="00590BE9">
      <w:pPr>
        <w:pStyle w:val="Bibliography"/>
        <w:rPr>
          <w:rFonts w:cs="Arial"/>
        </w:rPr>
      </w:pPr>
      <w:r w:rsidRPr="00590BE9">
        <w:rPr>
          <w:rFonts w:cs="Arial"/>
        </w:rPr>
        <w:t>[12]</w:t>
      </w:r>
      <w:r w:rsidRPr="00590BE9">
        <w:rPr>
          <w:rFonts w:cs="Arial"/>
        </w:rPr>
        <w:tab/>
        <w:t>‘Management of health and safety in defence (JSP 375)’, GOV.UK. Accessed: Jul. 18, 2025. [Online]. Available: https://www.gov.uk/government/collections/jsp-375-health-and-safety-handbook</w:t>
      </w:r>
    </w:p>
    <w:p w14:paraId="18730C34" w14:textId="77777777" w:rsidR="00590BE9" w:rsidRPr="00590BE9" w:rsidRDefault="00590BE9" w:rsidP="00590BE9">
      <w:pPr>
        <w:pStyle w:val="Bibliography"/>
        <w:rPr>
          <w:rFonts w:cs="Arial"/>
        </w:rPr>
      </w:pPr>
      <w:r w:rsidRPr="00590BE9">
        <w:rPr>
          <w:rFonts w:cs="Arial"/>
        </w:rPr>
        <w:t>[13]</w:t>
      </w:r>
      <w:r w:rsidRPr="00590BE9">
        <w:rPr>
          <w:rFonts w:cs="Arial"/>
        </w:rPr>
        <w:tab/>
        <w:t>E. Participation, ‘The Reporting of Injuries, Diseases and Dangerous Occurrences Regulations 2013’. Accessed: Jul. 18, 2025. [Online]. Available: https://www.legislation.gov.uk/uksi/2013/1471/contents</w:t>
      </w:r>
    </w:p>
    <w:p w14:paraId="61D18755" w14:textId="7C7E2208" w:rsidR="0021602C" w:rsidRDefault="00590BE9" w:rsidP="0021602C">
      <w:r>
        <w:fldChar w:fldCharType="end"/>
      </w:r>
    </w:p>
    <w:sectPr w:rsidR="0021602C"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1EFC4" w14:textId="77777777" w:rsidR="009330E2" w:rsidRDefault="009330E2">
      <w:r>
        <w:separator/>
      </w:r>
    </w:p>
  </w:endnote>
  <w:endnote w:type="continuationSeparator" w:id="0">
    <w:p w14:paraId="28FCD1CA" w14:textId="77777777" w:rsidR="009330E2" w:rsidRDefault="0093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4B44F" w14:textId="77777777" w:rsidR="009330E2" w:rsidRDefault="009330E2">
      <w:r>
        <w:separator/>
      </w:r>
    </w:p>
  </w:footnote>
  <w:footnote w:type="continuationSeparator" w:id="0">
    <w:p w14:paraId="6A6CD870" w14:textId="77777777" w:rsidR="009330E2" w:rsidRDefault="0093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6"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8"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1"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2"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1"/>
  </w:num>
  <w:num w:numId="2" w16cid:durableId="1489785511">
    <w:abstractNumId w:val="18"/>
  </w:num>
  <w:num w:numId="3" w16cid:durableId="905871091">
    <w:abstractNumId w:val="14"/>
  </w:num>
  <w:num w:numId="4" w16cid:durableId="534970395">
    <w:abstractNumId w:val="10"/>
  </w:num>
  <w:num w:numId="5" w16cid:durableId="38435229">
    <w:abstractNumId w:val="30"/>
  </w:num>
  <w:num w:numId="6" w16cid:durableId="2057730824">
    <w:abstractNumId w:val="20"/>
  </w:num>
  <w:num w:numId="7" w16cid:durableId="1675720074">
    <w:abstractNumId w:val="22"/>
  </w:num>
  <w:num w:numId="8" w16cid:durableId="1014383751">
    <w:abstractNumId w:val="16"/>
  </w:num>
  <w:num w:numId="9" w16cid:durableId="201672474">
    <w:abstractNumId w:val="27"/>
  </w:num>
  <w:num w:numId="10" w16cid:durableId="256066161">
    <w:abstractNumId w:val="32"/>
  </w:num>
  <w:num w:numId="11" w16cid:durableId="2087680663">
    <w:abstractNumId w:val="13"/>
  </w:num>
  <w:num w:numId="12" w16cid:durableId="2044011657">
    <w:abstractNumId w:val="21"/>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29"/>
  </w:num>
  <w:num w:numId="24" w16cid:durableId="657152095">
    <w:abstractNumId w:val="11"/>
  </w:num>
  <w:num w:numId="25" w16cid:durableId="649095097">
    <w:abstractNumId w:val="23"/>
  </w:num>
  <w:num w:numId="26" w16cid:durableId="2025472307">
    <w:abstractNumId w:val="12"/>
  </w:num>
  <w:num w:numId="27" w16cid:durableId="732191785">
    <w:abstractNumId w:val="25"/>
  </w:num>
  <w:num w:numId="28" w16cid:durableId="1293512764">
    <w:abstractNumId w:val="15"/>
  </w:num>
  <w:num w:numId="29" w16cid:durableId="1552501508">
    <w:abstractNumId w:val="28"/>
  </w:num>
  <w:num w:numId="30" w16cid:durableId="1990475844">
    <w:abstractNumId w:val="26"/>
  </w:num>
  <w:num w:numId="31" w16cid:durableId="1087464949">
    <w:abstractNumId w:val="17"/>
  </w:num>
  <w:num w:numId="32" w16cid:durableId="516886674">
    <w:abstractNumId w:val="24"/>
  </w:num>
  <w:num w:numId="33" w16cid:durableId="17208636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95A"/>
    <w:rsid w:val="000146A5"/>
    <w:rsid w:val="00015A13"/>
    <w:rsid w:val="00016BC8"/>
    <w:rsid w:val="00030A21"/>
    <w:rsid w:val="0003188E"/>
    <w:rsid w:val="00045D6F"/>
    <w:rsid w:val="00063CEE"/>
    <w:rsid w:val="00065259"/>
    <w:rsid w:val="00065A60"/>
    <w:rsid w:val="00067512"/>
    <w:rsid w:val="00071CD5"/>
    <w:rsid w:val="0007547B"/>
    <w:rsid w:val="00085B4F"/>
    <w:rsid w:val="00086305"/>
    <w:rsid w:val="00097727"/>
    <w:rsid w:val="000A095C"/>
    <w:rsid w:val="000A4407"/>
    <w:rsid w:val="000B6677"/>
    <w:rsid w:val="000B66CC"/>
    <w:rsid w:val="000B68DB"/>
    <w:rsid w:val="000C5D75"/>
    <w:rsid w:val="000C6559"/>
    <w:rsid w:val="000D26D3"/>
    <w:rsid w:val="000D3236"/>
    <w:rsid w:val="000D3AB7"/>
    <w:rsid w:val="000E1E14"/>
    <w:rsid w:val="000E5531"/>
    <w:rsid w:val="000F3FC7"/>
    <w:rsid w:val="000F5578"/>
    <w:rsid w:val="00126903"/>
    <w:rsid w:val="00130109"/>
    <w:rsid w:val="00132B6A"/>
    <w:rsid w:val="0013418D"/>
    <w:rsid w:val="00145332"/>
    <w:rsid w:val="001507DE"/>
    <w:rsid w:val="00161BFC"/>
    <w:rsid w:val="001621B9"/>
    <w:rsid w:val="00162D34"/>
    <w:rsid w:val="001705C2"/>
    <w:rsid w:val="00171953"/>
    <w:rsid w:val="001850E2"/>
    <w:rsid w:val="00187AAB"/>
    <w:rsid w:val="00191AF0"/>
    <w:rsid w:val="00196CAA"/>
    <w:rsid w:val="001B0633"/>
    <w:rsid w:val="001B63F7"/>
    <w:rsid w:val="001C1A69"/>
    <w:rsid w:val="001C2208"/>
    <w:rsid w:val="001C23E5"/>
    <w:rsid w:val="001D1974"/>
    <w:rsid w:val="001D2FAF"/>
    <w:rsid w:val="001D46E9"/>
    <w:rsid w:val="001D636A"/>
    <w:rsid w:val="001D7982"/>
    <w:rsid w:val="001E00D5"/>
    <w:rsid w:val="001E388D"/>
    <w:rsid w:val="001E7302"/>
    <w:rsid w:val="001F1539"/>
    <w:rsid w:val="001F3055"/>
    <w:rsid w:val="001F41DE"/>
    <w:rsid w:val="001F7EBB"/>
    <w:rsid w:val="00204473"/>
    <w:rsid w:val="002112DA"/>
    <w:rsid w:val="00211E3B"/>
    <w:rsid w:val="002121F3"/>
    <w:rsid w:val="0021602C"/>
    <w:rsid w:val="00224C6D"/>
    <w:rsid w:val="00224E7F"/>
    <w:rsid w:val="00230B99"/>
    <w:rsid w:val="00232B80"/>
    <w:rsid w:val="00232DCD"/>
    <w:rsid w:val="00243313"/>
    <w:rsid w:val="00245DA7"/>
    <w:rsid w:val="00246995"/>
    <w:rsid w:val="0025099B"/>
    <w:rsid w:val="00267F4D"/>
    <w:rsid w:val="00285034"/>
    <w:rsid w:val="0029045A"/>
    <w:rsid w:val="002A178C"/>
    <w:rsid w:val="002A5491"/>
    <w:rsid w:val="002A74B3"/>
    <w:rsid w:val="002A7DD0"/>
    <w:rsid w:val="002B0693"/>
    <w:rsid w:val="002B133F"/>
    <w:rsid w:val="002B7456"/>
    <w:rsid w:val="002B7B28"/>
    <w:rsid w:val="002C4A8E"/>
    <w:rsid w:val="002D05CE"/>
    <w:rsid w:val="002D4A7B"/>
    <w:rsid w:val="002E4D3E"/>
    <w:rsid w:val="002F7211"/>
    <w:rsid w:val="00304798"/>
    <w:rsid w:val="003148C2"/>
    <w:rsid w:val="00316A6E"/>
    <w:rsid w:val="003500A4"/>
    <w:rsid w:val="00351E83"/>
    <w:rsid w:val="003550A0"/>
    <w:rsid w:val="0035720C"/>
    <w:rsid w:val="00361EFD"/>
    <w:rsid w:val="0037068D"/>
    <w:rsid w:val="00372935"/>
    <w:rsid w:val="0037730A"/>
    <w:rsid w:val="00381867"/>
    <w:rsid w:val="00393F05"/>
    <w:rsid w:val="003A5815"/>
    <w:rsid w:val="003B075E"/>
    <w:rsid w:val="003B1C9F"/>
    <w:rsid w:val="003B2155"/>
    <w:rsid w:val="003B21ED"/>
    <w:rsid w:val="003C1BE0"/>
    <w:rsid w:val="003C6481"/>
    <w:rsid w:val="003C7407"/>
    <w:rsid w:val="003D1797"/>
    <w:rsid w:val="003F67A2"/>
    <w:rsid w:val="004015E2"/>
    <w:rsid w:val="004023E9"/>
    <w:rsid w:val="00404309"/>
    <w:rsid w:val="0041685B"/>
    <w:rsid w:val="00423DB3"/>
    <w:rsid w:val="00426FAA"/>
    <w:rsid w:val="00441A43"/>
    <w:rsid w:val="00445061"/>
    <w:rsid w:val="00445556"/>
    <w:rsid w:val="00446ABB"/>
    <w:rsid w:val="004534AC"/>
    <w:rsid w:val="004536A4"/>
    <w:rsid w:val="00460314"/>
    <w:rsid w:val="0046152D"/>
    <w:rsid w:val="004640A8"/>
    <w:rsid w:val="00465F16"/>
    <w:rsid w:val="004747AF"/>
    <w:rsid w:val="00483FC8"/>
    <w:rsid w:val="00486C80"/>
    <w:rsid w:val="0049076B"/>
    <w:rsid w:val="004937CD"/>
    <w:rsid w:val="00495E7B"/>
    <w:rsid w:val="004A1164"/>
    <w:rsid w:val="004A133A"/>
    <w:rsid w:val="004B0EB7"/>
    <w:rsid w:val="004B5597"/>
    <w:rsid w:val="004B5D2E"/>
    <w:rsid w:val="004B7601"/>
    <w:rsid w:val="004C03F0"/>
    <w:rsid w:val="004C0767"/>
    <w:rsid w:val="004C094A"/>
    <w:rsid w:val="004C2C9C"/>
    <w:rsid w:val="004D265B"/>
    <w:rsid w:val="004D5EBD"/>
    <w:rsid w:val="004E7AF1"/>
    <w:rsid w:val="005064F6"/>
    <w:rsid w:val="005125CD"/>
    <w:rsid w:val="005134B3"/>
    <w:rsid w:val="00515E6A"/>
    <w:rsid w:val="0052247A"/>
    <w:rsid w:val="005244BB"/>
    <w:rsid w:val="00524E57"/>
    <w:rsid w:val="005304A9"/>
    <w:rsid w:val="0053401D"/>
    <w:rsid w:val="00541950"/>
    <w:rsid w:val="00543179"/>
    <w:rsid w:val="00547EA4"/>
    <w:rsid w:val="005528A4"/>
    <w:rsid w:val="005611FC"/>
    <w:rsid w:val="00571D27"/>
    <w:rsid w:val="005800F4"/>
    <w:rsid w:val="00590BE9"/>
    <w:rsid w:val="005A29B0"/>
    <w:rsid w:val="005B120A"/>
    <w:rsid w:val="005C0AF1"/>
    <w:rsid w:val="005C236B"/>
    <w:rsid w:val="005C5BF2"/>
    <w:rsid w:val="005C6FA2"/>
    <w:rsid w:val="005D4968"/>
    <w:rsid w:val="005D68D1"/>
    <w:rsid w:val="005E3ACA"/>
    <w:rsid w:val="005E4B39"/>
    <w:rsid w:val="00600F1E"/>
    <w:rsid w:val="00614936"/>
    <w:rsid w:val="006159AA"/>
    <w:rsid w:val="00620197"/>
    <w:rsid w:val="00623A81"/>
    <w:rsid w:val="00626744"/>
    <w:rsid w:val="0062728E"/>
    <w:rsid w:val="006342AB"/>
    <w:rsid w:val="006444F3"/>
    <w:rsid w:val="006454D8"/>
    <w:rsid w:val="0065436C"/>
    <w:rsid w:val="0065601E"/>
    <w:rsid w:val="006573D9"/>
    <w:rsid w:val="006575E8"/>
    <w:rsid w:val="006632D8"/>
    <w:rsid w:val="00666E51"/>
    <w:rsid w:val="0067125B"/>
    <w:rsid w:val="00671FA2"/>
    <w:rsid w:val="0068476E"/>
    <w:rsid w:val="00684F95"/>
    <w:rsid w:val="00685088"/>
    <w:rsid w:val="00686E94"/>
    <w:rsid w:val="00692E60"/>
    <w:rsid w:val="00693975"/>
    <w:rsid w:val="006A19EC"/>
    <w:rsid w:val="006A3182"/>
    <w:rsid w:val="006A4FAF"/>
    <w:rsid w:val="006A797F"/>
    <w:rsid w:val="006B164F"/>
    <w:rsid w:val="006B3CDE"/>
    <w:rsid w:val="006C4E71"/>
    <w:rsid w:val="006C6C98"/>
    <w:rsid w:val="006D2240"/>
    <w:rsid w:val="006D680A"/>
    <w:rsid w:val="006E7473"/>
    <w:rsid w:val="006F48A8"/>
    <w:rsid w:val="006F6F09"/>
    <w:rsid w:val="00700D30"/>
    <w:rsid w:val="0070144B"/>
    <w:rsid w:val="0070544E"/>
    <w:rsid w:val="00706FC0"/>
    <w:rsid w:val="00720589"/>
    <w:rsid w:val="007240B6"/>
    <w:rsid w:val="00735256"/>
    <w:rsid w:val="0073659B"/>
    <w:rsid w:val="00747900"/>
    <w:rsid w:val="0075020C"/>
    <w:rsid w:val="00751BC0"/>
    <w:rsid w:val="00757DA9"/>
    <w:rsid w:val="00792A54"/>
    <w:rsid w:val="00795AC0"/>
    <w:rsid w:val="007A5657"/>
    <w:rsid w:val="007D48F0"/>
    <w:rsid w:val="007F0255"/>
    <w:rsid w:val="007F10F9"/>
    <w:rsid w:val="007F186D"/>
    <w:rsid w:val="007F5C55"/>
    <w:rsid w:val="00801843"/>
    <w:rsid w:val="00806B8E"/>
    <w:rsid w:val="00807610"/>
    <w:rsid w:val="00807CDF"/>
    <w:rsid w:val="00830238"/>
    <w:rsid w:val="00833618"/>
    <w:rsid w:val="00835E1B"/>
    <w:rsid w:val="00837448"/>
    <w:rsid w:val="008428F4"/>
    <w:rsid w:val="008462C0"/>
    <w:rsid w:val="00850D8A"/>
    <w:rsid w:val="00851ADB"/>
    <w:rsid w:val="00861622"/>
    <w:rsid w:val="00864E1A"/>
    <w:rsid w:val="00875B58"/>
    <w:rsid w:val="00876ECB"/>
    <w:rsid w:val="0088087A"/>
    <w:rsid w:val="00884ECE"/>
    <w:rsid w:val="008906BD"/>
    <w:rsid w:val="00893302"/>
    <w:rsid w:val="0089468F"/>
    <w:rsid w:val="008B72AE"/>
    <w:rsid w:val="008B731F"/>
    <w:rsid w:val="008C56B9"/>
    <w:rsid w:val="008D00C5"/>
    <w:rsid w:val="008D0F71"/>
    <w:rsid w:val="008D1035"/>
    <w:rsid w:val="008D1F23"/>
    <w:rsid w:val="008D5D60"/>
    <w:rsid w:val="008D5DD7"/>
    <w:rsid w:val="008D5E4C"/>
    <w:rsid w:val="008E06AA"/>
    <w:rsid w:val="008E5A35"/>
    <w:rsid w:val="008E7822"/>
    <w:rsid w:val="008F0A2B"/>
    <w:rsid w:val="008F2598"/>
    <w:rsid w:val="00922BCA"/>
    <w:rsid w:val="00925B40"/>
    <w:rsid w:val="009330E2"/>
    <w:rsid w:val="0093381A"/>
    <w:rsid w:val="009404A4"/>
    <w:rsid w:val="0094060A"/>
    <w:rsid w:val="009416E2"/>
    <w:rsid w:val="009416F9"/>
    <w:rsid w:val="00941D35"/>
    <w:rsid w:val="009504C2"/>
    <w:rsid w:val="009616E1"/>
    <w:rsid w:val="00972909"/>
    <w:rsid w:val="009729EE"/>
    <w:rsid w:val="00974BD2"/>
    <w:rsid w:val="00975E94"/>
    <w:rsid w:val="009878CB"/>
    <w:rsid w:val="00995B4F"/>
    <w:rsid w:val="00996FFA"/>
    <w:rsid w:val="009A3909"/>
    <w:rsid w:val="009A3D04"/>
    <w:rsid w:val="009B52E2"/>
    <w:rsid w:val="009B68EF"/>
    <w:rsid w:val="009B7734"/>
    <w:rsid w:val="009D0141"/>
    <w:rsid w:val="009F42D6"/>
    <w:rsid w:val="009F4F9E"/>
    <w:rsid w:val="00A0329E"/>
    <w:rsid w:val="00A128AB"/>
    <w:rsid w:val="00A12BD3"/>
    <w:rsid w:val="00A226AF"/>
    <w:rsid w:val="00A259D4"/>
    <w:rsid w:val="00A25E3F"/>
    <w:rsid w:val="00A33D5D"/>
    <w:rsid w:val="00A36F61"/>
    <w:rsid w:val="00A43F2C"/>
    <w:rsid w:val="00A62212"/>
    <w:rsid w:val="00A633BD"/>
    <w:rsid w:val="00A651C5"/>
    <w:rsid w:val="00A66351"/>
    <w:rsid w:val="00A916EE"/>
    <w:rsid w:val="00A93A59"/>
    <w:rsid w:val="00A95671"/>
    <w:rsid w:val="00AA1E42"/>
    <w:rsid w:val="00AA2009"/>
    <w:rsid w:val="00AA4D83"/>
    <w:rsid w:val="00AA61F1"/>
    <w:rsid w:val="00AD1A00"/>
    <w:rsid w:val="00AD2699"/>
    <w:rsid w:val="00AD40F4"/>
    <w:rsid w:val="00AD6D75"/>
    <w:rsid w:val="00AD7051"/>
    <w:rsid w:val="00AE480E"/>
    <w:rsid w:val="00AE50FD"/>
    <w:rsid w:val="00B03D9F"/>
    <w:rsid w:val="00B04B79"/>
    <w:rsid w:val="00B1530F"/>
    <w:rsid w:val="00B17824"/>
    <w:rsid w:val="00B20072"/>
    <w:rsid w:val="00B20B2C"/>
    <w:rsid w:val="00B2492B"/>
    <w:rsid w:val="00B30745"/>
    <w:rsid w:val="00B40908"/>
    <w:rsid w:val="00B471B8"/>
    <w:rsid w:val="00B516D8"/>
    <w:rsid w:val="00B53E08"/>
    <w:rsid w:val="00B61041"/>
    <w:rsid w:val="00B62048"/>
    <w:rsid w:val="00B765F2"/>
    <w:rsid w:val="00B77263"/>
    <w:rsid w:val="00B8524A"/>
    <w:rsid w:val="00B85761"/>
    <w:rsid w:val="00B8752D"/>
    <w:rsid w:val="00B96699"/>
    <w:rsid w:val="00B9798F"/>
    <w:rsid w:val="00BA0D4C"/>
    <w:rsid w:val="00BA279E"/>
    <w:rsid w:val="00BA5321"/>
    <w:rsid w:val="00BC00B2"/>
    <w:rsid w:val="00BC4978"/>
    <w:rsid w:val="00BD2A70"/>
    <w:rsid w:val="00BD4510"/>
    <w:rsid w:val="00BE1C94"/>
    <w:rsid w:val="00BE546F"/>
    <w:rsid w:val="00BE77DE"/>
    <w:rsid w:val="00BF4B1B"/>
    <w:rsid w:val="00BF5778"/>
    <w:rsid w:val="00C04DD4"/>
    <w:rsid w:val="00C1009A"/>
    <w:rsid w:val="00C10332"/>
    <w:rsid w:val="00C23009"/>
    <w:rsid w:val="00C27103"/>
    <w:rsid w:val="00C43382"/>
    <w:rsid w:val="00C4482E"/>
    <w:rsid w:val="00C44DF7"/>
    <w:rsid w:val="00C473DF"/>
    <w:rsid w:val="00C52F9C"/>
    <w:rsid w:val="00C53236"/>
    <w:rsid w:val="00C626AF"/>
    <w:rsid w:val="00C62DD8"/>
    <w:rsid w:val="00C658CA"/>
    <w:rsid w:val="00C670E9"/>
    <w:rsid w:val="00C71D1F"/>
    <w:rsid w:val="00C7739D"/>
    <w:rsid w:val="00C82E8D"/>
    <w:rsid w:val="00C90A14"/>
    <w:rsid w:val="00CA7AF4"/>
    <w:rsid w:val="00CB6132"/>
    <w:rsid w:val="00CC21F1"/>
    <w:rsid w:val="00CC3678"/>
    <w:rsid w:val="00CD103A"/>
    <w:rsid w:val="00CD5F1E"/>
    <w:rsid w:val="00CD6BE3"/>
    <w:rsid w:val="00CD7166"/>
    <w:rsid w:val="00CE3F44"/>
    <w:rsid w:val="00CE58A5"/>
    <w:rsid w:val="00CF1D85"/>
    <w:rsid w:val="00CF1F8D"/>
    <w:rsid w:val="00CF66E5"/>
    <w:rsid w:val="00CF6AA9"/>
    <w:rsid w:val="00D00922"/>
    <w:rsid w:val="00D029EC"/>
    <w:rsid w:val="00D03E8E"/>
    <w:rsid w:val="00D04795"/>
    <w:rsid w:val="00D135C3"/>
    <w:rsid w:val="00D233FE"/>
    <w:rsid w:val="00D234C6"/>
    <w:rsid w:val="00D23D5B"/>
    <w:rsid w:val="00D32985"/>
    <w:rsid w:val="00D333B2"/>
    <w:rsid w:val="00D34064"/>
    <w:rsid w:val="00D351A6"/>
    <w:rsid w:val="00D3724C"/>
    <w:rsid w:val="00D41C89"/>
    <w:rsid w:val="00D507DF"/>
    <w:rsid w:val="00D52AC3"/>
    <w:rsid w:val="00D54B4D"/>
    <w:rsid w:val="00D811B5"/>
    <w:rsid w:val="00DA1700"/>
    <w:rsid w:val="00DA28B2"/>
    <w:rsid w:val="00DA2F6E"/>
    <w:rsid w:val="00DA7B8C"/>
    <w:rsid w:val="00DB0932"/>
    <w:rsid w:val="00DC0755"/>
    <w:rsid w:val="00DC07E4"/>
    <w:rsid w:val="00DC6E45"/>
    <w:rsid w:val="00DD3DA3"/>
    <w:rsid w:val="00DE3DBF"/>
    <w:rsid w:val="00DE44A3"/>
    <w:rsid w:val="00DE4B07"/>
    <w:rsid w:val="00DF4959"/>
    <w:rsid w:val="00DF6781"/>
    <w:rsid w:val="00E025DC"/>
    <w:rsid w:val="00E06505"/>
    <w:rsid w:val="00E17857"/>
    <w:rsid w:val="00E17B5A"/>
    <w:rsid w:val="00E27131"/>
    <w:rsid w:val="00E27644"/>
    <w:rsid w:val="00E34374"/>
    <w:rsid w:val="00E367E5"/>
    <w:rsid w:val="00E37F83"/>
    <w:rsid w:val="00E53D4B"/>
    <w:rsid w:val="00E60686"/>
    <w:rsid w:val="00E66614"/>
    <w:rsid w:val="00E71C90"/>
    <w:rsid w:val="00E75826"/>
    <w:rsid w:val="00E8030E"/>
    <w:rsid w:val="00E81DD4"/>
    <w:rsid w:val="00E93B52"/>
    <w:rsid w:val="00E94F51"/>
    <w:rsid w:val="00E94FC1"/>
    <w:rsid w:val="00EA3654"/>
    <w:rsid w:val="00EB311A"/>
    <w:rsid w:val="00EB47D6"/>
    <w:rsid w:val="00EB5E9A"/>
    <w:rsid w:val="00EC42E2"/>
    <w:rsid w:val="00EC4663"/>
    <w:rsid w:val="00EC473B"/>
    <w:rsid w:val="00EC5EDF"/>
    <w:rsid w:val="00EC746C"/>
    <w:rsid w:val="00ED5886"/>
    <w:rsid w:val="00EE07F2"/>
    <w:rsid w:val="00EE747A"/>
    <w:rsid w:val="00EF21A6"/>
    <w:rsid w:val="00EF35D7"/>
    <w:rsid w:val="00EF5C69"/>
    <w:rsid w:val="00F15523"/>
    <w:rsid w:val="00F16E24"/>
    <w:rsid w:val="00F20568"/>
    <w:rsid w:val="00F2159F"/>
    <w:rsid w:val="00F25A85"/>
    <w:rsid w:val="00F32ADB"/>
    <w:rsid w:val="00F33B50"/>
    <w:rsid w:val="00F36499"/>
    <w:rsid w:val="00F4072F"/>
    <w:rsid w:val="00F44E18"/>
    <w:rsid w:val="00F4729A"/>
    <w:rsid w:val="00F509C2"/>
    <w:rsid w:val="00F551D0"/>
    <w:rsid w:val="00F65825"/>
    <w:rsid w:val="00F70D29"/>
    <w:rsid w:val="00F718E3"/>
    <w:rsid w:val="00F72FA5"/>
    <w:rsid w:val="00F73103"/>
    <w:rsid w:val="00F73DA6"/>
    <w:rsid w:val="00F84DA7"/>
    <w:rsid w:val="00F86DFA"/>
    <w:rsid w:val="00FA1008"/>
    <w:rsid w:val="00FA46DB"/>
    <w:rsid w:val="00FA55B5"/>
    <w:rsid w:val="00FA6034"/>
    <w:rsid w:val="00FA7F7D"/>
    <w:rsid w:val="00FB6B73"/>
    <w:rsid w:val="00FB6BE4"/>
    <w:rsid w:val="00FC0A15"/>
    <w:rsid w:val="00FE5865"/>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paragraph" w:styleId="NormalWeb">
    <w:name w:val="Normal (Web)"/>
    <w:basedOn w:val="Normal"/>
    <w:uiPriority w:val="99"/>
    <w:semiHidden/>
    <w:unhideWhenUsed/>
    <w:rsid w:val="00B471B8"/>
    <w:rPr>
      <w:rFonts w:ascii="Times New Roman" w:hAnsi="Times New Roman"/>
    </w:rPr>
  </w:style>
  <w:style w:type="paragraph" w:styleId="Bibliography">
    <w:name w:val="Bibliography"/>
    <w:basedOn w:val="Normal"/>
    <w:next w:val="Normal"/>
    <w:uiPriority w:val="37"/>
    <w:unhideWhenUsed/>
    <w:rsid w:val="00590BE9"/>
    <w:pPr>
      <w:tabs>
        <w:tab w:val="left" w:pos="504"/>
      </w:tabs>
      <w:spacing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3065">
      <w:bodyDiv w:val="1"/>
      <w:marLeft w:val="0"/>
      <w:marRight w:val="0"/>
      <w:marTop w:val="0"/>
      <w:marBottom w:val="0"/>
      <w:divBdr>
        <w:top w:val="none" w:sz="0" w:space="0" w:color="auto"/>
        <w:left w:val="none" w:sz="0" w:space="0" w:color="auto"/>
        <w:bottom w:val="none" w:sz="0" w:space="0" w:color="auto"/>
        <w:right w:val="none" w:sz="0" w:space="0" w:color="auto"/>
      </w:divBdr>
    </w:div>
    <w:div w:id="53819649">
      <w:bodyDiv w:val="1"/>
      <w:marLeft w:val="0"/>
      <w:marRight w:val="0"/>
      <w:marTop w:val="0"/>
      <w:marBottom w:val="0"/>
      <w:divBdr>
        <w:top w:val="none" w:sz="0" w:space="0" w:color="auto"/>
        <w:left w:val="none" w:sz="0" w:space="0" w:color="auto"/>
        <w:bottom w:val="none" w:sz="0" w:space="0" w:color="auto"/>
        <w:right w:val="none" w:sz="0" w:space="0" w:color="auto"/>
      </w:divBdr>
    </w:div>
    <w:div w:id="67583009">
      <w:bodyDiv w:val="1"/>
      <w:marLeft w:val="0"/>
      <w:marRight w:val="0"/>
      <w:marTop w:val="0"/>
      <w:marBottom w:val="0"/>
      <w:divBdr>
        <w:top w:val="none" w:sz="0" w:space="0" w:color="auto"/>
        <w:left w:val="none" w:sz="0" w:space="0" w:color="auto"/>
        <w:bottom w:val="none" w:sz="0" w:space="0" w:color="auto"/>
        <w:right w:val="none" w:sz="0" w:space="0" w:color="auto"/>
      </w:divBdr>
    </w:div>
    <w:div w:id="182011248">
      <w:bodyDiv w:val="1"/>
      <w:marLeft w:val="0"/>
      <w:marRight w:val="0"/>
      <w:marTop w:val="0"/>
      <w:marBottom w:val="0"/>
      <w:divBdr>
        <w:top w:val="none" w:sz="0" w:space="0" w:color="auto"/>
        <w:left w:val="none" w:sz="0" w:space="0" w:color="auto"/>
        <w:bottom w:val="none" w:sz="0" w:space="0" w:color="auto"/>
        <w:right w:val="none" w:sz="0" w:space="0" w:color="auto"/>
      </w:divBdr>
    </w:div>
    <w:div w:id="227811718">
      <w:bodyDiv w:val="1"/>
      <w:marLeft w:val="0"/>
      <w:marRight w:val="0"/>
      <w:marTop w:val="0"/>
      <w:marBottom w:val="0"/>
      <w:divBdr>
        <w:top w:val="none" w:sz="0" w:space="0" w:color="auto"/>
        <w:left w:val="none" w:sz="0" w:space="0" w:color="auto"/>
        <w:bottom w:val="none" w:sz="0" w:space="0" w:color="auto"/>
        <w:right w:val="none" w:sz="0" w:space="0" w:color="auto"/>
      </w:divBdr>
    </w:div>
    <w:div w:id="386926376">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67553008">
      <w:bodyDiv w:val="1"/>
      <w:marLeft w:val="0"/>
      <w:marRight w:val="0"/>
      <w:marTop w:val="0"/>
      <w:marBottom w:val="0"/>
      <w:divBdr>
        <w:top w:val="none" w:sz="0" w:space="0" w:color="auto"/>
        <w:left w:val="none" w:sz="0" w:space="0" w:color="auto"/>
        <w:bottom w:val="none" w:sz="0" w:space="0" w:color="auto"/>
        <w:right w:val="none" w:sz="0" w:space="0" w:color="auto"/>
      </w:divBdr>
    </w:div>
    <w:div w:id="530342513">
      <w:bodyDiv w:val="1"/>
      <w:marLeft w:val="0"/>
      <w:marRight w:val="0"/>
      <w:marTop w:val="0"/>
      <w:marBottom w:val="0"/>
      <w:divBdr>
        <w:top w:val="none" w:sz="0" w:space="0" w:color="auto"/>
        <w:left w:val="none" w:sz="0" w:space="0" w:color="auto"/>
        <w:bottom w:val="none" w:sz="0" w:space="0" w:color="auto"/>
        <w:right w:val="none" w:sz="0" w:space="0" w:color="auto"/>
      </w:divBdr>
    </w:div>
    <w:div w:id="617761520">
      <w:bodyDiv w:val="1"/>
      <w:marLeft w:val="0"/>
      <w:marRight w:val="0"/>
      <w:marTop w:val="0"/>
      <w:marBottom w:val="0"/>
      <w:divBdr>
        <w:top w:val="none" w:sz="0" w:space="0" w:color="auto"/>
        <w:left w:val="none" w:sz="0" w:space="0" w:color="auto"/>
        <w:bottom w:val="none" w:sz="0" w:space="0" w:color="auto"/>
        <w:right w:val="none" w:sz="0" w:space="0" w:color="auto"/>
      </w:divBdr>
    </w:div>
    <w:div w:id="618953446">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865027443">
      <w:bodyDiv w:val="1"/>
      <w:marLeft w:val="0"/>
      <w:marRight w:val="0"/>
      <w:marTop w:val="0"/>
      <w:marBottom w:val="0"/>
      <w:divBdr>
        <w:top w:val="none" w:sz="0" w:space="0" w:color="auto"/>
        <w:left w:val="none" w:sz="0" w:space="0" w:color="auto"/>
        <w:bottom w:val="none" w:sz="0" w:space="0" w:color="auto"/>
        <w:right w:val="none" w:sz="0" w:space="0" w:color="auto"/>
      </w:divBdr>
    </w:div>
    <w:div w:id="908462332">
      <w:bodyDiv w:val="1"/>
      <w:marLeft w:val="0"/>
      <w:marRight w:val="0"/>
      <w:marTop w:val="0"/>
      <w:marBottom w:val="0"/>
      <w:divBdr>
        <w:top w:val="none" w:sz="0" w:space="0" w:color="auto"/>
        <w:left w:val="none" w:sz="0" w:space="0" w:color="auto"/>
        <w:bottom w:val="none" w:sz="0" w:space="0" w:color="auto"/>
        <w:right w:val="none" w:sz="0" w:space="0" w:color="auto"/>
      </w:divBdr>
    </w:div>
    <w:div w:id="979265725">
      <w:bodyDiv w:val="1"/>
      <w:marLeft w:val="0"/>
      <w:marRight w:val="0"/>
      <w:marTop w:val="0"/>
      <w:marBottom w:val="0"/>
      <w:divBdr>
        <w:top w:val="none" w:sz="0" w:space="0" w:color="auto"/>
        <w:left w:val="none" w:sz="0" w:space="0" w:color="auto"/>
        <w:bottom w:val="none" w:sz="0" w:space="0" w:color="auto"/>
        <w:right w:val="none" w:sz="0" w:space="0" w:color="auto"/>
      </w:divBdr>
    </w:div>
    <w:div w:id="1038626184">
      <w:bodyDiv w:val="1"/>
      <w:marLeft w:val="0"/>
      <w:marRight w:val="0"/>
      <w:marTop w:val="0"/>
      <w:marBottom w:val="0"/>
      <w:divBdr>
        <w:top w:val="none" w:sz="0" w:space="0" w:color="auto"/>
        <w:left w:val="none" w:sz="0" w:space="0" w:color="auto"/>
        <w:bottom w:val="none" w:sz="0" w:space="0" w:color="auto"/>
        <w:right w:val="none" w:sz="0" w:space="0" w:color="auto"/>
      </w:divBdr>
    </w:div>
    <w:div w:id="1067267343">
      <w:bodyDiv w:val="1"/>
      <w:marLeft w:val="0"/>
      <w:marRight w:val="0"/>
      <w:marTop w:val="0"/>
      <w:marBottom w:val="0"/>
      <w:divBdr>
        <w:top w:val="none" w:sz="0" w:space="0" w:color="auto"/>
        <w:left w:val="none" w:sz="0" w:space="0" w:color="auto"/>
        <w:bottom w:val="none" w:sz="0" w:space="0" w:color="auto"/>
        <w:right w:val="none" w:sz="0" w:space="0" w:color="auto"/>
      </w:divBdr>
    </w:div>
    <w:div w:id="1319846576">
      <w:bodyDiv w:val="1"/>
      <w:marLeft w:val="0"/>
      <w:marRight w:val="0"/>
      <w:marTop w:val="0"/>
      <w:marBottom w:val="0"/>
      <w:divBdr>
        <w:top w:val="none" w:sz="0" w:space="0" w:color="auto"/>
        <w:left w:val="none" w:sz="0" w:space="0" w:color="auto"/>
        <w:bottom w:val="none" w:sz="0" w:space="0" w:color="auto"/>
        <w:right w:val="none" w:sz="0" w:space="0" w:color="auto"/>
      </w:divBdr>
    </w:div>
    <w:div w:id="1333873342">
      <w:bodyDiv w:val="1"/>
      <w:marLeft w:val="0"/>
      <w:marRight w:val="0"/>
      <w:marTop w:val="0"/>
      <w:marBottom w:val="0"/>
      <w:divBdr>
        <w:top w:val="none" w:sz="0" w:space="0" w:color="auto"/>
        <w:left w:val="none" w:sz="0" w:space="0" w:color="auto"/>
        <w:bottom w:val="none" w:sz="0" w:space="0" w:color="auto"/>
        <w:right w:val="none" w:sz="0" w:space="0" w:color="auto"/>
      </w:divBdr>
    </w:div>
    <w:div w:id="1334801330">
      <w:bodyDiv w:val="1"/>
      <w:marLeft w:val="0"/>
      <w:marRight w:val="0"/>
      <w:marTop w:val="0"/>
      <w:marBottom w:val="0"/>
      <w:divBdr>
        <w:top w:val="none" w:sz="0" w:space="0" w:color="auto"/>
        <w:left w:val="none" w:sz="0" w:space="0" w:color="auto"/>
        <w:bottom w:val="none" w:sz="0" w:space="0" w:color="auto"/>
        <w:right w:val="none" w:sz="0" w:space="0" w:color="auto"/>
      </w:divBdr>
    </w:div>
    <w:div w:id="1380591953">
      <w:bodyDiv w:val="1"/>
      <w:marLeft w:val="0"/>
      <w:marRight w:val="0"/>
      <w:marTop w:val="0"/>
      <w:marBottom w:val="0"/>
      <w:divBdr>
        <w:top w:val="none" w:sz="0" w:space="0" w:color="auto"/>
        <w:left w:val="none" w:sz="0" w:space="0" w:color="auto"/>
        <w:bottom w:val="none" w:sz="0" w:space="0" w:color="auto"/>
        <w:right w:val="none" w:sz="0" w:space="0" w:color="auto"/>
      </w:divBdr>
    </w:div>
    <w:div w:id="1417245239">
      <w:bodyDiv w:val="1"/>
      <w:marLeft w:val="0"/>
      <w:marRight w:val="0"/>
      <w:marTop w:val="0"/>
      <w:marBottom w:val="0"/>
      <w:divBdr>
        <w:top w:val="none" w:sz="0" w:space="0" w:color="auto"/>
        <w:left w:val="none" w:sz="0" w:space="0" w:color="auto"/>
        <w:bottom w:val="none" w:sz="0" w:space="0" w:color="auto"/>
        <w:right w:val="none" w:sz="0" w:space="0" w:color="auto"/>
      </w:divBdr>
    </w:div>
    <w:div w:id="1421828960">
      <w:bodyDiv w:val="1"/>
      <w:marLeft w:val="0"/>
      <w:marRight w:val="0"/>
      <w:marTop w:val="0"/>
      <w:marBottom w:val="0"/>
      <w:divBdr>
        <w:top w:val="none" w:sz="0" w:space="0" w:color="auto"/>
        <w:left w:val="none" w:sz="0" w:space="0" w:color="auto"/>
        <w:bottom w:val="none" w:sz="0" w:space="0" w:color="auto"/>
        <w:right w:val="none" w:sz="0" w:space="0" w:color="auto"/>
      </w:divBdr>
    </w:div>
    <w:div w:id="1565603640">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32053936">
      <w:bodyDiv w:val="1"/>
      <w:marLeft w:val="0"/>
      <w:marRight w:val="0"/>
      <w:marTop w:val="0"/>
      <w:marBottom w:val="0"/>
      <w:divBdr>
        <w:top w:val="none" w:sz="0" w:space="0" w:color="auto"/>
        <w:left w:val="none" w:sz="0" w:space="0" w:color="auto"/>
        <w:bottom w:val="none" w:sz="0" w:space="0" w:color="auto"/>
        <w:right w:val="none" w:sz="0" w:space="0" w:color="auto"/>
      </w:divBdr>
    </w:div>
    <w:div w:id="1635715538">
      <w:bodyDiv w:val="1"/>
      <w:marLeft w:val="0"/>
      <w:marRight w:val="0"/>
      <w:marTop w:val="0"/>
      <w:marBottom w:val="0"/>
      <w:divBdr>
        <w:top w:val="none" w:sz="0" w:space="0" w:color="auto"/>
        <w:left w:val="none" w:sz="0" w:space="0" w:color="auto"/>
        <w:bottom w:val="none" w:sz="0" w:space="0" w:color="auto"/>
        <w:right w:val="none" w:sz="0" w:space="0" w:color="auto"/>
      </w:divBdr>
    </w:div>
    <w:div w:id="1666350411">
      <w:bodyDiv w:val="1"/>
      <w:marLeft w:val="0"/>
      <w:marRight w:val="0"/>
      <w:marTop w:val="0"/>
      <w:marBottom w:val="0"/>
      <w:divBdr>
        <w:top w:val="none" w:sz="0" w:space="0" w:color="auto"/>
        <w:left w:val="none" w:sz="0" w:space="0" w:color="auto"/>
        <w:bottom w:val="none" w:sz="0" w:space="0" w:color="auto"/>
        <w:right w:val="none" w:sz="0" w:space="0" w:color="auto"/>
      </w:divBdr>
    </w:div>
    <w:div w:id="1971550851">
      <w:bodyDiv w:val="1"/>
      <w:marLeft w:val="0"/>
      <w:marRight w:val="0"/>
      <w:marTop w:val="0"/>
      <w:marBottom w:val="0"/>
      <w:divBdr>
        <w:top w:val="none" w:sz="0" w:space="0" w:color="auto"/>
        <w:left w:val="none" w:sz="0" w:space="0" w:color="auto"/>
        <w:bottom w:val="none" w:sz="0" w:space="0" w:color="auto"/>
        <w:right w:val="none" w:sz="0" w:space="0" w:color="auto"/>
      </w:divBdr>
    </w:div>
    <w:div w:id="2032606251">
      <w:bodyDiv w:val="1"/>
      <w:marLeft w:val="0"/>
      <w:marRight w:val="0"/>
      <w:marTop w:val="0"/>
      <w:marBottom w:val="0"/>
      <w:divBdr>
        <w:top w:val="none" w:sz="0" w:space="0" w:color="auto"/>
        <w:left w:val="none" w:sz="0" w:space="0" w:color="auto"/>
        <w:bottom w:val="none" w:sz="0" w:space="0" w:color="auto"/>
        <w:right w:val="none" w:sz="0" w:space="0" w:color="auto"/>
      </w:divBdr>
    </w:div>
    <w:div w:id="2075464434">
      <w:bodyDiv w:val="1"/>
      <w:marLeft w:val="0"/>
      <w:marRight w:val="0"/>
      <w:marTop w:val="0"/>
      <w:marBottom w:val="0"/>
      <w:divBdr>
        <w:top w:val="none" w:sz="0" w:space="0" w:color="auto"/>
        <w:left w:val="none" w:sz="0" w:space="0" w:color="auto"/>
        <w:bottom w:val="none" w:sz="0" w:space="0" w:color="auto"/>
        <w:right w:val="none" w:sz="0" w:space="0" w:color="auto"/>
      </w:divBdr>
    </w:div>
    <w:div w:id="2093307292">
      <w:bodyDiv w:val="1"/>
      <w:marLeft w:val="0"/>
      <w:marRight w:val="0"/>
      <w:marTop w:val="0"/>
      <w:marBottom w:val="0"/>
      <w:divBdr>
        <w:top w:val="none" w:sz="0" w:space="0" w:color="auto"/>
        <w:left w:val="none" w:sz="0" w:space="0" w:color="auto"/>
        <w:bottom w:val="none" w:sz="0" w:space="0" w:color="auto"/>
        <w:right w:val="none" w:sz="0" w:space="0" w:color="auto"/>
      </w:divBdr>
    </w:div>
    <w:div w:id="213139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emf"/><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A43415-ADA0-1447-A22C-FC2479F03CE4}">
  <ds:schemaRefs>
    <ds:schemaRef ds:uri="http://schemas.openxmlformats.org/officeDocument/2006/bibliography"/>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4.xml><?xml version="1.0" encoding="utf-8"?>
<ds:datastoreItem xmlns:ds="http://schemas.openxmlformats.org/officeDocument/2006/customXml" ds:itemID="{12BB6C4B-211C-4FAF-9C05-46BF99CBB4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1718</TotalTime>
  <Pages>13</Pages>
  <Words>4533</Words>
  <Characters>25841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Cranfield University</Company>
  <LinksUpToDate>false</LinksUpToDate>
  <CharactersWithSpaces>30314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Ian Dodd (2313448)</cp:lastModifiedBy>
  <cp:revision>138</cp:revision>
  <dcterms:created xsi:type="dcterms:W3CDTF">2023-09-19T08:06:00Z</dcterms:created>
  <dcterms:modified xsi:type="dcterms:W3CDTF">2025-07-18T12:35:00Z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ZOTERO_PREF_1">
    <vt:lpwstr>&lt;data data-version="3" zotero-version="6.0.36"&gt;&lt;session id="ohaP7OhF"/&gt;&lt;style id="http://www.zotero.org/styles/ieee" locale="en-GB" hasBibliography="1" bibliographyStyleHasBeenSet="1"/&gt;&lt;prefs&gt;&lt;pref name="fieldType" value="Field"/&gt;&lt;pref name="automaticJour</vt:lpwstr>
  </property>
  <property fmtid="{D5CDD505-2E9C-101B-9397-08002B2CF9AE}" pid="15" name="ZOTERO_PREF_2">
    <vt:lpwstr>nalAbbreviations" value="true"/&gt;&lt;/prefs&gt;&lt;/data&gt;</vt:lpwstr>
  </property>
</Properties>
</file>