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19A08" w14:textId="77777777" w:rsidR="004F4E5B" w:rsidRPr="00E74DB9" w:rsidRDefault="004F4E5B" w:rsidP="004F4E5B">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noProof/>
        </w:rPr>
        <w:drawing>
          <wp:inline distT="0" distB="0" distL="0" distR="0" wp14:anchorId="707BEF58" wp14:editId="4A8CD178">
            <wp:extent cx="3429000" cy="1715770"/>
            <wp:effectExtent l="19050" t="0" r="19050" b="51308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81F021F" w14:textId="77777777" w:rsidR="004F4E5B" w:rsidRPr="00E74DB9" w:rsidRDefault="004F4E5B" w:rsidP="004F4E5B">
      <w:pPr>
        <w:spacing w:line="360" w:lineRule="auto"/>
        <w:jc w:val="both"/>
        <w:rPr>
          <w:rFonts w:ascii="Times New Roman" w:hAnsi="Times New Roman" w:cs="Times New Roman"/>
          <w:bCs/>
          <w:color w:val="000000" w:themeColor="text1"/>
          <w:sz w:val="24"/>
          <w:szCs w:val="24"/>
        </w:rPr>
      </w:pPr>
    </w:p>
    <w:p w14:paraId="48A11EE0" w14:textId="77777777" w:rsidR="004F4E5B" w:rsidRPr="00E74DB9" w:rsidRDefault="004F4E5B" w:rsidP="004F4E5B">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BA (Hons) Business Management</w:t>
      </w:r>
    </w:p>
    <w:p w14:paraId="682A5961" w14:textId="6A95366F" w:rsidR="004F4E5B" w:rsidRPr="00E74DB9" w:rsidRDefault="004F4E5B" w:rsidP="004F4E5B">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 xml:space="preserve">Module Title: </w:t>
      </w:r>
      <w:r w:rsidR="005F02E7" w:rsidRPr="005F02E7">
        <w:rPr>
          <w:rFonts w:ascii="Times New Roman" w:hAnsi="Times New Roman" w:cs="Times New Roman"/>
          <w:bCs/>
          <w:color w:val="000000" w:themeColor="text1"/>
          <w:sz w:val="24"/>
          <w:szCs w:val="24"/>
        </w:rPr>
        <w:t>Management Accounting for Managers</w:t>
      </w:r>
    </w:p>
    <w:p w14:paraId="3BB3CE8E" w14:textId="2B24BCDD" w:rsidR="004F4E5B" w:rsidRPr="00E74DB9" w:rsidRDefault="004F4E5B" w:rsidP="004F4E5B">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Module Code: LCBB501</w:t>
      </w:r>
      <w:r>
        <w:rPr>
          <w:rFonts w:ascii="Times New Roman" w:hAnsi="Times New Roman" w:cs="Times New Roman"/>
          <w:bCs/>
          <w:color w:val="000000" w:themeColor="text1"/>
          <w:sz w:val="24"/>
          <w:szCs w:val="24"/>
          <w:lang w:val="en-GB"/>
        </w:rPr>
        <w:t>0</w:t>
      </w:r>
    </w:p>
    <w:p w14:paraId="7C080223" w14:textId="7956270C" w:rsidR="004F4E5B" w:rsidRPr="004F4E5B" w:rsidRDefault="004F4E5B" w:rsidP="004F4E5B">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en-GB"/>
        </w:rPr>
        <w:t xml:space="preserve">Lecturer: </w:t>
      </w:r>
      <w:r w:rsidRPr="000C6663">
        <w:rPr>
          <w:rFonts w:ascii="Times New Roman" w:hAnsi="Times New Roman" w:cs="Times New Roman"/>
          <w:color w:val="000000" w:themeColor="text1"/>
          <w:sz w:val="24"/>
          <w:szCs w:val="24"/>
          <w:lang w:val="en-GB"/>
        </w:rPr>
        <w:t>Zainab Atta</w:t>
      </w:r>
    </w:p>
    <w:p w14:paraId="5A46EFC6" w14:textId="16E19DAE" w:rsidR="004F4E5B" w:rsidRPr="00E74DB9" w:rsidRDefault="004F4E5B" w:rsidP="004F4E5B">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Assignment</w:t>
      </w:r>
      <w:r w:rsidR="005B7A00">
        <w:rPr>
          <w:rFonts w:ascii="Times New Roman" w:hAnsi="Times New Roman" w:cs="Times New Roman"/>
          <w:bCs/>
          <w:color w:val="000000" w:themeColor="text1"/>
          <w:sz w:val="24"/>
          <w:szCs w:val="24"/>
          <w:lang w:val="en-GB"/>
        </w:rPr>
        <w:t xml:space="preserve"> Resit</w:t>
      </w:r>
      <w:r w:rsidRPr="00E74DB9">
        <w:rPr>
          <w:rFonts w:ascii="Times New Roman" w:hAnsi="Times New Roman" w:cs="Times New Roman"/>
          <w:bCs/>
          <w:color w:val="000000" w:themeColor="text1"/>
          <w:sz w:val="24"/>
          <w:szCs w:val="24"/>
          <w:lang w:val="en-GB"/>
        </w:rPr>
        <w:t xml:space="preserve"> : Individual Report</w:t>
      </w:r>
    </w:p>
    <w:p w14:paraId="6E6970E5" w14:textId="77777777" w:rsidR="004F4E5B" w:rsidRPr="00E74DB9" w:rsidRDefault="004F4E5B" w:rsidP="004F4E5B">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 xml:space="preserve">Student Name: </w:t>
      </w:r>
      <w:r w:rsidRPr="005B2ACF">
        <w:rPr>
          <w:rFonts w:ascii="Times New Roman" w:hAnsi="Times New Roman" w:cs="Times New Roman"/>
          <w:bCs/>
          <w:color w:val="000000" w:themeColor="text1"/>
          <w:sz w:val="24"/>
          <w:szCs w:val="24"/>
        </w:rPr>
        <w:t>Sofik Slavova</w:t>
      </w:r>
    </w:p>
    <w:p w14:paraId="5E1CE598" w14:textId="77777777" w:rsidR="004F4E5B" w:rsidRPr="00E74DB9" w:rsidRDefault="004F4E5B" w:rsidP="004F4E5B">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Student ID Number: 23260</w:t>
      </w:r>
      <w:r>
        <w:rPr>
          <w:rFonts w:ascii="Times New Roman" w:hAnsi="Times New Roman" w:cs="Times New Roman"/>
          <w:bCs/>
          <w:color w:val="000000" w:themeColor="text1"/>
          <w:sz w:val="24"/>
          <w:szCs w:val="24"/>
          <w:lang w:val="en-GB"/>
        </w:rPr>
        <w:t>6</w:t>
      </w:r>
      <w:r w:rsidRPr="00E74DB9">
        <w:rPr>
          <w:rFonts w:ascii="Times New Roman" w:hAnsi="Times New Roman" w:cs="Times New Roman"/>
          <w:bCs/>
          <w:color w:val="000000" w:themeColor="text1"/>
          <w:sz w:val="24"/>
          <w:szCs w:val="24"/>
        </w:rPr>
        <w:t>4</w:t>
      </w:r>
    </w:p>
    <w:p w14:paraId="15A0E159" w14:textId="1F53092B" w:rsidR="004F4E5B" w:rsidRPr="004F4E5B" w:rsidRDefault="004F4E5B" w:rsidP="004F4E5B">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 xml:space="preserve">Word Count: </w:t>
      </w:r>
      <w:r w:rsidRPr="00E74DB9">
        <w:rPr>
          <w:rFonts w:ascii="Times New Roman" w:hAnsi="Times New Roman" w:cs="Times New Roman"/>
          <w:bCs/>
          <w:color w:val="000000" w:themeColor="text1"/>
          <w:sz w:val="24"/>
          <w:szCs w:val="24"/>
          <w:lang w:val="en-GB"/>
        </w:rPr>
        <w:t>2</w:t>
      </w:r>
      <w:r w:rsidRPr="00E74DB9">
        <w:rPr>
          <w:rFonts w:ascii="Times New Roman" w:hAnsi="Times New Roman" w:cs="Times New Roman"/>
          <w:bCs/>
          <w:color w:val="000000" w:themeColor="text1"/>
          <w:sz w:val="24"/>
          <w:szCs w:val="24"/>
        </w:rPr>
        <w:t xml:space="preserve">,000 words </w:t>
      </w:r>
    </w:p>
    <w:p w14:paraId="3486232B" w14:textId="77777777" w:rsidR="004F4E5B" w:rsidRDefault="004F4E5B" w:rsidP="00B4331B">
      <w:pPr>
        <w:pStyle w:val="Title"/>
        <w:rPr>
          <w:rFonts w:ascii="Times New Roman" w:hAnsi="Times New Roman" w:cs="Times New Roman"/>
          <w:color w:val="000000" w:themeColor="text1"/>
          <w:lang w:val="en-GB"/>
        </w:rPr>
      </w:pPr>
    </w:p>
    <w:p w14:paraId="2CD363ED" w14:textId="77777777" w:rsidR="004F4E5B" w:rsidRDefault="004F4E5B" w:rsidP="00B4331B">
      <w:pPr>
        <w:pStyle w:val="Title"/>
        <w:rPr>
          <w:rFonts w:ascii="Times New Roman" w:hAnsi="Times New Roman" w:cs="Times New Roman"/>
          <w:color w:val="000000" w:themeColor="text1"/>
          <w:lang w:val="en-GB"/>
        </w:rPr>
      </w:pPr>
    </w:p>
    <w:p w14:paraId="44F73705" w14:textId="77777777" w:rsidR="004F4E5B" w:rsidRDefault="004F4E5B" w:rsidP="00B4331B">
      <w:pPr>
        <w:pStyle w:val="Title"/>
        <w:rPr>
          <w:rFonts w:ascii="Times New Roman" w:hAnsi="Times New Roman" w:cs="Times New Roman"/>
          <w:color w:val="000000" w:themeColor="text1"/>
          <w:lang w:val="en-GB"/>
        </w:rPr>
      </w:pPr>
    </w:p>
    <w:p w14:paraId="268D4230" w14:textId="77777777" w:rsidR="004F4E5B" w:rsidRDefault="004F4E5B" w:rsidP="00B4331B">
      <w:pPr>
        <w:pStyle w:val="Title"/>
        <w:rPr>
          <w:rFonts w:ascii="Times New Roman" w:hAnsi="Times New Roman" w:cs="Times New Roman"/>
          <w:color w:val="000000" w:themeColor="text1"/>
          <w:lang w:val="en-GB"/>
        </w:rPr>
      </w:pPr>
    </w:p>
    <w:p w14:paraId="351AA3B2" w14:textId="77777777" w:rsidR="004F4E5B" w:rsidRDefault="004F4E5B" w:rsidP="00B4331B">
      <w:pPr>
        <w:pStyle w:val="Title"/>
        <w:rPr>
          <w:rFonts w:ascii="Times New Roman" w:hAnsi="Times New Roman" w:cs="Times New Roman"/>
          <w:color w:val="000000" w:themeColor="text1"/>
          <w:lang w:val="en-GB"/>
        </w:rPr>
      </w:pPr>
    </w:p>
    <w:p w14:paraId="17823DB1" w14:textId="77777777" w:rsidR="004F4E5B" w:rsidRDefault="004F4E5B" w:rsidP="00B4331B">
      <w:pPr>
        <w:pStyle w:val="Title"/>
        <w:rPr>
          <w:rFonts w:ascii="Times New Roman" w:hAnsi="Times New Roman" w:cs="Times New Roman"/>
          <w:color w:val="000000" w:themeColor="text1"/>
          <w:lang w:val="en-GB"/>
        </w:rPr>
      </w:pPr>
    </w:p>
    <w:p w14:paraId="6BBDABDB" w14:textId="77777777" w:rsidR="004F4E5B" w:rsidRDefault="004F4E5B" w:rsidP="00B4331B">
      <w:pPr>
        <w:pStyle w:val="Title"/>
        <w:rPr>
          <w:rFonts w:ascii="Times New Roman" w:hAnsi="Times New Roman" w:cs="Times New Roman"/>
          <w:color w:val="000000" w:themeColor="text1"/>
          <w:lang w:val="en-GB"/>
        </w:rPr>
      </w:pPr>
    </w:p>
    <w:sdt>
      <w:sdtPr>
        <w:rPr>
          <w:rFonts w:asciiTheme="minorHAnsi" w:eastAsiaTheme="minorHAnsi" w:hAnsiTheme="minorHAnsi" w:cstheme="minorBidi"/>
          <w:color w:val="auto"/>
          <w:kern w:val="2"/>
          <w:sz w:val="22"/>
          <w:szCs w:val="22"/>
          <w:lang w:val="bg-BG"/>
          <w14:ligatures w14:val="standardContextual"/>
        </w:rPr>
        <w:id w:val="286778319"/>
        <w:docPartObj>
          <w:docPartGallery w:val="Table of Contents"/>
          <w:docPartUnique/>
        </w:docPartObj>
      </w:sdtPr>
      <w:sdtEndPr>
        <w:rPr>
          <w:b/>
          <w:bCs/>
          <w:noProof/>
        </w:rPr>
      </w:sdtEndPr>
      <w:sdtContent>
        <w:p w14:paraId="6C8CB427" w14:textId="1A5792A1" w:rsidR="004F4E5B" w:rsidRPr="004F4E5B" w:rsidRDefault="004F4E5B">
          <w:pPr>
            <w:pStyle w:val="TOCHeading"/>
            <w:rPr>
              <w:rFonts w:ascii="Times New Roman" w:hAnsi="Times New Roman" w:cs="Times New Roman"/>
              <w:color w:val="000000" w:themeColor="text1"/>
              <w:sz w:val="40"/>
              <w:szCs w:val="40"/>
            </w:rPr>
          </w:pPr>
          <w:r w:rsidRPr="004F4E5B">
            <w:rPr>
              <w:rFonts w:ascii="Times New Roman" w:hAnsi="Times New Roman" w:cs="Times New Roman"/>
              <w:color w:val="000000" w:themeColor="text1"/>
              <w:sz w:val="40"/>
              <w:szCs w:val="40"/>
            </w:rPr>
            <w:t>Table of Contents</w:t>
          </w:r>
        </w:p>
        <w:p w14:paraId="3F8A4D6F" w14:textId="33A63317" w:rsidR="004F4E5B" w:rsidRPr="004F4E5B" w:rsidRDefault="004F4E5B">
          <w:pPr>
            <w:pStyle w:val="TOC1"/>
            <w:tabs>
              <w:tab w:val="right" w:leader="dot" w:pos="9016"/>
            </w:tabs>
            <w:rPr>
              <w:rFonts w:ascii="Times New Roman" w:hAnsi="Times New Roman" w:cs="Times New Roman"/>
              <w:noProof/>
              <w:color w:val="000000" w:themeColor="text1"/>
              <w:sz w:val="28"/>
              <w:szCs w:val="28"/>
            </w:rPr>
          </w:pPr>
          <w:r w:rsidRPr="004F4E5B">
            <w:rPr>
              <w:rFonts w:ascii="Times New Roman" w:hAnsi="Times New Roman" w:cs="Times New Roman"/>
              <w:color w:val="000000" w:themeColor="text1"/>
              <w:sz w:val="28"/>
              <w:szCs w:val="28"/>
            </w:rPr>
            <w:fldChar w:fldCharType="begin"/>
          </w:r>
          <w:r w:rsidRPr="004F4E5B">
            <w:rPr>
              <w:rFonts w:ascii="Times New Roman" w:hAnsi="Times New Roman" w:cs="Times New Roman"/>
              <w:color w:val="000000" w:themeColor="text1"/>
              <w:sz w:val="28"/>
              <w:szCs w:val="28"/>
            </w:rPr>
            <w:instrText xml:space="preserve"> TOC \o "1-3" \h \z \u </w:instrText>
          </w:r>
          <w:r w:rsidRPr="004F4E5B">
            <w:rPr>
              <w:rFonts w:ascii="Times New Roman" w:hAnsi="Times New Roman" w:cs="Times New Roman"/>
              <w:color w:val="000000" w:themeColor="text1"/>
              <w:sz w:val="28"/>
              <w:szCs w:val="28"/>
            </w:rPr>
            <w:fldChar w:fldCharType="separate"/>
          </w:r>
          <w:hyperlink w:anchor="_Toc213871629" w:history="1">
            <w:r w:rsidRPr="004F4E5B">
              <w:rPr>
                <w:rStyle w:val="Hyperlink"/>
                <w:rFonts w:ascii="Times New Roman" w:hAnsi="Times New Roman" w:cs="Times New Roman"/>
                <w:noProof/>
                <w:color w:val="000000" w:themeColor="text1"/>
                <w:sz w:val="28"/>
                <w:szCs w:val="28"/>
              </w:rPr>
              <w:t>1. Introduction</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_Toc213871629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3</w:t>
            </w:r>
            <w:r w:rsidRPr="004F4E5B">
              <w:rPr>
                <w:rFonts w:ascii="Times New Roman" w:hAnsi="Times New Roman" w:cs="Times New Roman"/>
                <w:noProof/>
                <w:webHidden/>
                <w:color w:val="000000" w:themeColor="text1"/>
                <w:sz w:val="28"/>
                <w:szCs w:val="28"/>
              </w:rPr>
              <w:fldChar w:fldCharType="end"/>
            </w:r>
          </w:hyperlink>
        </w:p>
        <w:p w14:paraId="37C97131" w14:textId="25EC1F30"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0" w:history="1">
            <w:r w:rsidRPr="004F4E5B">
              <w:rPr>
                <w:rStyle w:val="Hyperlink"/>
                <w:rFonts w:ascii="Times New Roman" w:hAnsi="Times New Roman" w:cs="Times New Roman"/>
                <w:noProof/>
                <w:color w:val="000000" w:themeColor="text1"/>
                <w:sz w:val="28"/>
                <w:szCs w:val="28"/>
              </w:rPr>
              <w:t>2. Cost Analysis and Business Model</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_Toc213871630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4</w:t>
            </w:r>
            <w:r w:rsidRPr="004F4E5B">
              <w:rPr>
                <w:rFonts w:ascii="Times New Roman" w:hAnsi="Times New Roman" w:cs="Times New Roman"/>
                <w:noProof/>
                <w:webHidden/>
                <w:color w:val="000000" w:themeColor="text1"/>
                <w:sz w:val="28"/>
                <w:szCs w:val="28"/>
              </w:rPr>
              <w:fldChar w:fldCharType="end"/>
            </w:r>
          </w:hyperlink>
        </w:p>
        <w:p w14:paraId="460844C9" w14:textId="226EAC51"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1" w:history="1">
            <w:r w:rsidRPr="004F4E5B">
              <w:rPr>
                <w:rStyle w:val="Hyperlink"/>
                <w:rFonts w:ascii="Times New Roman" w:hAnsi="Times New Roman" w:cs="Times New Roman"/>
                <w:noProof/>
                <w:color w:val="000000" w:themeColor="text1"/>
                <w:sz w:val="28"/>
                <w:szCs w:val="28"/>
              </w:rPr>
              <w:t>3. Budgeting and Financial Planning</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_Toc213871631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5</w:t>
            </w:r>
            <w:r w:rsidRPr="004F4E5B">
              <w:rPr>
                <w:rFonts w:ascii="Times New Roman" w:hAnsi="Times New Roman" w:cs="Times New Roman"/>
                <w:noProof/>
                <w:webHidden/>
                <w:color w:val="000000" w:themeColor="text1"/>
                <w:sz w:val="28"/>
                <w:szCs w:val="28"/>
              </w:rPr>
              <w:fldChar w:fldCharType="end"/>
            </w:r>
          </w:hyperlink>
        </w:p>
        <w:p w14:paraId="4643A0A5" w14:textId="366CA77C"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2" w:history="1">
            <w:r w:rsidRPr="004F4E5B">
              <w:rPr>
                <w:rStyle w:val="Hyperlink"/>
                <w:rFonts w:ascii="Times New Roman" w:hAnsi="Times New Roman" w:cs="Times New Roman"/>
                <w:noProof/>
                <w:color w:val="000000" w:themeColor="text1"/>
                <w:sz w:val="28"/>
                <w:szCs w:val="28"/>
              </w:rPr>
              <w:t>4. Performance Measurement and Decision-Making</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_Toc213871632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6</w:t>
            </w:r>
            <w:r w:rsidRPr="004F4E5B">
              <w:rPr>
                <w:rFonts w:ascii="Times New Roman" w:hAnsi="Times New Roman" w:cs="Times New Roman"/>
                <w:noProof/>
                <w:webHidden/>
                <w:color w:val="000000" w:themeColor="text1"/>
                <w:sz w:val="28"/>
                <w:szCs w:val="28"/>
              </w:rPr>
              <w:fldChar w:fldCharType="end"/>
            </w:r>
          </w:hyperlink>
        </w:p>
        <w:p w14:paraId="2B76BAAD" w14:textId="2B3D2E80"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3" w:history="1">
            <w:r w:rsidRPr="004F4E5B">
              <w:rPr>
                <w:rStyle w:val="Hyperlink"/>
                <w:rFonts w:ascii="Times New Roman" w:hAnsi="Times New Roman" w:cs="Times New Roman"/>
                <w:noProof/>
                <w:color w:val="000000" w:themeColor="text1"/>
                <w:sz w:val="28"/>
                <w:szCs w:val="28"/>
              </w:rPr>
              <w:t>5. Sustainability and Ethical Considerations</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_Toc213871633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8</w:t>
            </w:r>
            <w:r w:rsidRPr="004F4E5B">
              <w:rPr>
                <w:rFonts w:ascii="Times New Roman" w:hAnsi="Times New Roman" w:cs="Times New Roman"/>
                <w:noProof/>
                <w:webHidden/>
                <w:color w:val="000000" w:themeColor="text1"/>
                <w:sz w:val="28"/>
                <w:szCs w:val="28"/>
              </w:rPr>
              <w:fldChar w:fldCharType="end"/>
            </w:r>
          </w:hyperlink>
        </w:p>
        <w:p w14:paraId="04E4456F" w14:textId="25A9FB44"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4" w:history="1">
            <w:r w:rsidRPr="004F4E5B">
              <w:rPr>
                <w:rStyle w:val="Hyperlink"/>
                <w:rFonts w:ascii="Times New Roman" w:hAnsi="Times New Roman" w:cs="Times New Roman"/>
                <w:noProof/>
                <w:color w:val="000000" w:themeColor="text1"/>
                <w:sz w:val="28"/>
                <w:szCs w:val="28"/>
              </w:rPr>
              <w:t>6. Conclusion and Recommendations</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_Toc213871634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9</w:t>
            </w:r>
            <w:r w:rsidRPr="004F4E5B">
              <w:rPr>
                <w:rFonts w:ascii="Times New Roman" w:hAnsi="Times New Roman" w:cs="Times New Roman"/>
                <w:noProof/>
                <w:webHidden/>
                <w:color w:val="000000" w:themeColor="text1"/>
                <w:sz w:val="28"/>
                <w:szCs w:val="28"/>
              </w:rPr>
              <w:fldChar w:fldCharType="end"/>
            </w:r>
          </w:hyperlink>
        </w:p>
        <w:p w14:paraId="44486AD9" w14:textId="304EE2DF" w:rsidR="004F4E5B" w:rsidRPr="004F4E5B" w:rsidRDefault="004F4E5B">
          <w:pPr>
            <w:pStyle w:val="TOC1"/>
            <w:tabs>
              <w:tab w:val="right" w:leader="dot" w:pos="9016"/>
            </w:tabs>
            <w:rPr>
              <w:rFonts w:ascii="Times New Roman" w:hAnsi="Times New Roman" w:cs="Times New Roman"/>
              <w:noProof/>
              <w:color w:val="000000" w:themeColor="text1"/>
              <w:sz w:val="28"/>
              <w:szCs w:val="28"/>
            </w:rPr>
          </w:pPr>
          <w:hyperlink w:anchor="_Toc213871635" w:history="1">
            <w:r w:rsidRPr="004F4E5B">
              <w:rPr>
                <w:rStyle w:val="Hyperlink"/>
                <w:rFonts w:ascii="Times New Roman" w:hAnsi="Times New Roman" w:cs="Times New Roman"/>
                <w:noProof/>
                <w:color w:val="000000" w:themeColor="text1"/>
                <w:sz w:val="28"/>
                <w:szCs w:val="28"/>
              </w:rPr>
              <w:t>References</w:t>
            </w:r>
            <w:r w:rsidRPr="004F4E5B">
              <w:rPr>
                <w:rFonts w:ascii="Times New Roman" w:hAnsi="Times New Roman" w:cs="Times New Roman"/>
                <w:noProof/>
                <w:webHidden/>
                <w:color w:val="000000" w:themeColor="text1"/>
                <w:sz w:val="28"/>
                <w:szCs w:val="28"/>
              </w:rPr>
              <w:tab/>
            </w:r>
            <w:r w:rsidRPr="004F4E5B">
              <w:rPr>
                <w:rFonts w:ascii="Times New Roman" w:hAnsi="Times New Roman" w:cs="Times New Roman"/>
                <w:noProof/>
                <w:webHidden/>
                <w:color w:val="000000" w:themeColor="text1"/>
                <w:sz w:val="28"/>
                <w:szCs w:val="28"/>
              </w:rPr>
              <w:fldChar w:fldCharType="begin"/>
            </w:r>
            <w:r w:rsidRPr="004F4E5B">
              <w:rPr>
                <w:rFonts w:ascii="Times New Roman" w:hAnsi="Times New Roman" w:cs="Times New Roman"/>
                <w:noProof/>
                <w:webHidden/>
                <w:color w:val="000000" w:themeColor="text1"/>
                <w:sz w:val="28"/>
                <w:szCs w:val="28"/>
              </w:rPr>
              <w:instrText xml:space="preserve"> PAGEREF _Toc213871635 \h </w:instrText>
            </w:r>
            <w:r w:rsidRPr="004F4E5B">
              <w:rPr>
                <w:rFonts w:ascii="Times New Roman" w:hAnsi="Times New Roman" w:cs="Times New Roman"/>
                <w:noProof/>
                <w:webHidden/>
                <w:color w:val="000000" w:themeColor="text1"/>
                <w:sz w:val="28"/>
                <w:szCs w:val="28"/>
              </w:rPr>
            </w:r>
            <w:r w:rsidRPr="004F4E5B">
              <w:rPr>
                <w:rFonts w:ascii="Times New Roman" w:hAnsi="Times New Roman" w:cs="Times New Roman"/>
                <w:noProof/>
                <w:webHidden/>
                <w:color w:val="000000" w:themeColor="text1"/>
                <w:sz w:val="28"/>
                <w:szCs w:val="28"/>
              </w:rPr>
              <w:fldChar w:fldCharType="separate"/>
            </w:r>
            <w:r>
              <w:rPr>
                <w:rFonts w:ascii="Times New Roman" w:hAnsi="Times New Roman" w:cs="Times New Roman"/>
                <w:noProof/>
                <w:webHidden/>
                <w:color w:val="000000" w:themeColor="text1"/>
                <w:sz w:val="28"/>
                <w:szCs w:val="28"/>
              </w:rPr>
              <w:t>10</w:t>
            </w:r>
            <w:r w:rsidRPr="004F4E5B">
              <w:rPr>
                <w:rFonts w:ascii="Times New Roman" w:hAnsi="Times New Roman" w:cs="Times New Roman"/>
                <w:noProof/>
                <w:webHidden/>
                <w:color w:val="000000" w:themeColor="text1"/>
                <w:sz w:val="28"/>
                <w:szCs w:val="28"/>
              </w:rPr>
              <w:fldChar w:fldCharType="end"/>
            </w:r>
          </w:hyperlink>
        </w:p>
        <w:p w14:paraId="6CE82D4F" w14:textId="6EF7251C" w:rsidR="004F4E5B" w:rsidRDefault="004F4E5B">
          <w:r w:rsidRPr="004F4E5B">
            <w:rPr>
              <w:rFonts w:ascii="Times New Roman" w:hAnsi="Times New Roman" w:cs="Times New Roman"/>
              <w:b/>
              <w:bCs/>
              <w:noProof/>
              <w:color w:val="000000" w:themeColor="text1"/>
              <w:sz w:val="28"/>
              <w:szCs w:val="28"/>
            </w:rPr>
            <w:fldChar w:fldCharType="end"/>
          </w:r>
        </w:p>
      </w:sdtContent>
    </w:sdt>
    <w:p w14:paraId="695964B6" w14:textId="77777777" w:rsidR="004F4E5B" w:rsidRDefault="004F4E5B" w:rsidP="004F4E5B">
      <w:pPr>
        <w:pStyle w:val="Title"/>
        <w:jc w:val="both"/>
        <w:rPr>
          <w:rFonts w:ascii="Times New Roman" w:hAnsi="Times New Roman" w:cs="Times New Roman"/>
          <w:color w:val="000000" w:themeColor="text1"/>
          <w:lang w:val="en-GB"/>
        </w:rPr>
      </w:pPr>
    </w:p>
    <w:p w14:paraId="43AC5E46" w14:textId="77777777" w:rsidR="004F4E5B" w:rsidRDefault="004F4E5B" w:rsidP="004F4E5B">
      <w:pPr>
        <w:pStyle w:val="Title"/>
        <w:jc w:val="center"/>
        <w:rPr>
          <w:rFonts w:ascii="Times New Roman" w:hAnsi="Times New Roman" w:cs="Times New Roman"/>
          <w:color w:val="000000" w:themeColor="text1"/>
          <w:lang w:val="en-GB"/>
        </w:rPr>
      </w:pPr>
    </w:p>
    <w:p w14:paraId="6EF294D7" w14:textId="77777777" w:rsidR="004F4E5B" w:rsidRDefault="004F4E5B" w:rsidP="004F4E5B">
      <w:pPr>
        <w:pStyle w:val="Title"/>
        <w:jc w:val="center"/>
        <w:rPr>
          <w:rFonts w:ascii="Times New Roman" w:hAnsi="Times New Roman" w:cs="Times New Roman"/>
          <w:color w:val="000000" w:themeColor="text1"/>
          <w:lang w:val="en-GB"/>
        </w:rPr>
      </w:pPr>
    </w:p>
    <w:p w14:paraId="4E121128" w14:textId="77777777" w:rsidR="004F4E5B" w:rsidRDefault="004F4E5B" w:rsidP="004F4E5B">
      <w:pPr>
        <w:pStyle w:val="Title"/>
        <w:jc w:val="center"/>
        <w:rPr>
          <w:rFonts w:ascii="Times New Roman" w:hAnsi="Times New Roman" w:cs="Times New Roman"/>
          <w:color w:val="000000" w:themeColor="text1"/>
          <w:lang w:val="en-GB"/>
        </w:rPr>
      </w:pPr>
    </w:p>
    <w:p w14:paraId="0EDC9DE5" w14:textId="77777777" w:rsidR="004F4E5B" w:rsidRDefault="004F4E5B" w:rsidP="004F4E5B">
      <w:pPr>
        <w:pStyle w:val="Title"/>
        <w:jc w:val="center"/>
        <w:rPr>
          <w:rFonts w:ascii="Times New Roman" w:hAnsi="Times New Roman" w:cs="Times New Roman"/>
          <w:color w:val="000000" w:themeColor="text1"/>
          <w:lang w:val="en-GB"/>
        </w:rPr>
      </w:pPr>
    </w:p>
    <w:p w14:paraId="2374B07C" w14:textId="77777777" w:rsidR="004F4E5B" w:rsidRDefault="004F4E5B" w:rsidP="004F4E5B">
      <w:pPr>
        <w:pStyle w:val="Title"/>
        <w:jc w:val="center"/>
        <w:rPr>
          <w:rFonts w:ascii="Times New Roman" w:hAnsi="Times New Roman" w:cs="Times New Roman"/>
          <w:color w:val="000000" w:themeColor="text1"/>
          <w:lang w:val="en-GB"/>
        </w:rPr>
      </w:pPr>
    </w:p>
    <w:p w14:paraId="6AD84F04" w14:textId="77777777" w:rsidR="004F4E5B" w:rsidRDefault="004F4E5B" w:rsidP="004F4E5B">
      <w:pPr>
        <w:pStyle w:val="Title"/>
        <w:jc w:val="center"/>
        <w:rPr>
          <w:rFonts w:ascii="Times New Roman" w:hAnsi="Times New Roman" w:cs="Times New Roman"/>
          <w:color w:val="000000" w:themeColor="text1"/>
          <w:lang w:val="en-GB"/>
        </w:rPr>
      </w:pPr>
    </w:p>
    <w:p w14:paraId="7912B080" w14:textId="77777777" w:rsidR="004F4E5B" w:rsidRDefault="004F4E5B" w:rsidP="004F4E5B">
      <w:pPr>
        <w:pStyle w:val="Title"/>
        <w:jc w:val="center"/>
        <w:rPr>
          <w:rFonts w:ascii="Times New Roman" w:hAnsi="Times New Roman" w:cs="Times New Roman"/>
          <w:color w:val="000000" w:themeColor="text1"/>
          <w:lang w:val="en-GB"/>
        </w:rPr>
      </w:pPr>
    </w:p>
    <w:p w14:paraId="6987C2DB" w14:textId="77777777" w:rsidR="004F4E5B" w:rsidRDefault="004F4E5B" w:rsidP="004F4E5B">
      <w:pPr>
        <w:pStyle w:val="Title"/>
        <w:jc w:val="center"/>
        <w:rPr>
          <w:rFonts w:ascii="Times New Roman" w:hAnsi="Times New Roman" w:cs="Times New Roman"/>
          <w:color w:val="000000" w:themeColor="text1"/>
          <w:lang w:val="en-GB"/>
        </w:rPr>
      </w:pPr>
    </w:p>
    <w:p w14:paraId="185C0F68" w14:textId="77777777" w:rsidR="004F4E5B" w:rsidRDefault="004F4E5B" w:rsidP="004F4E5B">
      <w:pPr>
        <w:pStyle w:val="Title"/>
        <w:jc w:val="center"/>
        <w:rPr>
          <w:rFonts w:ascii="Times New Roman" w:hAnsi="Times New Roman" w:cs="Times New Roman"/>
          <w:color w:val="000000" w:themeColor="text1"/>
          <w:lang w:val="en-GB"/>
        </w:rPr>
      </w:pPr>
    </w:p>
    <w:p w14:paraId="723742FF" w14:textId="77777777" w:rsidR="004F4E5B" w:rsidRDefault="004F4E5B" w:rsidP="004F4E5B">
      <w:pPr>
        <w:pStyle w:val="Title"/>
        <w:jc w:val="center"/>
        <w:rPr>
          <w:rFonts w:ascii="Times New Roman" w:hAnsi="Times New Roman" w:cs="Times New Roman"/>
          <w:color w:val="000000" w:themeColor="text1"/>
          <w:lang w:val="en-GB"/>
        </w:rPr>
      </w:pPr>
    </w:p>
    <w:p w14:paraId="4B33B918" w14:textId="77777777" w:rsidR="004F4E5B" w:rsidRDefault="004F4E5B" w:rsidP="004F4E5B">
      <w:pPr>
        <w:pStyle w:val="Title"/>
        <w:jc w:val="center"/>
        <w:rPr>
          <w:rFonts w:ascii="Times New Roman" w:hAnsi="Times New Roman" w:cs="Times New Roman"/>
          <w:color w:val="000000" w:themeColor="text1"/>
          <w:lang w:val="en-GB"/>
        </w:rPr>
      </w:pPr>
    </w:p>
    <w:p w14:paraId="249A7AB7" w14:textId="77777777" w:rsidR="004F4E5B" w:rsidRDefault="004F4E5B" w:rsidP="004F4E5B">
      <w:pPr>
        <w:pStyle w:val="Title"/>
        <w:jc w:val="center"/>
        <w:rPr>
          <w:rFonts w:ascii="Times New Roman" w:hAnsi="Times New Roman" w:cs="Times New Roman"/>
          <w:color w:val="000000" w:themeColor="text1"/>
          <w:lang w:val="en-GB"/>
        </w:rPr>
      </w:pPr>
    </w:p>
    <w:p w14:paraId="412FC255" w14:textId="77777777" w:rsidR="004F4E5B" w:rsidRDefault="004F4E5B" w:rsidP="004F4E5B">
      <w:pPr>
        <w:pStyle w:val="Title"/>
        <w:jc w:val="center"/>
        <w:rPr>
          <w:rFonts w:ascii="Times New Roman" w:hAnsi="Times New Roman" w:cs="Times New Roman"/>
          <w:color w:val="000000" w:themeColor="text1"/>
          <w:lang w:val="en-GB"/>
        </w:rPr>
      </w:pPr>
    </w:p>
    <w:p w14:paraId="11339C57" w14:textId="77777777" w:rsidR="004F4E5B" w:rsidRDefault="004F4E5B" w:rsidP="004F4E5B">
      <w:pPr>
        <w:pStyle w:val="Title"/>
        <w:rPr>
          <w:rFonts w:ascii="Times New Roman" w:hAnsi="Times New Roman" w:cs="Times New Roman"/>
          <w:color w:val="000000" w:themeColor="text1"/>
          <w:lang w:val="en-GB"/>
        </w:rPr>
      </w:pPr>
    </w:p>
    <w:p w14:paraId="204CDD53" w14:textId="74B9A674" w:rsidR="00B4331B" w:rsidRPr="004F4E5B" w:rsidRDefault="00B4331B" w:rsidP="004F4E5B">
      <w:pPr>
        <w:pStyle w:val="Title"/>
        <w:jc w:val="center"/>
        <w:rPr>
          <w:rFonts w:ascii="Times New Roman" w:hAnsi="Times New Roman" w:cs="Times New Roman"/>
          <w:color w:val="000000" w:themeColor="text1"/>
          <w:lang w:val="en-GB"/>
        </w:rPr>
      </w:pPr>
      <w:r w:rsidRPr="004F4E5B">
        <w:rPr>
          <w:rFonts w:ascii="Times New Roman" w:hAnsi="Times New Roman" w:cs="Times New Roman"/>
          <w:color w:val="000000" w:themeColor="text1"/>
        </w:rPr>
        <w:lastRenderedPageBreak/>
        <w:t>Integrating Innovation and Financial Strategy: The Role of Management Accounting in L’Oréal’s Global Performance</w:t>
      </w:r>
    </w:p>
    <w:p w14:paraId="3087854B" w14:textId="77777777" w:rsidR="00B4331B" w:rsidRPr="004F4E5B" w:rsidRDefault="00B4331B" w:rsidP="00B4331B">
      <w:pPr>
        <w:spacing w:line="360" w:lineRule="auto"/>
        <w:jc w:val="both"/>
        <w:rPr>
          <w:rFonts w:ascii="Times New Roman" w:hAnsi="Times New Roman" w:cs="Times New Roman"/>
          <w:color w:val="000000" w:themeColor="text1"/>
          <w:sz w:val="24"/>
          <w:szCs w:val="24"/>
          <w:lang w:val="en-GB"/>
        </w:rPr>
      </w:pPr>
    </w:p>
    <w:p w14:paraId="183584BA" w14:textId="77777777" w:rsidR="00B4331B" w:rsidRPr="004F4E5B" w:rsidRDefault="00B4331B" w:rsidP="00B4331B">
      <w:pPr>
        <w:spacing w:line="360" w:lineRule="auto"/>
        <w:jc w:val="both"/>
        <w:rPr>
          <w:rFonts w:ascii="Times New Roman" w:hAnsi="Times New Roman" w:cs="Times New Roman"/>
          <w:color w:val="000000" w:themeColor="text1"/>
          <w:sz w:val="24"/>
          <w:szCs w:val="24"/>
          <w:lang w:val="en-GB"/>
        </w:rPr>
      </w:pPr>
    </w:p>
    <w:p w14:paraId="658E9A85" w14:textId="78F1DAB7" w:rsidR="005B7A00" w:rsidRDefault="00B4331B" w:rsidP="005B7A00">
      <w:pPr>
        <w:pStyle w:val="Heading1"/>
        <w:numPr>
          <w:ilvl w:val="0"/>
          <w:numId w:val="4"/>
        </w:numPr>
        <w:rPr>
          <w:rFonts w:ascii="Times New Roman" w:hAnsi="Times New Roman" w:cs="Times New Roman"/>
          <w:i/>
          <w:iCs/>
          <w:color w:val="000000" w:themeColor="text1"/>
          <w:sz w:val="32"/>
          <w:szCs w:val="32"/>
          <w:lang w:val="en-GB"/>
        </w:rPr>
      </w:pPr>
      <w:bookmarkStart w:id="0" w:name="_Toc213871629"/>
      <w:r w:rsidRPr="005B7A00">
        <w:rPr>
          <w:rFonts w:ascii="Times New Roman" w:hAnsi="Times New Roman" w:cs="Times New Roman"/>
          <w:i/>
          <w:iCs/>
          <w:color w:val="000000" w:themeColor="text1"/>
          <w:sz w:val="32"/>
          <w:szCs w:val="32"/>
        </w:rPr>
        <w:t>Introduction</w:t>
      </w:r>
      <w:bookmarkEnd w:id="0"/>
      <w:r w:rsidRPr="005B7A00">
        <w:rPr>
          <w:rFonts w:ascii="Times New Roman" w:hAnsi="Times New Roman" w:cs="Times New Roman"/>
          <w:i/>
          <w:iCs/>
          <w:color w:val="000000" w:themeColor="text1"/>
          <w:sz w:val="32"/>
          <w:szCs w:val="32"/>
        </w:rPr>
        <w:t xml:space="preserve"> </w:t>
      </w:r>
    </w:p>
    <w:p w14:paraId="1F6A42AE" w14:textId="77777777" w:rsidR="005B7A00" w:rsidRPr="005B7A00" w:rsidRDefault="005B7A00" w:rsidP="005B7A00">
      <w:pPr>
        <w:rPr>
          <w:lang w:val="en-GB"/>
        </w:rPr>
      </w:pPr>
    </w:p>
    <w:p w14:paraId="324180DA"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L’Oréal S.A., founded in 1909 by Eugène Schueller, is the world’s largest cosmetics and beauty company, operating in over 150 countries with more than 88,000 employees. Headquartered in Clichy, France, the organisation has evolved from a small pharmaceutical hair-dye venture into a global leader in innovation-driven beauty. L’Oréal’s extensive portfolio comprises iconic brands such as Lancôme, Garnier, Maybelline, and L’Oréal Paris, representing a broad product range that includes skincare, haircare, makeup, and fragrances (L’Oréal, 2024). The company’s enduring mission—</w:t>
      </w:r>
      <w:r w:rsidRPr="00B4331B">
        <w:rPr>
          <w:rFonts w:ascii="Times New Roman" w:hAnsi="Times New Roman" w:cs="Times New Roman"/>
          <w:i/>
          <w:iCs/>
          <w:color w:val="000000" w:themeColor="text1"/>
          <w:sz w:val="24"/>
          <w:szCs w:val="24"/>
        </w:rPr>
        <w:t>“to create beauty that moves the world”</w:t>
      </w:r>
      <w:r w:rsidRPr="00B4331B">
        <w:rPr>
          <w:rFonts w:ascii="Times New Roman" w:hAnsi="Times New Roman" w:cs="Times New Roman"/>
          <w:color w:val="000000" w:themeColor="text1"/>
          <w:sz w:val="24"/>
          <w:szCs w:val="24"/>
        </w:rPr>
        <w:t>—reflects a strategic emphasis on research, sustainability, and inclusivity. Its success is underpinned by a commitment to science-led innovation, digital transformation, and ethical corporate practices that have enabled it to adapt to shifting global market dynamics and consumer preferences.</w:t>
      </w:r>
    </w:p>
    <w:p w14:paraId="15F9093C"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In an increasingly competitive and uncertain global economy, management accounting has become essential for aligning strategic goals with financial performance. It provides managers with analytical tools to plan, control, and evaluate business activities, thereby balancing profitability with innovation and long-term sustainability (Horngren, Datar &amp; Rajan, 2015). Tools such as cost-volume-profit (CVP) analysis, activity-based costing (ABC), budgeting, variance analysis, and performance measurement systems like the Balanced Scorecard are integral to effective decision-making. These techniques enable organisations to forecast outcomes, allocate resources efficiently, and assess performance in a dynamic market context.</w:t>
      </w:r>
    </w:p>
    <w:p w14:paraId="0DE3F4B4"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This report critically examines how L’Oréal integrates management accounting tools and techniques into its decision-making processes. It explores cost structures and business models, budgeting and financial planning, performance evaluation, and the integration of sustainability </w:t>
      </w:r>
      <w:r w:rsidRPr="00B4331B">
        <w:rPr>
          <w:rFonts w:ascii="Times New Roman" w:hAnsi="Times New Roman" w:cs="Times New Roman"/>
          <w:color w:val="000000" w:themeColor="text1"/>
          <w:sz w:val="24"/>
          <w:szCs w:val="24"/>
        </w:rPr>
        <w:lastRenderedPageBreak/>
        <w:t>and ethics within management accounting. The analysis highlights how data-driven financial insights contribute to L’Oréal’s ongoing leadership in innovation, sustainability, and global competitiveness.</w:t>
      </w:r>
    </w:p>
    <w:p w14:paraId="56D1B6D7" w14:textId="5831A1A5" w:rsidR="00B4331B" w:rsidRPr="00B4331B" w:rsidRDefault="00B4331B" w:rsidP="00B4331B">
      <w:pPr>
        <w:spacing w:line="360" w:lineRule="auto"/>
        <w:jc w:val="both"/>
        <w:rPr>
          <w:rFonts w:ascii="Times New Roman" w:hAnsi="Times New Roman" w:cs="Times New Roman"/>
          <w:color w:val="000000" w:themeColor="text1"/>
          <w:sz w:val="24"/>
          <w:szCs w:val="24"/>
        </w:rPr>
      </w:pPr>
    </w:p>
    <w:p w14:paraId="46603A0F" w14:textId="03131B20" w:rsidR="00B4331B" w:rsidRDefault="00B4331B" w:rsidP="00B4331B">
      <w:pPr>
        <w:pStyle w:val="Heading1"/>
        <w:rPr>
          <w:rFonts w:ascii="Times New Roman" w:hAnsi="Times New Roman" w:cs="Times New Roman"/>
          <w:i/>
          <w:iCs/>
          <w:color w:val="000000" w:themeColor="text1"/>
          <w:sz w:val="32"/>
          <w:szCs w:val="32"/>
          <w:lang w:val="en-GB"/>
        </w:rPr>
      </w:pPr>
      <w:r w:rsidRPr="005B7A00">
        <w:rPr>
          <w:rFonts w:ascii="Times New Roman" w:hAnsi="Times New Roman" w:cs="Times New Roman"/>
          <w:i/>
          <w:iCs/>
          <w:color w:val="000000" w:themeColor="text1"/>
          <w:sz w:val="32"/>
          <w:szCs w:val="32"/>
        </w:rPr>
        <w:t xml:space="preserve">2. </w:t>
      </w:r>
      <w:bookmarkStart w:id="1" w:name="_Toc213871630"/>
      <w:r w:rsidRPr="005B7A00">
        <w:rPr>
          <w:rFonts w:ascii="Times New Roman" w:hAnsi="Times New Roman" w:cs="Times New Roman"/>
          <w:i/>
          <w:iCs/>
          <w:color w:val="000000" w:themeColor="text1"/>
          <w:sz w:val="32"/>
          <w:szCs w:val="32"/>
        </w:rPr>
        <w:t>Cost Analysis and Business Model</w:t>
      </w:r>
      <w:bookmarkEnd w:id="1"/>
      <w:r w:rsidRPr="005B7A00">
        <w:rPr>
          <w:rFonts w:ascii="Times New Roman" w:hAnsi="Times New Roman" w:cs="Times New Roman"/>
          <w:i/>
          <w:iCs/>
          <w:color w:val="000000" w:themeColor="text1"/>
          <w:sz w:val="32"/>
          <w:szCs w:val="32"/>
        </w:rPr>
        <w:t xml:space="preserve"> </w:t>
      </w:r>
    </w:p>
    <w:p w14:paraId="4E4E2382" w14:textId="77777777" w:rsidR="005B7A00" w:rsidRPr="005B7A00" w:rsidRDefault="005B7A00" w:rsidP="005B7A00">
      <w:pPr>
        <w:rPr>
          <w:lang w:val="en-GB"/>
        </w:rPr>
      </w:pPr>
    </w:p>
    <w:p w14:paraId="74A03720"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L’Oréal’s business model combines scientific innovation, marketing excellence, and global reach. Its revenue model is diversified across four main divisions: Consumer Products, Professional Products, L’Oréal Luxe, and Active Cosmetics (L’Oréal Annual Report, 2024). In 2024, the company achieved €41.2 billion in sales, with significant growth in Asia and North America. Management accounting enables L’Oréal to analyse costs across divisions and optimise resource use for profitability.</w:t>
      </w:r>
    </w:p>
    <w:p w14:paraId="416FB31F"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L’Oréal’s cost structure includes both fixed and variable costs. Fixed costs—such as manufacturing plants, R&amp;D facilities, and global marketing infrastructure—are essential for innovation and branding. Variable costs include raw materials (e.g., natural oils, packaging), logistics, and promotional expenses. Management accountants use cost-volume-profit (CVP) analysis to evaluate the impact of cost fluctuations on profit margins across different product lines.</w:t>
      </w:r>
    </w:p>
    <w:p w14:paraId="753786B2"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To improve cost visibility, L’Oréal employs Activity-Based Costing (ABC). This system allocates overheads to activities such as production, packaging, or marketing, allowing more precise pricing and profitability analysis per product or region (Drury, 2021). For example, ABC helps determine whether high-end products like Lancôme generate adequate returns compared to mass-market items such as Garnier.</w:t>
      </w:r>
    </w:p>
    <w:p w14:paraId="6E376414"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The company’s R&amp;D expenditure, amounting to €1.3 billion in 2024 (L’Oréal, 2024), is managed through cost control systems that monitor research efficiency and innovation outcomes. These investments reflect L’Oréal’s commitment to scientific excellence, product safety, and sustainability.</w:t>
      </w:r>
    </w:p>
    <w:p w14:paraId="5E075890"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Additionally, management accounting supports strategic cost management—a concept linking cost analysis with long-term strategy. By analysing the value chain, L’Oréal identifies cost drivers and implements lean operations in production and logistics. For instance, digital supply </w:t>
      </w:r>
      <w:r w:rsidRPr="00B4331B">
        <w:rPr>
          <w:rFonts w:ascii="Times New Roman" w:hAnsi="Times New Roman" w:cs="Times New Roman"/>
          <w:color w:val="000000" w:themeColor="text1"/>
          <w:sz w:val="24"/>
          <w:szCs w:val="24"/>
        </w:rPr>
        <w:lastRenderedPageBreak/>
        <w:t>chain systems allow real-time monitoring of material usage, reducing waste and improving environmental performance (CIMA, 2019).</w:t>
      </w:r>
    </w:p>
    <w:p w14:paraId="5ADD6B8C"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In essence, cost management at L’Oréal is not only a financial tool but also a driver of innovation and sustainability. Through ABC, CVP, and variance analysis, L’Oréal’s managers align cost efficiency with brand value creation, ensuring sustainable profitability in a competitive global market.</w:t>
      </w:r>
    </w:p>
    <w:p w14:paraId="7B73AE86" w14:textId="5203C37B" w:rsidR="00B4331B" w:rsidRPr="00B4331B" w:rsidRDefault="00B4331B" w:rsidP="00B4331B">
      <w:pPr>
        <w:spacing w:line="360" w:lineRule="auto"/>
        <w:jc w:val="both"/>
        <w:rPr>
          <w:rFonts w:ascii="Times New Roman" w:hAnsi="Times New Roman" w:cs="Times New Roman"/>
          <w:color w:val="000000" w:themeColor="text1"/>
          <w:sz w:val="24"/>
          <w:szCs w:val="24"/>
        </w:rPr>
      </w:pPr>
    </w:p>
    <w:p w14:paraId="1FFB54A0" w14:textId="756F2E95" w:rsidR="00B4331B" w:rsidRPr="005B7A00" w:rsidRDefault="00B4331B" w:rsidP="00B4331B">
      <w:pPr>
        <w:pStyle w:val="Heading1"/>
        <w:rPr>
          <w:rFonts w:ascii="Times New Roman" w:hAnsi="Times New Roman" w:cs="Times New Roman"/>
          <w:i/>
          <w:iCs/>
          <w:color w:val="000000" w:themeColor="text1"/>
          <w:sz w:val="32"/>
          <w:szCs w:val="32"/>
          <w:lang w:val="en-GB"/>
        </w:rPr>
      </w:pPr>
      <w:bookmarkStart w:id="2" w:name="_Toc213871631"/>
      <w:r w:rsidRPr="005B7A00">
        <w:rPr>
          <w:rFonts w:ascii="Times New Roman" w:hAnsi="Times New Roman" w:cs="Times New Roman"/>
          <w:i/>
          <w:iCs/>
          <w:color w:val="000000" w:themeColor="text1"/>
          <w:sz w:val="32"/>
          <w:szCs w:val="32"/>
        </w:rPr>
        <w:t>3. Budgeting and Financial Planning</w:t>
      </w:r>
      <w:bookmarkEnd w:id="2"/>
      <w:r w:rsidRPr="005B7A00">
        <w:rPr>
          <w:rFonts w:ascii="Times New Roman" w:hAnsi="Times New Roman" w:cs="Times New Roman"/>
          <w:i/>
          <w:iCs/>
          <w:color w:val="000000" w:themeColor="text1"/>
          <w:sz w:val="32"/>
          <w:szCs w:val="32"/>
        </w:rPr>
        <w:t xml:space="preserve"> </w:t>
      </w:r>
    </w:p>
    <w:p w14:paraId="21FB3C98" w14:textId="77777777" w:rsidR="005B7A00" w:rsidRPr="005B7A00" w:rsidRDefault="005B7A00" w:rsidP="005B7A00">
      <w:pPr>
        <w:rPr>
          <w:lang w:val="en-GB"/>
        </w:rPr>
      </w:pPr>
    </w:p>
    <w:p w14:paraId="5A503A31"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Budgeting at L’Oréal functions not only as a financial control mechanism but also as a strategic planning tool that aligns operational objectives with long-term corporate goals. The company employs a rolling forecast system rather than relying solely on rigid annual budgets, enabling a more flexible response to rapid changes in market conditions. This approach reflects the </w:t>
      </w:r>
      <w:r w:rsidRPr="00B4331B">
        <w:rPr>
          <w:rFonts w:ascii="Times New Roman" w:hAnsi="Times New Roman" w:cs="Times New Roman"/>
          <w:i/>
          <w:iCs/>
          <w:color w:val="000000" w:themeColor="text1"/>
          <w:sz w:val="24"/>
          <w:szCs w:val="24"/>
        </w:rPr>
        <w:t>“Beyond Budgeting”</w:t>
      </w:r>
      <w:r w:rsidRPr="00B4331B">
        <w:rPr>
          <w:rFonts w:ascii="Times New Roman" w:hAnsi="Times New Roman" w:cs="Times New Roman"/>
          <w:color w:val="000000" w:themeColor="text1"/>
          <w:sz w:val="24"/>
          <w:szCs w:val="24"/>
        </w:rPr>
        <w:t xml:space="preserve"> philosophy proposed by Hope and Fraser (2003), which promotes decentralised decision-making, agility, and empowerment of local managers. Such flexibility is particularly valuable for L’Oréal, given its global footprint across more than 150 countries and diverse product portfolio.</w:t>
      </w:r>
    </w:p>
    <w:p w14:paraId="52D54942"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Each division—including R&amp;D, marketing, logistics, and administration—prepares its own operating budget based on sales projections and strategic priorities. These divisional budgets are consolidated by the global finance department to form a comprehensive master budget, which serves as the foundation for capital allocation, performance targets, and risk evaluation. Continuous variance analysis allows management to compare actual results with budgeted expectations, identify inefficiencies, and implement corrective measures promptly.</w:t>
      </w:r>
    </w:p>
    <w:p w14:paraId="5B68528D"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A critical element of L’Oréal’s financial planning process is scenario and sensitivity analysis, where management accountants model potential changes in economic or operational conditions. For example, fluctuations in raw material prices, foreign exchange rates, or consumer demand are assessed to determine their possible impact on profit margins. In FY2024, inflationary pressures and global supply chain disruptions caused a 5% rise in operating costs (Google Finance, 2025). In response, L’Oréal’s management implemented targeted cost rationalisation strategies—streamlining packaging design, optimising logistics </w:t>
      </w:r>
      <w:r w:rsidRPr="00B4331B">
        <w:rPr>
          <w:rFonts w:ascii="Times New Roman" w:hAnsi="Times New Roman" w:cs="Times New Roman"/>
          <w:color w:val="000000" w:themeColor="text1"/>
          <w:sz w:val="24"/>
          <w:szCs w:val="24"/>
        </w:rPr>
        <w:lastRenderedPageBreak/>
        <w:t>routes, and integrating sustainability objectives by reducing plastic consumption and improving energy efficiency in manufacturing.</w:t>
      </w:r>
    </w:p>
    <w:p w14:paraId="4C33C270"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Internally, budgeting also promotes cross-functional collaboration between departments. Finance, marketing, and operations teams work closely to determine optimal spending levels for advertising, promotions, and product innovation. Research and Development (R&amp;D) funding is prioritised based on projected innovation returns and strategic alignment with consumer trends, such as the demand for vegan and sustainable products. This collaborative budgeting approach ensures that financial decisions support both short-term performance and long-term innovation.</w:t>
      </w:r>
    </w:p>
    <w:p w14:paraId="78B72D02"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Externally, L’Oréal’s budgeting process is shaped by a range of macroeconomic and institutional factors, including regulatory frameworks, taxation, exchange rate volatility, and evolving Environmental, Social, and Governance (ESG) standards. The inclusion of ESG indicators in the budgeting framework demonstrates the company’s commitment to sustainable finance and ethical accountability. For instance, part of the capital budget is dedicated to renewable energy projects, sustainable packaging, and social impact programmes that align with the </w:t>
      </w:r>
      <w:r w:rsidRPr="00B4331B">
        <w:rPr>
          <w:rFonts w:ascii="Times New Roman" w:hAnsi="Times New Roman" w:cs="Times New Roman"/>
          <w:i/>
          <w:iCs/>
          <w:color w:val="000000" w:themeColor="text1"/>
          <w:sz w:val="24"/>
          <w:szCs w:val="24"/>
        </w:rPr>
        <w:t>L’Oréal for the Future</w:t>
      </w:r>
      <w:r w:rsidRPr="00B4331B">
        <w:rPr>
          <w:rFonts w:ascii="Times New Roman" w:hAnsi="Times New Roman" w:cs="Times New Roman"/>
          <w:color w:val="000000" w:themeColor="text1"/>
          <w:sz w:val="24"/>
          <w:szCs w:val="24"/>
        </w:rPr>
        <w:t xml:space="preserve"> initiative (L’Oréal, 2024).</w:t>
      </w:r>
    </w:p>
    <w:p w14:paraId="26469C44"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Ultimately, budgeting at L’Oréal goes beyond conventional cost control—it acts as a dynamic, data-driven process that integrates financial planning with sustainability, innovation, and global competitiveness. Through advanced management accounting tools, L’Oréal’s budgeting system enhances forecasting accuracy, risk management, and strategic agility—ensuring continued profitability and leadership in the global beauty industry.</w:t>
      </w:r>
    </w:p>
    <w:p w14:paraId="41B3A01A" w14:textId="2C17DF87" w:rsidR="00B4331B" w:rsidRDefault="00B4331B" w:rsidP="00B4331B">
      <w:pPr>
        <w:spacing w:line="360" w:lineRule="auto"/>
        <w:jc w:val="both"/>
        <w:rPr>
          <w:rFonts w:ascii="Times New Roman" w:hAnsi="Times New Roman" w:cs="Times New Roman"/>
          <w:color w:val="000000" w:themeColor="text1"/>
          <w:sz w:val="24"/>
          <w:szCs w:val="24"/>
          <w:lang w:val="en-GB"/>
        </w:rPr>
      </w:pPr>
    </w:p>
    <w:p w14:paraId="1FE03010"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091B7DE9"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39D09865"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73C4CBB7"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7B6FFD43"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5DE7D849" w14:textId="77777777" w:rsidR="005B7A00" w:rsidRPr="005B7A00" w:rsidRDefault="005B7A00" w:rsidP="00B4331B">
      <w:pPr>
        <w:spacing w:line="360" w:lineRule="auto"/>
        <w:jc w:val="both"/>
        <w:rPr>
          <w:rFonts w:ascii="Times New Roman" w:hAnsi="Times New Roman" w:cs="Times New Roman"/>
          <w:color w:val="000000" w:themeColor="text1"/>
          <w:sz w:val="24"/>
          <w:szCs w:val="24"/>
          <w:lang w:val="en-GB"/>
        </w:rPr>
      </w:pPr>
    </w:p>
    <w:p w14:paraId="2311EB33" w14:textId="79D7A0F5" w:rsidR="00B4331B" w:rsidRDefault="00B4331B" w:rsidP="004F4E5B">
      <w:pPr>
        <w:pStyle w:val="Heading1"/>
        <w:rPr>
          <w:rFonts w:ascii="Times New Roman" w:hAnsi="Times New Roman" w:cs="Times New Roman"/>
          <w:i/>
          <w:iCs/>
          <w:color w:val="000000" w:themeColor="text1"/>
          <w:sz w:val="32"/>
          <w:szCs w:val="32"/>
          <w:lang w:val="en-GB"/>
        </w:rPr>
      </w:pPr>
      <w:bookmarkStart w:id="3" w:name="_Toc213871632"/>
      <w:r w:rsidRPr="005B7A00">
        <w:rPr>
          <w:rFonts w:ascii="Times New Roman" w:hAnsi="Times New Roman" w:cs="Times New Roman"/>
          <w:i/>
          <w:iCs/>
          <w:color w:val="000000" w:themeColor="text1"/>
          <w:sz w:val="32"/>
          <w:szCs w:val="32"/>
        </w:rPr>
        <w:lastRenderedPageBreak/>
        <w:t>4. Performance Measurement and Decision-Making</w:t>
      </w:r>
      <w:bookmarkEnd w:id="3"/>
      <w:r w:rsidRPr="005B7A00">
        <w:rPr>
          <w:rFonts w:ascii="Times New Roman" w:hAnsi="Times New Roman" w:cs="Times New Roman"/>
          <w:i/>
          <w:iCs/>
          <w:color w:val="000000" w:themeColor="text1"/>
          <w:sz w:val="32"/>
          <w:szCs w:val="32"/>
        </w:rPr>
        <w:t xml:space="preserve"> </w:t>
      </w:r>
    </w:p>
    <w:p w14:paraId="2D32B89B" w14:textId="77777777" w:rsidR="005B7A00" w:rsidRPr="005B7A00" w:rsidRDefault="005B7A00" w:rsidP="005B7A00">
      <w:pPr>
        <w:rPr>
          <w:lang w:val="en-GB"/>
        </w:rPr>
      </w:pPr>
    </w:p>
    <w:p w14:paraId="0178D0A2"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Performance management at L’Oréal is grounded in both financial and non-financial indicators, ensuring a holistic approach to organisational success. The company employs Key Performance Indicators (KPIs) derived from its strategic goals, which include profitability, innovation, sustainability, and customer satisfaction (L’Oréal, 2024).</w:t>
      </w:r>
    </w:p>
    <w:p w14:paraId="12E886CF"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Financial KPIs</w:t>
      </w:r>
    </w:p>
    <w:p w14:paraId="7D887043" w14:textId="77777777" w:rsidR="00B4331B" w:rsidRPr="00B4331B" w:rsidRDefault="00B4331B" w:rsidP="00B4331B">
      <w:pPr>
        <w:numPr>
          <w:ilvl w:val="0"/>
          <w:numId w:val="1"/>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Operating Margin: L’Oréal maintains an operating margin of approximately 19%, reflecting effective cost control and premium pricing.</w:t>
      </w:r>
    </w:p>
    <w:p w14:paraId="7647C777" w14:textId="77777777" w:rsidR="00B4331B" w:rsidRPr="00B4331B" w:rsidRDefault="00B4331B" w:rsidP="00B4331B">
      <w:pPr>
        <w:numPr>
          <w:ilvl w:val="0"/>
          <w:numId w:val="1"/>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Return on Capital Employed (ROCE): Used to assess investment efficiency, ensuring that innovation projects deliver adequate returns.</w:t>
      </w:r>
    </w:p>
    <w:p w14:paraId="3ABC11E6" w14:textId="77777777" w:rsidR="00B4331B" w:rsidRPr="00B4331B" w:rsidRDefault="00B4331B" w:rsidP="00B4331B">
      <w:pPr>
        <w:numPr>
          <w:ilvl w:val="0"/>
          <w:numId w:val="1"/>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Earnings per Share (EPS): Monitors shareholder value creation, guiding dividend and reinvestment decisions.</w:t>
      </w:r>
    </w:p>
    <w:p w14:paraId="5C076D29" w14:textId="77777777" w:rsidR="00B4331B" w:rsidRPr="00B4331B" w:rsidRDefault="00B4331B" w:rsidP="00B4331B">
      <w:pPr>
        <w:numPr>
          <w:ilvl w:val="0"/>
          <w:numId w:val="1"/>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Free Cash Flow (FCF): Indicates liquidity and operational efficiency.</w:t>
      </w:r>
    </w:p>
    <w:p w14:paraId="23F3981C" w14:textId="77777777" w:rsidR="00B4331B" w:rsidRPr="00B4331B" w:rsidRDefault="00B4331B" w:rsidP="00B4331B">
      <w:pPr>
        <w:numPr>
          <w:ilvl w:val="0"/>
          <w:numId w:val="1"/>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Revenue Growth: Measures performance across regions and product lines.</w:t>
      </w:r>
    </w:p>
    <w:p w14:paraId="531F3852"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Non-Financial KPIs</w:t>
      </w:r>
    </w:p>
    <w:p w14:paraId="6FC08CEF" w14:textId="77777777" w:rsidR="00B4331B" w:rsidRPr="00B4331B" w:rsidRDefault="00B4331B" w:rsidP="00B4331B">
      <w:pPr>
        <w:numPr>
          <w:ilvl w:val="0"/>
          <w:numId w:val="2"/>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Employee Engagement: Measured through the L’Oréal “Share &amp; Care” programme, promoting well-being and inclusion.</w:t>
      </w:r>
    </w:p>
    <w:p w14:paraId="48EBA349" w14:textId="77777777" w:rsidR="00B4331B" w:rsidRPr="00B4331B" w:rsidRDefault="00B4331B" w:rsidP="00B4331B">
      <w:pPr>
        <w:numPr>
          <w:ilvl w:val="0"/>
          <w:numId w:val="2"/>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Sustainability Targets: Reduction of carbon emissions and packaging waste by 50% by 2030 (L’Oréal for the Future, 2024).</w:t>
      </w:r>
    </w:p>
    <w:p w14:paraId="12E4081B" w14:textId="77777777" w:rsidR="00B4331B" w:rsidRPr="00B4331B" w:rsidRDefault="00B4331B" w:rsidP="00B4331B">
      <w:pPr>
        <w:numPr>
          <w:ilvl w:val="0"/>
          <w:numId w:val="2"/>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Innovation Index: Proportion of sales from new products launched in the past three years.</w:t>
      </w:r>
    </w:p>
    <w:p w14:paraId="5117AC74" w14:textId="77777777" w:rsidR="00B4331B" w:rsidRPr="00B4331B" w:rsidRDefault="00B4331B" w:rsidP="00B4331B">
      <w:pPr>
        <w:numPr>
          <w:ilvl w:val="0"/>
          <w:numId w:val="2"/>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Customer Satisfaction: Tracked through Net Promoter Scores (NPS) and digital engagement metrics.</w:t>
      </w:r>
    </w:p>
    <w:p w14:paraId="143FC445" w14:textId="77777777" w:rsidR="00B4331B" w:rsidRPr="00B4331B" w:rsidRDefault="00B4331B" w:rsidP="00B4331B">
      <w:pPr>
        <w:numPr>
          <w:ilvl w:val="0"/>
          <w:numId w:val="2"/>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Diversity Metrics: Gender balance and leadership representation across global offices.</w:t>
      </w:r>
    </w:p>
    <w:p w14:paraId="6D5954A5"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These KPIs form part of L’Oréal’s Balanced Scorecard framework (Kaplan &amp; Norton, 1992), linking financial results with customer value, internal processes, and learning and growth perspectives.</w:t>
      </w:r>
    </w:p>
    <w:p w14:paraId="17112605"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lastRenderedPageBreak/>
        <w:t>Strategically, performance data informs major decisions such as market expansion, cost-cutting, and product pricing. For example, financial metrics guide investment in emerging markets, while non-financial insights drive brand repositioning. The use of real-time dashboards and management accounting reports allows executives to monitor trends and adjust strategies swiftly.</w:t>
      </w:r>
    </w:p>
    <w:p w14:paraId="07EC4CD6"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Hence, performance measurement at L’Oréal exemplifies how management accounting transforms raw data into actionable insights—supporting evidence-based decision-making across a dynamic, innovation-driven organisation.</w:t>
      </w:r>
    </w:p>
    <w:p w14:paraId="0F4C5801" w14:textId="6F31B867" w:rsidR="00B4331B" w:rsidRDefault="00B4331B" w:rsidP="00B4331B">
      <w:pPr>
        <w:spacing w:line="360" w:lineRule="auto"/>
        <w:jc w:val="both"/>
        <w:rPr>
          <w:rFonts w:ascii="Times New Roman" w:hAnsi="Times New Roman" w:cs="Times New Roman"/>
          <w:color w:val="000000" w:themeColor="text1"/>
          <w:sz w:val="24"/>
          <w:szCs w:val="24"/>
          <w:lang w:val="en-GB"/>
        </w:rPr>
      </w:pPr>
    </w:p>
    <w:p w14:paraId="7ED8E2EB" w14:textId="45D4C0FB" w:rsidR="00B4331B" w:rsidRDefault="00B4331B" w:rsidP="004F4E5B">
      <w:pPr>
        <w:pStyle w:val="Heading1"/>
        <w:rPr>
          <w:rFonts w:ascii="Times New Roman" w:hAnsi="Times New Roman" w:cs="Times New Roman"/>
          <w:i/>
          <w:iCs/>
          <w:color w:val="000000" w:themeColor="text1"/>
          <w:sz w:val="32"/>
          <w:szCs w:val="32"/>
          <w:lang w:val="en-GB"/>
        </w:rPr>
      </w:pPr>
      <w:bookmarkStart w:id="4" w:name="_Toc213871633"/>
      <w:r w:rsidRPr="005B7A00">
        <w:rPr>
          <w:rFonts w:ascii="Times New Roman" w:hAnsi="Times New Roman" w:cs="Times New Roman"/>
          <w:i/>
          <w:iCs/>
          <w:color w:val="000000" w:themeColor="text1"/>
          <w:sz w:val="32"/>
          <w:szCs w:val="32"/>
        </w:rPr>
        <w:t>5. Sustainability and Ethical Considerations</w:t>
      </w:r>
      <w:bookmarkEnd w:id="4"/>
      <w:r w:rsidRPr="005B7A00">
        <w:rPr>
          <w:rFonts w:ascii="Times New Roman" w:hAnsi="Times New Roman" w:cs="Times New Roman"/>
          <w:i/>
          <w:iCs/>
          <w:color w:val="000000" w:themeColor="text1"/>
          <w:sz w:val="32"/>
          <w:szCs w:val="32"/>
        </w:rPr>
        <w:t xml:space="preserve"> </w:t>
      </w:r>
    </w:p>
    <w:p w14:paraId="1DD2EA2E" w14:textId="77777777" w:rsidR="005B7A00" w:rsidRPr="005B7A00" w:rsidRDefault="005B7A00" w:rsidP="005B7A00">
      <w:pPr>
        <w:rPr>
          <w:lang w:val="en-GB"/>
        </w:rPr>
      </w:pPr>
    </w:p>
    <w:p w14:paraId="2B0952D1"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Sustainability and ethics are integral to L’Oréal’s financial and managerial decision-making processes. The company’s global programme, </w:t>
      </w:r>
      <w:r w:rsidRPr="00B4331B">
        <w:rPr>
          <w:rFonts w:ascii="Times New Roman" w:hAnsi="Times New Roman" w:cs="Times New Roman"/>
          <w:i/>
          <w:iCs/>
          <w:color w:val="000000" w:themeColor="text1"/>
          <w:sz w:val="24"/>
          <w:szCs w:val="24"/>
        </w:rPr>
        <w:t>L’Oréal for the Future</w:t>
      </w:r>
      <w:r w:rsidRPr="00B4331B">
        <w:rPr>
          <w:rFonts w:ascii="Times New Roman" w:hAnsi="Times New Roman" w:cs="Times New Roman"/>
          <w:color w:val="000000" w:themeColor="text1"/>
          <w:sz w:val="24"/>
          <w:szCs w:val="24"/>
        </w:rPr>
        <w:t>, establishes clear, measurable sustainability targets, directly linking financial management to environmental and social responsibility (L’Oréal Sustainability Report, 2024). The initiative aligns with the United Nations Sustainable Development Goals (SDGs) and focuses on three main areas: reducing the company’s environmental footprint, empowering communities, and ensuring responsible innovation. By embedding sustainability within strategic financial planning, L’Oréal ensures that profitability and purpose coexist as mutually reinforcing goals.</w:t>
      </w:r>
    </w:p>
    <w:p w14:paraId="1FBAE79B"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From a management accounting perspective, sustainability is operationalised through environmental cost accounting (ECA), which identifies, measures, and manages the costs associated with environmental impacts such as carbon emissions, energy consumption, and waste generation (CIMA, 2019). These data-driven insights support capital investment decisions that balance profitability with long-term environmental and social benefits. For example, L’Oréal allocates significant resources to renewable energy transitions and sustainable packaging technologies, applying life-cycle costing (LCC) to assess the total cost and benefit of eco-innovations over time. This approach encourages managers to consider not only immediate financial returns but also the extended value of sustainability-led investments, such as brand reputation and consumer loyalty.</w:t>
      </w:r>
    </w:p>
    <w:p w14:paraId="6053EA51"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Ethical considerations are equally embedded within L’Oréal’s cost management and pricing strategies. The company maintains strict compliance with international labour laws and human </w:t>
      </w:r>
      <w:r w:rsidRPr="00B4331B">
        <w:rPr>
          <w:rFonts w:ascii="Times New Roman" w:hAnsi="Times New Roman" w:cs="Times New Roman"/>
          <w:color w:val="000000" w:themeColor="text1"/>
          <w:sz w:val="24"/>
          <w:szCs w:val="24"/>
        </w:rPr>
        <w:lastRenderedPageBreak/>
        <w:t xml:space="preserve">rights standards, ensuring fair working conditions across its supply chain. Through rigorous supplier audits and the </w:t>
      </w:r>
      <w:r w:rsidRPr="00B4331B">
        <w:rPr>
          <w:rFonts w:ascii="Times New Roman" w:hAnsi="Times New Roman" w:cs="Times New Roman"/>
          <w:i/>
          <w:iCs/>
          <w:color w:val="000000" w:themeColor="text1"/>
          <w:sz w:val="24"/>
          <w:szCs w:val="24"/>
        </w:rPr>
        <w:t>Supplier Sustainability Programme</w:t>
      </w:r>
      <w:r w:rsidRPr="00B4331B">
        <w:rPr>
          <w:rFonts w:ascii="Times New Roman" w:hAnsi="Times New Roman" w:cs="Times New Roman"/>
          <w:color w:val="000000" w:themeColor="text1"/>
          <w:sz w:val="24"/>
          <w:szCs w:val="24"/>
        </w:rPr>
        <w:t>, management accountants evaluate vendors based on ethical, environmental, and social criteria. This ensures procurement and sourcing decisions align with the company’s corporate social responsibility (CSR) commitments and code of ethics (IMA, 2017).</w:t>
      </w:r>
    </w:p>
    <w:p w14:paraId="0E510A6F"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Furthermore, L’Oréal’s ethical financial governance is reinforced through transparent reporting and disclosure practices. The organisation adheres to the Global Reporting Initiative (GRI) standards and produces annual integrated reports that combine financial and non-financial data. These reports communicate the company’s performance in areas such as gender equity, carbon neutrality, and community investment—highlighting the role of management accounting in achieving accountable and traceable results. Social metrics, including diversity representation, fair pay ratios, and local community contributions, are now part of L’Oréal’s internal performance dashboards, ensuring that social value is measured alongside financial success.</w:t>
      </w:r>
    </w:p>
    <w:p w14:paraId="5609F21B"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Ultimately, sustainability at L’Oréal is not treated as a cost burden but as a strategic investment. By embedding ethical and environmental indicators into its management accounting systems, the company achieves a balanced and holistic view of performance. This integration allows L’Oréal to maintain profitability while advancing innovation, social responsibility, and environmental stewardship—solidifying its global reputation as a pioneer of ethical excellence in the beauty industry.</w:t>
      </w:r>
    </w:p>
    <w:p w14:paraId="1A7ADC21" w14:textId="01842A97" w:rsidR="00B4331B" w:rsidRDefault="00B4331B" w:rsidP="00B4331B">
      <w:pPr>
        <w:spacing w:line="360" w:lineRule="auto"/>
        <w:jc w:val="both"/>
        <w:rPr>
          <w:rFonts w:ascii="Times New Roman" w:hAnsi="Times New Roman" w:cs="Times New Roman"/>
          <w:color w:val="000000" w:themeColor="text1"/>
          <w:sz w:val="24"/>
          <w:szCs w:val="24"/>
          <w:lang w:val="en-GB"/>
        </w:rPr>
      </w:pPr>
    </w:p>
    <w:p w14:paraId="0BC2B8F5"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1735DE1C"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12CDBD89"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021A3C42"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65B651D4"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103F8AA7"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1F4F2ACB"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5AD7184D" w14:textId="77777777" w:rsidR="005B7A00" w:rsidRPr="005B7A00" w:rsidRDefault="005B7A00" w:rsidP="00B4331B">
      <w:pPr>
        <w:spacing w:line="360" w:lineRule="auto"/>
        <w:jc w:val="both"/>
        <w:rPr>
          <w:rFonts w:ascii="Times New Roman" w:hAnsi="Times New Roman" w:cs="Times New Roman"/>
          <w:color w:val="000000" w:themeColor="text1"/>
          <w:sz w:val="24"/>
          <w:szCs w:val="24"/>
          <w:lang w:val="en-GB"/>
        </w:rPr>
      </w:pPr>
    </w:p>
    <w:p w14:paraId="765BA578" w14:textId="46628699" w:rsidR="00B4331B" w:rsidRDefault="00B4331B" w:rsidP="004F4E5B">
      <w:pPr>
        <w:pStyle w:val="Heading1"/>
        <w:rPr>
          <w:rFonts w:ascii="Times New Roman" w:hAnsi="Times New Roman" w:cs="Times New Roman"/>
          <w:i/>
          <w:iCs/>
          <w:color w:val="000000" w:themeColor="text1"/>
          <w:sz w:val="32"/>
          <w:szCs w:val="32"/>
          <w:lang w:val="en-GB"/>
        </w:rPr>
      </w:pPr>
      <w:bookmarkStart w:id="5" w:name="_Toc213871634"/>
      <w:r w:rsidRPr="005B7A00">
        <w:rPr>
          <w:rFonts w:ascii="Times New Roman" w:hAnsi="Times New Roman" w:cs="Times New Roman"/>
          <w:i/>
          <w:iCs/>
          <w:color w:val="000000" w:themeColor="text1"/>
          <w:sz w:val="32"/>
          <w:szCs w:val="32"/>
        </w:rPr>
        <w:lastRenderedPageBreak/>
        <w:t>6. Conclusion and Recommendations</w:t>
      </w:r>
      <w:bookmarkEnd w:id="5"/>
      <w:r w:rsidRPr="005B7A00">
        <w:rPr>
          <w:rFonts w:ascii="Times New Roman" w:hAnsi="Times New Roman" w:cs="Times New Roman"/>
          <w:i/>
          <w:iCs/>
          <w:color w:val="000000" w:themeColor="text1"/>
          <w:sz w:val="32"/>
          <w:szCs w:val="32"/>
        </w:rPr>
        <w:t xml:space="preserve"> </w:t>
      </w:r>
    </w:p>
    <w:p w14:paraId="153CE5A6" w14:textId="77777777" w:rsidR="005B7A00" w:rsidRPr="005B7A00" w:rsidRDefault="005B7A00" w:rsidP="005B7A00">
      <w:pPr>
        <w:rPr>
          <w:lang w:val="en-GB"/>
        </w:rPr>
      </w:pPr>
    </w:p>
    <w:p w14:paraId="34E7D160"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This report demonstrates that management accounting plays a central role in aligning innovation, sustainability, and profitability at L’Oréal. Through cost management tools such as ABC and CVP, flexible budgeting, and integrated performance measurement, the company maintains financial control while promoting growth and responsibility.</w:t>
      </w:r>
    </w:p>
    <w:p w14:paraId="3C580F31"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Recommendations:</w:t>
      </w:r>
    </w:p>
    <w:p w14:paraId="194B90F0" w14:textId="77777777" w:rsidR="00B4331B" w:rsidRPr="00B4331B" w:rsidRDefault="00B4331B" w:rsidP="00B4331B">
      <w:pPr>
        <w:numPr>
          <w:ilvl w:val="0"/>
          <w:numId w:val="3"/>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Enhance digital transformation in management accounting systems to increase forecasting accuracy and real-time data analysis.</w:t>
      </w:r>
    </w:p>
    <w:p w14:paraId="0303FB44" w14:textId="77777777" w:rsidR="00B4331B" w:rsidRPr="00B4331B" w:rsidRDefault="00B4331B" w:rsidP="00B4331B">
      <w:pPr>
        <w:numPr>
          <w:ilvl w:val="0"/>
          <w:numId w:val="3"/>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Expand sustainability-linked budgeting, allocating more resources to green R&amp;D and circular economy initiatives.</w:t>
      </w:r>
    </w:p>
    <w:p w14:paraId="4ACB1C65" w14:textId="77777777" w:rsidR="00B4331B" w:rsidRPr="00B4331B" w:rsidRDefault="00B4331B" w:rsidP="00B4331B">
      <w:pPr>
        <w:numPr>
          <w:ilvl w:val="0"/>
          <w:numId w:val="3"/>
        </w:num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Strengthen non-financial reporting integration, ensuring sustainability and ethical KPIs are equally weighted with financial indicators.</w:t>
      </w:r>
    </w:p>
    <w:p w14:paraId="6D0D2D7A"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By implementing these recommendations, L’Oréal can further strengthen its strategic agility and long-term competitiveness in a rapidly evolving global market.</w:t>
      </w:r>
    </w:p>
    <w:p w14:paraId="2D96898C" w14:textId="2D60D4F5" w:rsidR="00B4331B" w:rsidRDefault="00B4331B" w:rsidP="00B4331B">
      <w:pPr>
        <w:spacing w:line="360" w:lineRule="auto"/>
        <w:jc w:val="both"/>
        <w:rPr>
          <w:rFonts w:ascii="Times New Roman" w:hAnsi="Times New Roman" w:cs="Times New Roman"/>
          <w:color w:val="000000" w:themeColor="text1"/>
          <w:sz w:val="24"/>
          <w:szCs w:val="24"/>
          <w:lang w:val="en-GB"/>
        </w:rPr>
      </w:pPr>
    </w:p>
    <w:p w14:paraId="65DB699D" w14:textId="77777777" w:rsidR="004F4E5B" w:rsidRDefault="004F4E5B" w:rsidP="00B4331B">
      <w:pPr>
        <w:spacing w:line="360" w:lineRule="auto"/>
        <w:jc w:val="both"/>
        <w:rPr>
          <w:rFonts w:ascii="Times New Roman" w:hAnsi="Times New Roman" w:cs="Times New Roman"/>
          <w:color w:val="000000" w:themeColor="text1"/>
          <w:sz w:val="24"/>
          <w:szCs w:val="24"/>
          <w:lang w:val="en-GB"/>
        </w:rPr>
      </w:pPr>
    </w:p>
    <w:p w14:paraId="6DA78B32" w14:textId="77777777" w:rsidR="004F4E5B" w:rsidRDefault="004F4E5B" w:rsidP="00B4331B">
      <w:pPr>
        <w:spacing w:line="360" w:lineRule="auto"/>
        <w:jc w:val="both"/>
        <w:rPr>
          <w:rFonts w:ascii="Times New Roman" w:hAnsi="Times New Roman" w:cs="Times New Roman"/>
          <w:color w:val="000000" w:themeColor="text1"/>
          <w:sz w:val="24"/>
          <w:szCs w:val="24"/>
          <w:lang w:val="en-GB"/>
        </w:rPr>
      </w:pPr>
    </w:p>
    <w:p w14:paraId="11F453A4"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685C73F4"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6CCFA936"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1AA36231"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6ECC2DF0"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6FD76B18" w14:textId="77777777" w:rsidR="005B7A00" w:rsidRDefault="005B7A00" w:rsidP="00B4331B">
      <w:pPr>
        <w:spacing w:line="360" w:lineRule="auto"/>
        <w:jc w:val="both"/>
        <w:rPr>
          <w:rFonts w:ascii="Times New Roman" w:hAnsi="Times New Roman" w:cs="Times New Roman"/>
          <w:color w:val="000000" w:themeColor="text1"/>
          <w:sz w:val="24"/>
          <w:szCs w:val="24"/>
          <w:lang w:val="en-GB"/>
        </w:rPr>
      </w:pPr>
    </w:p>
    <w:p w14:paraId="0E3007E0" w14:textId="77777777" w:rsidR="005B7A00" w:rsidRPr="00B4331B" w:rsidRDefault="005B7A00" w:rsidP="00B4331B">
      <w:pPr>
        <w:spacing w:line="360" w:lineRule="auto"/>
        <w:jc w:val="both"/>
        <w:rPr>
          <w:rFonts w:ascii="Times New Roman" w:hAnsi="Times New Roman" w:cs="Times New Roman"/>
          <w:color w:val="000000" w:themeColor="text1"/>
          <w:sz w:val="24"/>
          <w:szCs w:val="24"/>
          <w:lang w:val="en-GB"/>
        </w:rPr>
      </w:pPr>
    </w:p>
    <w:p w14:paraId="03278CD1" w14:textId="62B9B3FE" w:rsidR="00B4331B" w:rsidRPr="005B7A00" w:rsidRDefault="00B4331B" w:rsidP="004F4E5B">
      <w:pPr>
        <w:pStyle w:val="Heading1"/>
        <w:rPr>
          <w:rFonts w:ascii="Times New Roman" w:hAnsi="Times New Roman" w:cs="Times New Roman"/>
          <w:i/>
          <w:iCs/>
          <w:color w:val="000000" w:themeColor="text1"/>
          <w:sz w:val="32"/>
          <w:szCs w:val="32"/>
        </w:rPr>
      </w:pPr>
      <w:bookmarkStart w:id="6" w:name="_Toc213871635"/>
      <w:r w:rsidRPr="005B7A00">
        <w:rPr>
          <w:rFonts w:ascii="Times New Roman" w:hAnsi="Times New Roman" w:cs="Times New Roman"/>
          <w:i/>
          <w:iCs/>
          <w:color w:val="000000" w:themeColor="text1"/>
          <w:sz w:val="32"/>
          <w:szCs w:val="32"/>
        </w:rPr>
        <w:lastRenderedPageBreak/>
        <w:t>References</w:t>
      </w:r>
      <w:bookmarkEnd w:id="6"/>
      <w:r w:rsidRPr="005B7A00">
        <w:rPr>
          <w:rFonts w:ascii="Times New Roman" w:hAnsi="Times New Roman" w:cs="Times New Roman"/>
          <w:i/>
          <w:iCs/>
          <w:color w:val="000000" w:themeColor="text1"/>
          <w:sz w:val="32"/>
          <w:szCs w:val="32"/>
        </w:rPr>
        <w:t xml:space="preserve"> </w:t>
      </w:r>
    </w:p>
    <w:p w14:paraId="6C4C7CD7"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CIMA (2019) </w:t>
      </w:r>
      <w:r w:rsidRPr="00B4331B">
        <w:rPr>
          <w:rFonts w:ascii="Times New Roman" w:hAnsi="Times New Roman" w:cs="Times New Roman"/>
          <w:i/>
          <w:iCs/>
          <w:color w:val="000000" w:themeColor="text1"/>
          <w:sz w:val="24"/>
          <w:szCs w:val="24"/>
        </w:rPr>
        <w:t>Management Accounting Official Terminology.</w:t>
      </w:r>
      <w:r w:rsidRPr="00B4331B">
        <w:rPr>
          <w:rFonts w:ascii="Times New Roman" w:hAnsi="Times New Roman" w:cs="Times New Roman"/>
          <w:color w:val="000000" w:themeColor="text1"/>
          <w:sz w:val="24"/>
          <w:szCs w:val="24"/>
        </w:rPr>
        <w:t xml:space="preserve"> London: Chartered Institute of Management Accountants.</w:t>
      </w:r>
    </w:p>
    <w:p w14:paraId="4D5E3CBD"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Drury, C. (2021) </w:t>
      </w:r>
      <w:r w:rsidRPr="00B4331B">
        <w:rPr>
          <w:rFonts w:ascii="Times New Roman" w:hAnsi="Times New Roman" w:cs="Times New Roman"/>
          <w:i/>
          <w:iCs/>
          <w:color w:val="000000" w:themeColor="text1"/>
          <w:sz w:val="24"/>
          <w:szCs w:val="24"/>
        </w:rPr>
        <w:t>Management and Cost Accounting.</w:t>
      </w:r>
      <w:r w:rsidRPr="00B4331B">
        <w:rPr>
          <w:rFonts w:ascii="Times New Roman" w:hAnsi="Times New Roman" w:cs="Times New Roman"/>
          <w:color w:val="000000" w:themeColor="text1"/>
          <w:sz w:val="24"/>
          <w:szCs w:val="24"/>
        </w:rPr>
        <w:t xml:space="preserve"> 11th edn. Andover: Cengage Learning.</w:t>
      </w:r>
    </w:p>
    <w:p w14:paraId="334D0995"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Horngren, C.T., Datar, S.M. and Rajan, M.V. (2015) </w:t>
      </w:r>
      <w:r w:rsidRPr="00B4331B">
        <w:rPr>
          <w:rFonts w:ascii="Times New Roman" w:hAnsi="Times New Roman" w:cs="Times New Roman"/>
          <w:i/>
          <w:iCs/>
          <w:color w:val="000000" w:themeColor="text1"/>
          <w:sz w:val="24"/>
          <w:szCs w:val="24"/>
        </w:rPr>
        <w:t>Cost Accounting: A Managerial Emphasis.</w:t>
      </w:r>
      <w:r w:rsidRPr="00B4331B">
        <w:rPr>
          <w:rFonts w:ascii="Times New Roman" w:hAnsi="Times New Roman" w:cs="Times New Roman"/>
          <w:color w:val="000000" w:themeColor="text1"/>
          <w:sz w:val="24"/>
          <w:szCs w:val="24"/>
        </w:rPr>
        <w:t xml:space="preserve"> 15th edn. Harlow: Pearson Education.</w:t>
      </w:r>
    </w:p>
    <w:p w14:paraId="2D757AB0"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Hope, J. and Fraser, R. (2003) </w:t>
      </w:r>
      <w:r w:rsidRPr="00B4331B">
        <w:rPr>
          <w:rFonts w:ascii="Times New Roman" w:hAnsi="Times New Roman" w:cs="Times New Roman"/>
          <w:i/>
          <w:iCs/>
          <w:color w:val="000000" w:themeColor="text1"/>
          <w:sz w:val="24"/>
          <w:szCs w:val="24"/>
        </w:rPr>
        <w:t>Beyond Budgeting: How Managers Can Break Free from the Annual Performance Trap.</w:t>
      </w:r>
      <w:r w:rsidRPr="00B4331B">
        <w:rPr>
          <w:rFonts w:ascii="Times New Roman" w:hAnsi="Times New Roman" w:cs="Times New Roman"/>
          <w:color w:val="000000" w:themeColor="text1"/>
          <w:sz w:val="24"/>
          <w:szCs w:val="24"/>
        </w:rPr>
        <w:t xml:space="preserve"> Boston, MA: Harvard Business School Press.</w:t>
      </w:r>
    </w:p>
    <w:p w14:paraId="0EF07873"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Kaplan, R.S. and Norton, D.P. (1992) ‘The Balanced Scorecard—Measures That Drive Performance’, </w:t>
      </w:r>
      <w:r w:rsidRPr="00B4331B">
        <w:rPr>
          <w:rFonts w:ascii="Times New Roman" w:hAnsi="Times New Roman" w:cs="Times New Roman"/>
          <w:i/>
          <w:iCs/>
          <w:color w:val="000000" w:themeColor="text1"/>
          <w:sz w:val="24"/>
          <w:szCs w:val="24"/>
        </w:rPr>
        <w:t>Harvard Business Review</w:t>
      </w:r>
      <w:r w:rsidRPr="00B4331B">
        <w:rPr>
          <w:rFonts w:ascii="Times New Roman" w:hAnsi="Times New Roman" w:cs="Times New Roman"/>
          <w:color w:val="000000" w:themeColor="text1"/>
          <w:sz w:val="24"/>
          <w:szCs w:val="24"/>
        </w:rPr>
        <w:t>, 70(1), pp. 71–79.</w:t>
      </w:r>
    </w:p>
    <w:p w14:paraId="3A498455"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L’Oréal (2024) </w:t>
      </w:r>
      <w:r w:rsidRPr="00B4331B">
        <w:rPr>
          <w:rFonts w:ascii="Times New Roman" w:hAnsi="Times New Roman" w:cs="Times New Roman"/>
          <w:i/>
          <w:iCs/>
          <w:color w:val="000000" w:themeColor="text1"/>
          <w:sz w:val="24"/>
          <w:szCs w:val="24"/>
        </w:rPr>
        <w:t>Annual Report 2024.</w:t>
      </w:r>
      <w:r w:rsidRPr="00B4331B">
        <w:rPr>
          <w:rFonts w:ascii="Times New Roman" w:hAnsi="Times New Roman" w:cs="Times New Roman"/>
          <w:color w:val="000000" w:themeColor="text1"/>
          <w:sz w:val="24"/>
          <w:szCs w:val="24"/>
        </w:rPr>
        <w:t xml:space="preserve"> Paris: L’Oréal S.A.</w:t>
      </w:r>
    </w:p>
    <w:p w14:paraId="31667F54"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 xml:space="preserve">L’Oréal (2024b) </w:t>
      </w:r>
      <w:r w:rsidRPr="00B4331B">
        <w:rPr>
          <w:rFonts w:ascii="Times New Roman" w:hAnsi="Times New Roman" w:cs="Times New Roman"/>
          <w:i/>
          <w:iCs/>
          <w:color w:val="000000" w:themeColor="text1"/>
          <w:sz w:val="24"/>
          <w:szCs w:val="24"/>
        </w:rPr>
        <w:t>L’Oréal for the Future: Sustainability Progress Report.</w:t>
      </w:r>
      <w:r w:rsidRPr="00B4331B">
        <w:rPr>
          <w:rFonts w:ascii="Times New Roman" w:hAnsi="Times New Roman" w:cs="Times New Roman"/>
          <w:color w:val="000000" w:themeColor="text1"/>
          <w:sz w:val="24"/>
          <w:szCs w:val="24"/>
        </w:rPr>
        <w:t xml:space="preserve"> Paris: L’Oréal S.A.</w:t>
      </w:r>
    </w:p>
    <w:p w14:paraId="442F9A2C" w14:textId="77777777" w:rsidR="00B4331B" w:rsidRPr="00B4331B" w:rsidRDefault="00B4331B" w:rsidP="00B4331B">
      <w:pPr>
        <w:spacing w:line="360" w:lineRule="auto"/>
        <w:jc w:val="both"/>
        <w:rPr>
          <w:rFonts w:ascii="Times New Roman" w:hAnsi="Times New Roman" w:cs="Times New Roman"/>
          <w:color w:val="000000" w:themeColor="text1"/>
          <w:sz w:val="24"/>
          <w:szCs w:val="24"/>
        </w:rPr>
      </w:pPr>
      <w:r w:rsidRPr="00B4331B">
        <w:rPr>
          <w:rFonts w:ascii="Times New Roman" w:hAnsi="Times New Roman" w:cs="Times New Roman"/>
          <w:color w:val="000000" w:themeColor="text1"/>
          <w:sz w:val="24"/>
          <w:szCs w:val="24"/>
        </w:rPr>
        <w:t>Google Finance (2025) ‘L’Oréal SA (EPA: OR) – Financial Summary’. Available at: https://www.google.com/finance/quote/OR:EPA</w:t>
      </w:r>
    </w:p>
    <w:p w14:paraId="2FC92F1E" w14:textId="77777777" w:rsidR="007D1265" w:rsidRPr="004F4E5B" w:rsidRDefault="007D1265" w:rsidP="00B4331B">
      <w:pPr>
        <w:spacing w:line="360" w:lineRule="auto"/>
        <w:jc w:val="both"/>
        <w:rPr>
          <w:rFonts w:ascii="Times New Roman" w:hAnsi="Times New Roman" w:cs="Times New Roman"/>
          <w:color w:val="000000" w:themeColor="text1"/>
          <w:sz w:val="24"/>
          <w:szCs w:val="24"/>
        </w:rPr>
      </w:pPr>
    </w:p>
    <w:sectPr w:rsidR="007D1265" w:rsidRPr="004F4E5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920DB" w14:textId="77777777" w:rsidR="004F4E5B" w:rsidRDefault="004F4E5B" w:rsidP="004F4E5B">
      <w:pPr>
        <w:spacing w:after="0" w:line="240" w:lineRule="auto"/>
      </w:pPr>
      <w:r>
        <w:separator/>
      </w:r>
    </w:p>
  </w:endnote>
  <w:endnote w:type="continuationSeparator" w:id="0">
    <w:p w14:paraId="4E7CD23E" w14:textId="77777777" w:rsidR="004F4E5B" w:rsidRDefault="004F4E5B" w:rsidP="004F4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444804"/>
      <w:docPartObj>
        <w:docPartGallery w:val="Page Numbers (Bottom of Page)"/>
        <w:docPartUnique/>
      </w:docPartObj>
    </w:sdtPr>
    <w:sdtEndPr/>
    <w:sdtContent>
      <w:p w14:paraId="55572C9F" w14:textId="2180E163" w:rsidR="004F4E5B" w:rsidRDefault="004F4E5B">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B221E44" wp14:editId="2419B9FE">
                  <wp:simplePos x="0" y="0"/>
                  <wp:positionH relativeFrom="margin">
                    <wp:align>center</wp:align>
                  </wp:positionH>
                  <wp:positionV relativeFrom="bottomMargin">
                    <wp:align>center</wp:align>
                  </wp:positionV>
                  <wp:extent cx="661670" cy="502920"/>
                  <wp:effectExtent l="9525" t="9525" r="5080" b="11430"/>
                  <wp:wrapNone/>
                  <wp:docPr id="588821180" name="Scroll: Horizont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6EFF291" w14:textId="77777777" w:rsidR="004F4E5B" w:rsidRDefault="004F4E5B">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21E4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0;margin-top:0;width:52.1pt;height:39.6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26EFF291" w14:textId="77777777" w:rsidR="004F4E5B" w:rsidRDefault="004F4E5B">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64B3" w14:textId="77777777" w:rsidR="004F4E5B" w:rsidRDefault="004F4E5B" w:rsidP="004F4E5B">
      <w:pPr>
        <w:spacing w:after="0" w:line="240" w:lineRule="auto"/>
      </w:pPr>
      <w:r>
        <w:separator/>
      </w:r>
    </w:p>
  </w:footnote>
  <w:footnote w:type="continuationSeparator" w:id="0">
    <w:p w14:paraId="062C8008" w14:textId="77777777" w:rsidR="004F4E5B" w:rsidRDefault="004F4E5B" w:rsidP="004F4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C35D" w14:textId="73CFE4C1" w:rsidR="004F4E5B" w:rsidRDefault="004F4E5B">
    <w:pPr>
      <w:pStyle w:val="Header"/>
    </w:pPr>
    <w:r>
      <w:rPr>
        <w:noProof/>
      </w:rPr>
      <w:drawing>
        <wp:anchor distT="0" distB="0" distL="114300" distR="114300" simplePos="0" relativeHeight="251659264" behindDoc="1" locked="0" layoutInCell="1" allowOverlap="1" wp14:anchorId="03E7E71C" wp14:editId="440CD207">
          <wp:simplePos x="0" y="0"/>
          <wp:positionH relativeFrom="page">
            <wp:align>right</wp:align>
          </wp:positionH>
          <wp:positionV relativeFrom="topMargin">
            <wp:align>bottom</wp:align>
          </wp:positionV>
          <wp:extent cx="480060" cy="309245"/>
          <wp:effectExtent l="38100" t="133350" r="205740" b="300355"/>
          <wp:wrapSquare wrapText="bothSides"/>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060" cy="3092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7D23"/>
    <w:multiLevelType w:val="multilevel"/>
    <w:tmpl w:val="1C3EB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A36D83"/>
    <w:multiLevelType w:val="multilevel"/>
    <w:tmpl w:val="ECFAB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1D25BB"/>
    <w:multiLevelType w:val="hybridMultilevel"/>
    <w:tmpl w:val="C90456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4AB4B98"/>
    <w:multiLevelType w:val="multilevel"/>
    <w:tmpl w:val="9784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4109475">
    <w:abstractNumId w:val="1"/>
  </w:num>
  <w:num w:numId="2" w16cid:durableId="1355838343">
    <w:abstractNumId w:val="0"/>
  </w:num>
  <w:num w:numId="3" w16cid:durableId="1173377145">
    <w:abstractNumId w:val="3"/>
  </w:num>
  <w:num w:numId="4" w16cid:durableId="48335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31B"/>
    <w:rsid w:val="0000006E"/>
    <w:rsid w:val="00423B0A"/>
    <w:rsid w:val="004F4E5B"/>
    <w:rsid w:val="005B7A00"/>
    <w:rsid w:val="005F02E7"/>
    <w:rsid w:val="006A32B0"/>
    <w:rsid w:val="007D1265"/>
    <w:rsid w:val="009B4CEC"/>
    <w:rsid w:val="00A662D2"/>
    <w:rsid w:val="00B4331B"/>
    <w:rsid w:val="00E57CD9"/>
    <w:rsid w:val="00F00C0A"/>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90652B"/>
  <w15:chartTrackingRefBased/>
  <w15:docId w15:val="{43FA1087-6DF3-432E-91A7-59C48843B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3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33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3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3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3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3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3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3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3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3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33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3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3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3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3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3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3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31B"/>
    <w:rPr>
      <w:rFonts w:eastAsiaTheme="majorEastAsia" w:cstheme="majorBidi"/>
      <w:color w:val="272727" w:themeColor="text1" w:themeTint="D8"/>
    </w:rPr>
  </w:style>
  <w:style w:type="paragraph" w:styleId="Title">
    <w:name w:val="Title"/>
    <w:basedOn w:val="Normal"/>
    <w:next w:val="Normal"/>
    <w:link w:val="TitleChar"/>
    <w:uiPriority w:val="10"/>
    <w:qFormat/>
    <w:rsid w:val="00B433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3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3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31B"/>
    <w:pPr>
      <w:spacing w:before="160"/>
      <w:jc w:val="center"/>
    </w:pPr>
    <w:rPr>
      <w:i/>
      <w:iCs/>
      <w:color w:val="404040" w:themeColor="text1" w:themeTint="BF"/>
    </w:rPr>
  </w:style>
  <w:style w:type="character" w:customStyle="1" w:styleId="QuoteChar">
    <w:name w:val="Quote Char"/>
    <w:basedOn w:val="DefaultParagraphFont"/>
    <w:link w:val="Quote"/>
    <w:uiPriority w:val="29"/>
    <w:rsid w:val="00B4331B"/>
    <w:rPr>
      <w:i/>
      <w:iCs/>
      <w:color w:val="404040" w:themeColor="text1" w:themeTint="BF"/>
    </w:rPr>
  </w:style>
  <w:style w:type="paragraph" w:styleId="ListParagraph">
    <w:name w:val="List Paragraph"/>
    <w:basedOn w:val="Normal"/>
    <w:uiPriority w:val="34"/>
    <w:qFormat/>
    <w:rsid w:val="00B4331B"/>
    <w:pPr>
      <w:ind w:left="720"/>
      <w:contextualSpacing/>
    </w:pPr>
  </w:style>
  <w:style w:type="character" w:styleId="IntenseEmphasis">
    <w:name w:val="Intense Emphasis"/>
    <w:basedOn w:val="DefaultParagraphFont"/>
    <w:uiPriority w:val="21"/>
    <w:qFormat/>
    <w:rsid w:val="00B4331B"/>
    <w:rPr>
      <w:i/>
      <w:iCs/>
      <w:color w:val="0F4761" w:themeColor="accent1" w:themeShade="BF"/>
    </w:rPr>
  </w:style>
  <w:style w:type="paragraph" w:styleId="IntenseQuote">
    <w:name w:val="Intense Quote"/>
    <w:basedOn w:val="Normal"/>
    <w:next w:val="Normal"/>
    <w:link w:val="IntenseQuoteChar"/>
    <w:uiPriority w:val="30"/>
    <w:qFormat/>
    <w:rsid w:val="00B433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31B"/>
    <w:rPr>
      <w:i/>
      <w:iCs/>
      <w:color w:val="0F4761" w:themeColor="accent1" w:themeShade="BF"/>
    </w:rPr>
  </w:style>
  <w:style w:type="character" w:styleId="IntenseReference">
    <w:name w:val="Intense Reference"/>
    <w:basedOn w:val="DefaultParagraphFont"/>
    <w:uiPriority w:val="32"/>
    <w:qFormat/>
    <w:rsid w:val="00B4331B"/>
    <w:rPr>
      <w:b/>
      <w:bCs/>
      <w:smallCaps/>
      <w:color w:val="0F4761" w:themeColor="accent1" w:themeShade="BF"/>
      <w:spacing w:val="5"/>
    </w:rPr>
  </w:style>
  <w:style w:type="paragraph" w:styleId="Header">
    <w:name w:val="header"/>
    <w:basedOn w:val="Normal"/>
    <w:link w:val="HeaderChar"/>
    <w:uiPriority w:val="99"/>
    <w:unhideWhenUsed/>
    <w:rsid w:val="004F4E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F4E5B"/>
  </w:style>
  <w:style w:type="paragraph" w:styleId="Footer">
    <w:name w:val="footer"/>
    <w:basedOn w:val="Normal"/>
    <w:link w:val="FooterChar"/>
    <w:uiPriority w:val="99"/>
    <w:unhideWhenUsed/>
    <w:rsid w:val="004F4E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F4E5B"/>
  </w:style>
  <w:style w:type="paragraph" w:styleId="TOCHeading">
    <w:name w:val="TOC Heading"/>
    <w:basedOn w:val="Heading1"/>
    <w:next w:val="Normal"/>
    <w:uiPriority w:val="39"/>
    <w:unhideWhenUsed/>
    <w:qFormat/>
    <w:rsid w:val="004F4E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F4E5B"/>
    <w:pPr>
      <w:spacing w:after="100"/>
    </w:pPr>
  </w:style>
  <w:style w:type="character" w:styleId="Hyperlink">
    <w:name w:val="Hyperlink"/>
    <w:basedOn w:val="DefaultParagraphFont"/>
    <w:uiPriority w:val="99"/>
    <w:unhideWhenUsed/>
    <w:rsid w:val="004F4E5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4405">
      <w:bodyDiv w:val="1"/>
      <w:marLeft w:val="0"/>
      <w:marRight w:val="0"/>
      <w:marTop w:val="0"/>
      <w:marBottom w:val="0"/>
      <w:divBdr>
        <w:top w:val="none" w:sz="0" w:space="0" w:color="auto"/>
        <w:left w:val="none" w:sz="0" w:space="0" w:color="auto"/>
        <w:bottom w:val="none" w:sz="0" w:space="0" w:color="auto"/>
        <w:right w:val="none" w:sz="0" w:space="0" w:color="auto"/>
      </w:divBdr>
    </w:div>
    <w:div w:id="84109549">
      <w:bodyDiv w:val="1"/>
      <w:marLeft w:val="0"/>
      <w:marRight w:val="0"/>
      <w:marTop w:val="0"/>
      <w:marBottom w:val="0"/>
      <w:divBdr>
        <w:top w:val="none" w:sz="0" w:space="0" w:color="auto"/>
        <w:left w:val="none" w:sz="0" w:space="0" w:color="auto"/>
        <w:bottom w:val="none" w:sz="0" w:space="0" w:color="auto"/>
        <w:right w:val="none" w:sz="0" w:space="0" w:color="auto"/>
      </w:divBdr>
    </w:div>
    <w:div w:id="274021862">
      <w:bodyDiv w:val="1"/>
      <w:marLeft w:val="0"/>
      <w:marRight w:val="0"/>
      <w:marTop w:val="0"/>
      <w:marBottom w:val="0"/>
      <w:divBdr>
        <w:top w:val="none" w:sz="0" w:space="0" w:color="auto"/>
        <w:left w:val="none" w:sz="0" w:space="0" w:color="auto"/>
        <w:bottom w:val="none" w:sz="0" w:space="0" w:color="auto"/>
        <w:right w:val="none" w:sz="0" w:space="0" w:color="auto"/>
      </w:divBdr>
    </w:div>
    <w:div w:id="330834397">
      <w:bodyDiv w:val="1"/>
      <w:marLeft w:val="0"/>
      <w:marRight w:val="0"/>
      <w:marTop w:val="0"/>
      <w:marBottom w:val="0"/>
      <w:divBdr>
        <w:top w:val="none" w:sz="0" w:space="0" w:color="auto"/>
        <w:left w:val="none" w:sz="0" w:space="0" w:color="auto"/>
        <w:bottom w:val="none" w:sz="0" w:space="0" w:color="auto"/>
        <w:right w:val="none" w:sz="0" w:space="0" w:color="auto"/>
      </w:divBdr>
    </w:div>
    <w:div w:id="417947178">
      <w:bodyDiv w:val="1"/>
      <w:marLeft w:val="0"/>
      <w:marRight w:val="0"/>
      <w:marTop w:val="0"/>
      <w:marBottom w:val="0"/>
      <w:divBdr>
        <w:top w:val="none" w:sz="0" w:space="0" w:color="auto"/>
        <w:left w:val="none" w:sz="0" w:space="0" w:color="auto"/>
        <w:bottom w:val="none" w:sz="0" w:space="0" w:color="auto"/>
        <w:right w:val="none" w:sz="0" w:space="0" w:color="auto"/>
      </w:divBdr>
    </w:div>
    <w:div w:id="1042942879">
      <w:bodyDiv w:val="1"/>
      <w:marLeft w:val="0"/>
      <w:marRight w:val="0"/>
      <w:marTop w:val="0"/>
      <w:marBottom w:val="0"/>
      <w:divBdr>
        <w:top w:val="none" w:sz="0" w:space="0" w:color="auto"/>
        <w:left w:val="none" w:sz="0" w:space="0" w:color="auto"/>
        <w:bottom w:val="none" w:sz="0" w:space="0" w:color="auto"/>
        <w:right w:val="none" w:sz="0" w:space="0" w:color="auto"/>
      </w:divBdr>
    </w:div>
    <w:div w:id="1045787991">
      <w:bodyDiv w:val="1"/>
      <w:marLeft w:val="0"/>
      <w:marRight w:val="0"/>
      <w:marTop w:val="0"/>
      <w:marBottom w:val="0"/>
      <w:divBdr>
        <w:top w:val="none" w:sz="0" w:space="0" w:color="auto"/>
        <w:left w:val="none" w:sz="0" w:space="0" w:color="auto"/>
        <w:bottom w:val="none" w:sz="0" w:space="0" w:color="auto"/>
        <w:right w:val="none" w:sz="0" w:space="0" w:color="auto"/>
      </w:divBdr>
    </w:div>
    <w:div w:id="1308708590">
      <w:bodyDiv w:val="1"/>
      <w:marLeft w:val="0"/>
      <w:marRight w:val="0"/>
      <w:marTop w:val="0"/>
      <w:marBottom w:val="0"/>
      <w:divBdr>
        <w:top w:val="none" w:sz="0" w:space="0" w:color="auto"/>
        <w:left w:val="none" w:sz="0" w:space="0" w:color="auto"/>
        <w:bottom w:val="none" w:sz="0" w:space="0" w:color="auto"/>
        <w:right w:val="none" w:sz="0" w:space="0" w:color="auto"/>
      </w:divBdr>
    </w:div>
    <w:div w:id="1455638210">
      <w:bodyDiv w:val="1"/>
      <w:marLeft w:val="0"/>
      <w:marRight w:val="0"/>
      <w:marTop w:val="0"/>
      <w:marBottom w:val="0"/>
      <w:divBdr>
        <w:top w:val="none" w:sz="0" w:space="0" w:color="auto"/>
        <w:left w:val="none" w:sz="0" w:space="0" w:color="auto"/>
        <w:bottom w:val="none" w:sz="0" w:space="0" w:color="auto"/>
        <w:right w:val="none" w:sz="0" w:space="0" w:color="auto"/>
      </w:divBdr>
    </w:div>
    <w:div w:id="1461268010">
      <w:bodyDiv w:val="1"/>
      <w:marLeft w:val="0"/>
      <w:marRight w:val="0"/>
      <w:marTop w:val="0"/>
      <w:marBottom w:val="0"/>
      <w:divBdr>
        <w:top w:val="none" w:sz="0" w:space="0" w:color="auto"/>
        <w:left w:val="none" w:sz="0" w:space="0" w:color="auto"/>
        <w:bottom w:val="none" w:sz="0" w:space="0" w:color="auto"/>
        <w:right w:val="none" w:sz="0" w:space="0" w:color="auto"/>
      </w:divBdr>
    </w:div>
    <w:div w:id="1468352266">
      <w:bodyDiv w:val="1"/>
      <w:marLeft w:val="0"/>
      <w:marRight w:val="0"/>
      <w:marTop w:val="0"/>
      <w:marBottom w:val="0"/>
      <w:divBdr>
        <w:top w:val="none" w:sz="0" w:space="0" w:color="auto"/>
        <w:left w:val="none" w:sz="0" w:space="0" w:color="auto"/>
        <w:bottom w:val="none" w:sz="0" w:space="0" w:color="auto"/>
        <w:right w:val="none" w:sz="0" w:space="0" w:color="auto"/>
      </w:divBdr>
    </w:div>
    <w:div w:id="1502697050">
      <w:bodyDiv w:val="1"/>
      <w:marLeft w:val="0"/>
      <w:marRight w:val="0"/>
      <w:marTop w:val="0"/>
      <w:marBottom w:val="0"/>
      <w:divBdr>
        <w:top w:val="none" w:sz="0" w:space="0" w:color="auto"/>
        <w:left w:val="none" w:sz="0" w:space="0" w:color="auto"/>
        <w:bottom w:val="none" w:sz="0" w:space="0" w:color="auto"/>
        <w:right w:val="none" w:sz="0" w:space="0" w:color="auto"/>
      </w:divBdr>
    </w:div>
    <w:div w:id="1543404130">
      <w:bodyDiv w:val="1"/>
      <w:marLeft w:val="0"/>
      <w:marRight w:val="0"/>
      <w:marTop w:val="0"/>
      <w:marBottom w:val="0"/>
      <w:divBdr>
        <w:top w:val="none" w:sz="0" w:space="0" w:color="auto"/>
        <w:left w:val="none" w:sz="0" w:space="0" w:color="auto"/>
        <w:bottom w:val="none" w:sz="0" w:space="0" w:color="auto"/>
        <w:right w:val="none" w:sz="0" w:space="0" w:color="auto"/>
      </w:divBdr>
    </w:div>
    <w:div w:id="1666476019">
      <w:bodyDiv w:val="1"/>
      <w:marLeft w:val="0"/>
      <w:marRight w:val="0"/>
      <w:marTop w:val="0"/>
      <w:marBottom w:val="0"/>
      <w:divBdr>
        <w:top w:val="none" w:sz="0" w:space="0" w:color="auto"/>
        <w:left w:val="none" w:sz="0" w:space="0" w:color="auto"/>
        <w:bottom w:val="none" w:sz="0" w:space="0" w:color="auto"/>
        <w:right w:val="none" w:sz="0" w:space="0" w:color="auto"/>
      </w:divBdr>
    </w:div>
    <w:div w:id="1702124851">
      <w:bodyDiv w:val="1"/>
      <w:marLeft w:val="0"/>
      <w:marRight w:val="0"/>
      <w:marTop w:val="0"/>
      <w:marBottom w:val="0"/>
      <w:divBdr>
        <w:top w:val="none" w:sz="0" w:space="0" w:color="auto"/>
        <w:left w:val="none" w:sz="0" w:space="0" w:color="auto"/>
        <w:bottom w:val="none" w:sz="0" w:space="0" w:color="auto"/>
        <w:right w:val="none" w:sz="0" w:space="0" w:color="auto"/>
      </w:divBdr>
    </w:div>
    <w:div w:id="1778792793">
      <w:bodyDiv w:val="1"/>
      <w:marLeft w:val="0"/>
      <w:marRight w:val="0"/>
      <w:marTop w:val="0"/>
      <w:marBottom w:val="0"/>
      <w:divBdr>
        <w:top w:val="none" w:sz="0" w:space="0" w:color="auto"/>
        <w:left w:val="none" w:sz="0" w:space="0" w:color="auto"/>
        <w:bottom w:val="none" w:sz="0" w:space="0" w:color="auto"/>
        <w:right w:val="none" w:sz="0" w:space="0" w:color="auto"/>
      </w:divBdr>
    </w:div>
    <w:div w:id="1991669723">
      <w:bodyDiv w:val="1"/>
      <w:marLeft w:val="0"/>
      <w:marRight w:val="0"/>
      <w:marTop w:val="0"/>
      <w:marBottom w:val="0"/>
      <w:divBdr>
        <w:top w:val="none" w:sz="0" w:space="0" w:color="auto"/>
        <w:left w:val="none" w:sz="0" w:space="0" w:color="auto"/>
        <w:bottom w:val="none" w:sz="0" w:space="0" w:color="auto"/>
        <w:right w:val="none" w:sz="0" w:space="0" w:color="auto"/>
      </w:divBdr>
    </w:div>
    <w:div w:id="213185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CF4DE-254A-4ECA-BBB5-1440475D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3</cp:revision>
  <dcterms:created xsi:type="dcterms:W3CDTF">2026-04-14T18:11:00Z</dcterms:created>
  <dcterms:modified xsi:type="dcterms:W3CDTF">2026-04-14T18:14:00Z</dcterms:modified>
</cp:coreProperties>
</file>