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A28D5F" w14:textId="6DCAE81F" w:rsidR="001D096E" w:rsidRDefault="001D096E" w:rsidP="001D096E">
      <w:pPr>
        <w:jc w:val="center"/>
        <w:rPr>
          <w:sz w:val="32"/>
          <w:u w:val="single"/>
        </w:rPr>
      </w:pPr>
      <w:r>
        <w:rPr>
          <w:sz w:val="32"/>
          <w:u w:val="single"/>
        </w:rPr>
        <w:t xml:space="preserve">An Assessment of the Accounts of </w:t>
      </w:r>
      <w:r w:rsidR="0034577F">
        <w:rPr>
          <w:sz w:val="32"/>
          <w:u w:val="single"/>
        </w:rPr>
        <w:t>Godfrey</w:t>
      </w:r>
      <w:r w:rsidR="00F41F11">
        <w:rPr>
          <w:sz w:val="32"/>
          <w:u w:val="single"/>
        </w:rPr>
        <w:t xml:space="preserve"> of Bouillon</w:t>
      </w:r>
      <w:r w:rsidR="003976B7">
        <w:rPr>
          <w:sz w:val="32"/>
          <w:u w:val="single"/>
        </w:rPr>
        <w:t xml:space="preserve"> and the Crusaders under his command </w:t>
      </w:r>
      <w:r w:rsidR="00F71A85">
        <w:rPr>
          <w:sz w:val="32"/>
          <w:u w:val="single"/>
        </w:rPr>
        <w:t>from their</w:t>
      </w:r>
      <w:r w:rsidR="00F41F11">
        <w:rPr>
          <w:sz w:val="32"/>
          <w:u w:val="single"/>
        </w:rPr>
        <w:t xml:space="preserve"> </w:t>
      </w:r>
      <w:r>
        <w:rPr>
          <w:sz w:val="32"/>
          <w:u w:val="single"/>
        </w:rPr>
        <w:t xml:space="preserve">time in Constantinople </w:t>
      </w:r>
      <w:r w:rsidR="00854692">
        <w:rPr>
          <w:sz w:val="32"/>
          <w:u w:val="single"/>
        </w:rPr>
        <w:t>from Western European and Byzantine Sources.</w:t>
      </w:r>
    </w:p>
    <w:p w14:paraId="2EBFCE64" w14:textId="0B76E0FB" w:rsidR="00BD46DE" w:rsidRDefault="00D7581A" w:rsidP="00BD46DE">
      <w:pPr>
        <w:rPr>
          <w:rFonts w:cstheme="minorHAnsi"/>
          <w:color w:val="000000"/>
        </w:rPr>
      </w:pPr>
      <w:r>
        <w:tab/>
        <w:t xml:space="preserve">Of the accounts of the First Crusade that survive to us, </w:t>
      </w:r>
      <w:r w:rsidR="00CF7292">
        <w:t xml:space="preserve">two prominent sources that document this era of history are the </w:t>
      </w:r>
      <w:r w:rsidR="00CF7292" w:rsidRPr="00C5212B">
        <w:t>Gesta Francorum</w:t>
      </w:r>
      <w:r w:rsidR="00CF7292">
        <w:t xml:space="preserve">, or </w:t>
      </w:r>
      <w:r w:rsidR="00CF7292">
        <w:rPr>
          <w:i/>
        </w:rPr>
        <w:t>The Deeds of the Franks,</w:t>
      </w:r>
      <w:r w:rsidR="00CF7292">
        <w:t xml:space="preserve"> </w:t>
      </w:r>
      <w:r w:rsidR="00B01BC8">
        <w:t xml:space="preserve">and Anna Comnena’s </w:t>
      </w:r>
      <w:r w:rsidR="003A7EE9" w:rsidRPr="00C5212B">
        <w:t>The Alexiad</w:t>
      </w:r>
      <w:r w:rsidR="00A741D8" w:rsidRPr="00C5212B">
        <w:t>,</w:t>
      </w:r>
      <w:r w:rsidR="00A741D8">
        <w:rPr>
          <w:i/>
        </w:rPr>
        <w:t xml:space="preserve"> </w:t>
      </w:r>
      <w:r w:rsidR="00A741D8">
        <w:t xml:space="preserve">both of which can provide a fascinating insight into the minds of the people who wrote them and the perspectives that they were written from. </w:t>
      </w:r>
      <w:r w:rsidR="00E94F5C">
        <w:t>Unsurprisingly biased in favour of their authors</w:t>
      </w:r>
      <w:r w:rsidR="00757D67">
        <w:t>’</w:t>
      </w:r>
      <w:r w:rsidR="00E94F5C">
        <w:t xml:space="preserve"> positions, </w:t>
      </w:r>
      <w:r w:rsidR="00A22176">
        <w:t xml:space="preserve">both works—and those of other historians of the era—do agree on many points. We know the First Crusade attacked Constantinople </w:t>
      </w:r>
      <w:r w:rsidR="00A13023">
        <w:t xml:space="preserve">over disputes concerning the </w:t>
      </w:r>
      <w:r w:rsidR="004E214C">
        <w:t xml:space="preserve">manner of the </w:t>
      </w:r>
      <w:r w:rsidR="00A13023">
        <w:t>Emperor’s support</w:t>
      </w:r>
      <w:r w:rsidR="00540DFA">
        <w:t xml:space="preserve"> and that the Emperor ordered a counter attack, whereas the reason is disputed</w:t>
      </w:r>
      <w:r w:rsidR="00CE52F0">
        <w:t xml:space="preserve">; the account of Albert of Aix states that it was over supply disputes and the culmination of a build-up of </w:t>
      </w:r>
      <w:r w:rsidR="005012EB">
        <w:t xml:space="preserve">problems </w:t>
      </w:r>
      <w:r w:rsidR="004E214C">
        <w:t>that involved skirmishes</w:t>
      </w:r>
      <w:r w:rsidR="0008410E">
        <w:t>—</w:t>
      </w:r>
      <w:r w:rsidR="004E214C">
        <w:t>s</w:t>
      </w:r>
      <w:r w:rsidR="0008410E">
        <w:t>o</w:t>
      </w:r>
      <w:r w:rsidR="004E214C">
        <w:t xml:space="preserve">me ordered by </w:t>
      </w:r>
      <w:r w:rsidR="004E214C" w:rsidRPr="00824FF2">
        <w:t xml:space="preserve">the </w:t>
      </w:r>
      <w:r w:rsidR="0008410E" w:rsidRPr="00824FF2">
        <w:t>Emperor</w:t>
      </w:r>
      <w:r w:rsidR="0008410E">
        <w:t>. However,</w:t>
      </w:r>
      <w:r w:rsidR="005012EB">
        <w:t xml:space="preserve"> Comnena</w:t>
      </w:r>
      <w:r w:rsidR="0008410E">
        <w:t>’s account</w:t>
      </w:r>
      <w:r w:rsidR="005012EB">
        <w:t xml:space="preserve"> </w:t>
      </w:r>
      <w:r w:rsidR="005012EB" w:rsidRPr="00FF7C22">
        <w:rPr>
          <w:rFonts w:cstheme="minorHAnsi"/>
        </w:rPr>
        <w:t xml:space="preserve">states that </w:t>
      </w:r>
      <w:r w:rsidR="00A43CED" w:rsidRPr="00FF7C22">
        <w:rPr>
          <w:rFonts w:cstheme="minorHAnsi"/>
        </w:rPr>
        <w:t>“[…]</w:t>
      </w:r>
      <w:r w:rsidR="0052567D">
        <w:rPr>
          <w:rFonts w:cstheme="minorHAnsi"/>
        </w:rPr>
        <w:t xml:space="preserve"> </w:t>
      </w:r>
      <w:r w:rsidR="00A43CED" w:rsidRPr="00FF7C22">
        <w:rPr>
          <w:rFonts w:cstheme="minorHAnsi"/>
          <w:color w:val="000000"/>
        </w:rPr>
        <w:t>there was reported to these people the false rumor that the counts had been taken into custody at the Emperor's command.”</w:t>
      </w:r>
      <w:r w:rsidR="00B80A42" w:rsidRPr="00FF7C22">
        <w:rPr>
          <w:rStyle w:val="FootnoteReference"/>
          <w:rFonts w:cstheme="minorHAnsi"/>
          <w:color w:val="000000"/>
        </w:rPr>
        <w:footnoteReference w:id="1"/>
      </w:r>
      <w:r w:rsidR="00C8207D">
        <w:rPr>
          <w:rFonts w:cstheme="minorHAnsi"/>
          <w:color w:val="000000"/>
        </w:rPr>
        <w:t xml:space="preserve"> Between these and other accounts we can deduce something of what happened at the time. This </w:t>
      </w:r>
      <w:r w:rsidR="00832C50">
        <w:rPr>
          <w:rFonts w:cstheme="minorHAnsi"/>
          <w:color w:val="000000"/>
        </w:rPr>
        <w:t xml:space="preserve">appraisal will be focused on the </w:t>
      </w:r>
      <w:r w:rsidR="00B65369">
        <w:rPr>
          <w:rFonts w:cstheme="minorHAnsi"/>
          <w:color w:val="000000"/>
        </w:rPr>
        <w:t xml:space="preserve">events of </w:t>
      </w:r>
      <w:r w:rsidR="0034577F">
        <w:rPr>
          <w:rFonts w:cstheme="minorHAnsi"/>
          <w:color w:val="000000"/>
        </w:rPr>
        <w:t>Godfrey</w:t>
      </w:r>
      <w:r w:rsidR="00B65369">
        <w:rPr>
          <w:rFonts w:cstheme="minorHAnsi"/>
          <w:color w:val="000000"/>
        </w:rPr>
        <w:t xml:space="preserve"> of Bouillon</w:t>
      </w:r>
      <w:r w:rsidR="00233D3A">
        <w:rPr>
          <w:rFonts w:cstheme="minorHAnsi"/>
          <w:color w:val="000000"/>
        </w:rPr>
        <w:t>’s</w:t>
      </w:r>
      <w:r w:rsidR="00B65369">
        <w:rPr>
          <w:rFonts w:cstheme="minorHAnsi"/>
          <w:color w:val="000000"/>
        </w:rPr>
        <w:t xml:space="preserve"> time in Constantinople as recorded by the Gesta Francorum, The Alexiad</w:t>
      </w:r>
      <w:r w:rsidR="00C5212B">
        <w:rPr>
          <w:rFonts w:cstheme="minorHAnsi"/>
          <w:color w:val="000000"/>
        </w:rPr>
        <w:t xml:space="preserve"> and the accounts of Albert of Aix.</w:t>
      </w:r>
    </w:p>
    <w:p w14:paraId="3449E3C0" w14:textId="0D5C57C0" w:rsidR="007C0926" w:rsidRDefault="002507BB" w:rsidP="00BD46DE">
      <w:pPr>
        <w:rPr>
          <w:rFonts w:cstheme="minorHAnsi"/>
          <w:color w:val="000000"/>
        </w:rPr>
      </w:pPr>
      <w:r>
        <w:rPr>
          <w:rFonts w:cstheme="minorHAnsi"/>
        </w:rPr>
        <w:tab/>
      </w:r>
      <w:r w:rsidR="007F3073">
        <w:rPr>
          <w:rFonts w:cstheme="minorHAnsi"/>
        </w:rPr>
        <w:t xml:space="preserve">One of the things the accounts all agree on concerning the Crusaders arrival at Constantinople is that </w:t>
      </w:r>
      <w:r w:rsidR="0034577F">
        <w:rPr>
          <w:rFonts w:cstheme="minorHAnsi"/>
        </w:rPr>
        <w:t>Godfrey</w:t>
      </w:r>
      <w:r w:rsidR="007F3073">
        <w:rPr>
          <w:rFonts w:cstheme="minorHAnsi"/>
        </w:rPr>
        <w:t xml:space="preserve"> of Bouillon was the first to arrive. </w:t>
      </w:r>
      <w:r w:rsidR="002940B4">
        <w:rPr>
          <w:rFonts w:cstheme="minorHAnsi"/>
        </w:rPr>
        <w:t xml:space="preserve">A simple </w:t>
      </w:r>
      <w:r w:rsidR="00482533">
        <w:rPr>
          <w:rFonts w:cstheme="minorHAnsi"/>
        </w:rPr>
        <w:t>statement though this is, the accounts</w:t>
      </w:r>
      <w:r w:rsidR="002E4363">
        <w:rPr>
          <w:rFonts w:cstheme="minorHAnsi"/>
        </w:rPr>
        <w:t xml:space="preserve"> once</w:t>
      </w:r>
      <w:r w:rsidR="00482533">
        <w:rPr>
          <w:rFonts w:cstheme="minorHAnsi"/>
        </w:rPr>
        <w:t xml:space="preserve"> again differ in how they present this information. The Gesta Francorum </w:t>
      </w:r>
      <w:r w:rsidR="00E34623">
        <w:rPr>
          <w:rFonts w:cstheme="minorHAnsi"/>
        </w:rPr>
        <w:t>is quite specific about when</w:t>
      </w:r>
      <w:r w:rsidR="006B27D9">
        <w:rPr>
          <w:rFonts w:cstheme="minorHAnsi"/>
        </w:rPr>
        <w:t>,</w:t>
      </w:r>
      <w:r w:rsidR="00E34623" w:rsidRPr="00C547A1">
        <w:rPr>
          <w:rFonts w:cstheme="minorHAnsi"/>
        </w:rPr>
        <w:t xml:space="preserve"> </w:t>
      </w:r>
      <w:r w:rsidR="009712EE" w:rsidRPr="00C547A1">
        <w:rPr>
          <w:rFonts w:cstheme="minorHAnsi"/>
        </w:rPr>
        <w:t>stating</w:t>
      </w:r>
      <w:r w:rsidR="00C547A1">
        <w:rPr>
          <w:rFonts w:cstheme="minorHAnsi"/>
        </w:rPr>
        <w:t>,</w:t>
      </w:r>
      <w:r w:rsidR="009712EE" w:rsidRPr="00C547A1">
        <w:rPr>
          <w:rFonts w:cstheme="minorHAnsi"/>
        </w:rPr>
        <w:t xml:space="preserve"> </w:t>
      </w:r>
      <w:r w:rsidR="00C547A1">
        <w:rPr>
          <w:rFonts w:cstheme="minorHAnsi"/>
        </w:rPr>
        <w:t>“</w:t>
      </w:r>
      <w:r w:rsidR="00C547A1" w:rsidRPr="00C547A1">
        <w:rPr>
          <w:rFonts w:cstheme="minorHAnsi"/>
          <w:color w:val="000000"/>
        </w:rPr>
        <w:t>He arrived two days before the Nativity of Our Lord and camped outside the city</w:t>
      </w:r>
      <w:r w:rsidR="00BD74C5">
        <w:rPr>
          <w:rFonts w:cstheme="minorHAnsi"/>
          <w:color w:val="000000"/>
        </w:rPr>
        <w:t xml:space="preserve"> </w:t>
      </w:r>
      <w:bookmarkStart w:id="0" w:name="_GoBack"/>
      <w:bookmarkEnd w:id="0"/>
      <w:r w:rsidR="00BF1CC8">
        <w:rPr>
          <w:rFonts w:cstheme="minorHAnsi"/>
          <w:color w:val="000000"/>
        </w:rPr>
        <w:t>[…]</w:t>
      </w:r>
      <w:r w:rsidR="00C547A1">
        <w:rPr>
          <w:rFonts w:cstheme="minorHAnsi"/>
          <w:color w:val="000000"/>
        </w:rPr>
        <w:t>”</w:t>
      </w:r>
      <w:r w:rsidR="000650E7">
        <w:rPr>
          <w:rStyle w:val="FootnoteReference"/>
          <w:rFonts w:cstheme="minorHAnsi"/>
        </w:rPr>
        <w:footnoteReference w:id="2"/>
      </w:r>
      <w:r w:rsidR="00BF1CC8">
        <w:rPr>
          <w:rFonts w:cstheme="minorHAnsi"/>
          <w:color w:val="000000"/>
        </w:rPr>
        <w:t>.</w:t>
      </w:r>
      <w:r w:rsidR="002670D7">
        <w:rPr>
          <w:rFonts w:cstheme="minorHAnsi"/>
          <w:color w:val="000000"/>
        </w:rPr>
        <w:t xml:space="preserve"> </w:t>
      </w:r>
      <w:r w:rsidR="00E14F08">
        <w:rPr>
          <w:rFonts w:cstheme="minorHAnsi"/>
          <w:color w:val="000000"/>
        </w:rPr>
        <w:t>Albert of Aix and Anna Comnena both, however, just say that he arrived with a large host and set up camp</w:t>
      </w:r>
      <w:r w:rsidR="00AB0140">
        <w:rPr>
          <w:rFonts w:cstheme="minorHAnsi"/>
          <w:color w:val="000000"/>
        </w:rPr>
        <w:t xml:space="preserve"> although they do each provide details that the other does not</w:t>
      </w:r>
      <w:r w:rsidR="00E50B17">
        <w:rPr>
          <w:rFonts w:cstheme="minorHAnsi"/>
          <w:color w:val="000000"/>
        </w:rPr>
        <w:t xml:space="preserve">, </w:t>
      </w:r>
      <w:r w:rsidR="001C32DC">
        <w:rPr>
          <w:rFonts w:cstheme="minorHAnsi"/>
          <w:color w:val="000000"/>
        </w:rPr>
        <w:t xml:space="preserve">even if they may present </w:t>
      </w:r>
      <w:r w:rsidR="00425FD8">
        <w:rPr>
          <w:rFonts w:cstheme="minorHAnsi"/>
          <w:color w:val="000000"/>
        </w:rPr>
        <w:t>the information differently</w:t>
      </w:r>
      <w:r w:rsidR="00AB0140">
        <w:rPr>
          <w:rFonts w:cstheme="minorHAnsi"/>
          <w:color w:val="000000"/>
        </w:rPr>
        <w:t>. Comnena</w:t>
      </w:r>
      <w:r w:rsidR="001C32DC">
        <w:rPr>
          <w:rFonts w:cstheme="minorHAnsi"/>
          <w:color w:val="000000"/>
        </w:rPr>
        <w:t xml:space="preserve">, for instance, </w:t>
      </w:r>
      <w:r w:rsidR="00E50B17">
        <w:rPr>
          <w:rFonts w:cstheme="minorHAnsi"/>
          <w:color w:val="000000"/>
        </w:rPr>
        <w:t xml:space="preserve">is quite specific with how many had arrived with </w:t>
      </w:r>
      <w:r w:rsidR="0034577F">
        <w:rPr>
          <w:rFonts w:cstheme="minorHAnsi"/>
          <w:color w:val="000000"/>
        </w:rPr>
        <w:t>Godfrey</w:t>
      </w:r>
      <w:r w:rsidR="00E50B17">
        <w:rPr>
          <w:rFonts w:cstheme="minorHAnsi"/>
          <w:color w:val="000000"/>
        </w:rPr>
        <w:t xml:space="preserve"> and </w:t>
      </w:r>
      <w:r w:rsidR="00382368">
        <w:rPr>
          <w:rFonts w:cstheme="minorHAnsi"/>
          <w:color w:val="000000"/>
        </w:rPr>
        <w:t>where he made camp, referring to “</w:t>
      </w:r>
      <w:r w:rsidR="007C431D">
        <w:rPr>
          <w:rFonts w:cstheme="minorHAnsi"/>
          <w:color w:val="000000"/>
        </w:rPr>
        <w:t xml:space="preserve">[…] </w:t>
      </w:r>
      <w:r w:rsidR="00382368" w:rsidRPr="00382368">
        <w:rPr>
          <w:rFonts w:cstheme="minorHAnsi"/>
          <w:color w:val="000000"/>
        </w:rPr>
        <w:t>the bridge which was opposite Cosmidion up to St. Phocas</w:t>
      </w:r>
      <w:r w:rsidR="00382368">
        <w:rPr>
          <w:rFonts w:cstheme="minorHAnsi"/>
          <w:color w:val="000000"/>
        </w:rPr>
        <w:t>”</w:t>
      </w:r>
      <w:r w:rsidR="00373049">
        <w:rPr>
          <w:rStyle w:val="FootnoteReference"/>
          <w:rFonts w:cstheme="minorHAnsi"/>
          <w:color w:val="000000"/>
        </w:rPr>
        <w:footnoteReference w:id="3"/>
      </w:r>
      <w:r w:rsidR="007C431D">
        <w:rPr>
          <w:rFonts w:cstheme="minorHAnsi"/>
          <w:color w:val="000000"/>
        </w:rPr>
        <w:t>.</w:t>
      </w:r>
      <w:r w:rsidR="00B75956">
        <w:rPr>
          <w:rFonts w:cstheme="minorHAnsi"/>
          <w:color w:val="000000"/>
        </w:rPr>
        <w:t xml:space="preserve"> Albert, however, </w:t>
      </w:r>
      <w:r w:rsidR="00AA15F7">
        <w:rPr>
          <w:rFonts w:cstheme="minorHAnsi"/>
          <w:color w:val="000000"/>
        </w:rPr>
        <w:t xml:space="preserve">describes an account of the release of hostages by the Emperor </w:t>
      </w:r>
      <w:r w:rsidR="00622020">
        <w:rPr>
          <w:rFonts w:cstheme="minorHAnsi"/>
          <w:color w:val="000000"/>
        </w:rPr>
        <w:t>that both the Gesta Francorum and The Alexiad both omit</w:t>
      </w:r>
      <w:r w:rsidR="001956FF">
        <w:rPr>
          <w:rFonts w:cstheme="minorHAnsi"/>
          <w:color w:val="000000"/>
        </w:rPr>
        <w:t xml:space="preserve"> and soon after details an invitation that the Emperor sent to </w:t>
      </w:r>
      <w:r w:rsidR="0034577F">
        <w:rPr>
          <w:rFonts w:cstheme="minorHAnsi"/>
          <w:color w:val="000000"/>
        </w:rPr>
        <w:t>Godfrey</w:t>
      </w:r>
      <w:r w:rsidR="00BC0AEF">
        <w:rPr>
          <w:rFonts w:cstheme="minorHAnsi"/>
          <w:color w:val="000000"/>
        </w:rPr>
        <w:t xml:space="preserve"> to talk over the matter of the Crusade and their movement through Byzantium. </w:t>
      </w:r>
      <w:r w:rsidR="0016471F">
        <w:rPr>
          <w:rFonts w:cstheme="minorHAnsi"/>
          <w:color w:val="000000"/>
        </w:rPr>
        <w:t xml:space="preserve">Again, the </w:t>
      </w:r>
      <w:r w:rsidR="00A0511B">
        <w:rPr>
          <w:rFonts w:cstheme="minorHAnsi"/>
          <w:color w:val="000000"/>
        </w:rPr>
        <w:t xml:space="preserve">later </w:t>
      </w:r>
      <w:r w:rsidR="0016471F">
        <w:rPr>
          <w:rFonts w:cstheme="minorHAnsi"/>
          <w:color w:val="000000"/>
        </w:rPr>
        <w:t xml:space="preserve">events in Albert of Aix’s account are not </w:t>
      </w:r>
      <w:r w:rsidR="00A0511B">
        <w:rPr>
          <w:rFonts w:cstheme="minorHAnsi"/>
          <w:color w:val="000000"/>
        </w:rPr>
        <w:t>included in the Gesta and Alexiad</w:t>
      </w:r>
      <w:r w:rsidR="002070FE">
        <w:rPr>
          <w:rFonts w:cstheme="minorHAnsi"/>
          <w:color w:val="000000"/>
        </w:rPr>
        <w:t>. They are, however,</w:t>
      </w:r>
      <w:r w:rsidR="007C0926">
        <w:rPr>
          <w:rFonts w:cstheme="minorHAnsi"/>
          <w:color w:val="000000"/>
        </w:rPr>
        <w:t xml:space="preserve"> important to the narrative that he constructs</w:t>
      </w:r>
      <w:r w:rsidR="00772D95">
        <w:rPr>
          <w:rFonts w:cstheme="minorHAnsi"/>
          <w:color w:val="000000"/>
        </w:rPr>
        <w:t>:</w:t>
      </w:r>
    </w:p>
    <w:p w14:paraId="51A8B5FD" w14:textId="41436C6A" w:rsidR="002507BB" w:rsidRDefault="00A0511B" w:rsidP="007C0926">
      <w:pPr>
        <w:jc w:val="center"/>
        <w:rPr>
          <w:rFonts w:cstheme="minorHAnsi"/>
          <w:color w:val="000000"/>
        </w:rPr>
      </w:pPr>
      <w:r>
        <w:rPr>
          <w:rFonts w:cstheme="minorHAnsi"/>
          <w:color w:val="000000"/>
        </w:rPr>
        <w:t>“</w:t>
      </w:r>
      <w:r w:rsidR="007C0926">
        <w:rPr>
          <w:rFonts w:cstheme="minorHAnsi"/>
          <w:color w:val="000000"/>
        </w:rPr>
        <w:t xml:space="preserve">[…] </w:t>
      </w:r>
      <w:r w:rsidRPr="00A0511B">
        <w:rPr>
          <w:rFonts w:cstheme="minorHAnsi"/>
          <w:color w:val="000000"/>
        </w:rPr>
        <w:t>some strangers from the land of the Franks appeared by stealth in his camp</w:t>
      </w:r>
      <w:r w:rsidR="00616DC0">
        <w:rPr>
          <w:rFonts w:cstheme="minorHAnsi"/>
          <w:color w:val="000000"/>
        </w:rPr>
        <w:t xml:space="preserve">. </w:t>
      </w:r>
      <w:r w:rsidR="007C0926" w:rsidRPr="007C0926">
        <w:rPr>
          <w:rFonts w:cstheme="minorHAnsi"/>
          <w:color w:val="000000"/>
        </w:rPr>
        <w:t>The strangers cautioned the Duke very strongly to beware of the wiles and alluring appearance of the Emperor, and by no means to go to the Emperor because of some flattering promise, but to sit outside the</w:t>
      </w:r>
      <w:r w:rsidR="00A81236">
        <w:rPr>
          <w:rFonts w:cstheme="minorHAnsi"/>
          <w:color w:val="000000"/>
        </w:rPr>
        <w:t xml:space="preserve"> </w:t>
      </w:r>
      <w:r w:rsidR="007C0926" w:rsidRPr="007C0926">
        <w:rPr>
          <w:rFonts w:cstheme="minorHAnsi"/>
          <w:color w:val="000000"/>
        </w:rPr>
        <w:lastRenderedPageBreak/>
        <w:t>walls and listen carefully to all which the Emperor should propose to him. Thereupon, the Duke, so warned by the strangers, and caught by the deception of the Greeks, did not go to the Emperor.</w:t>
      </w:r>
      <w:r>
        <w:rPr>
          <w:rFonts w:cstheme="minorHAnsi"/>
          <w:color w:val="000000"/>
        </w:rPr>
        <w:t>”</w:t>
      </w:r>
      <w:r w:rsidR="000A2997">
        <w:rPr>
          <w:rStyle w:val="FootnoteReference"/>
          <w:rFonts w:cstheme="minorHAnsi"/>
          <w:color w:val="000000"/>
        </w:rPr>
        <w:footnoteReference w:id="4"/>
      </w:r>
    </w:p>
    <w:p w14:paraId="0D17EC8D" w14:textId="77777777" w:rsidR="0091461E" w:rsidRDefault="00772D95" w:rsidP="0091461E">
      <w:pPr>
        <w:rPr>
          <w:rFonts w:cstheme="minorHAnsi"/>
        </w:rPr>
      </w:pPr>
      <w:r>
        <w:rPr>
          <w:rFonts w:cstheme="minorHAnsi"/>
        </w:rPr>
        <w:t>Why these details are included in Albert</w:t>
      </w:r>
      <w:r w:rsidR="004C68EC">
        <w:rPr>
          <w:rFonts w:cstheme="minorHAnsi"/>
        </w:rPr>
        <w:t>’s account</w:t>
      </w:r>
      <w:r w:rsidR="00A954FE">
        <w:rPr>
          <w:rFonts w:cstheme="minorHAnsi"/>
        </w:rPr>
        <w:t>,</w:t>
      </w:r>
      <w:r w:rsidR="004C68EC">
        <w:rPr>
          <w:rFonts w:cstheme="minorHAnsi"/>
        </w:rPr>
        <w:t xml:space="preserve"> </w:t>
      </w:r>
      <w:r w:rsidR="007A5C23">
        <w:rPr>
          <w:rFonts w:cstheme="minorHAnsi"/>
        </w:rPr>
        <w:t>but not those of the Gesta Francorum or The Alexiad is easy enough to explain; all these accounts are written from the perspective of those people who were either there or researching the sources they had available to them or</w:t>
      </w:r>
      <w:r w:rsidR="007820B3">
        <w:rPr>
          <w:rFonts w:cstheme="minorHAnsi"/>
        </w:rPr>
        <w:t xml:space="preserve"> were</w:t>
      </w:r>
      <w:r w:rsidR="007A5C23">
        <w:rPr>
          <w:rFonts w:cstheme="minorHAnsi"/>
        </w:rPr>
        <w:t xml:space="preserve"> consistent with the agenda that they were p</w:t>
      </w:r>
      <w:r w:rsidR="00C54B5E">
        <w:rPr>
          <w:rFonts w:cstheme="minorHAnsi"/>
        </w:rPr>
        <w:t>u</w:t>
      </w:r>
      <w:r w:rsidR="007A5C23">
        <w:rPr>
          <w:rFonts w:cstheme="minorHAnsi"/>
        </w:rPr>
        <w:t>rsuing</w:t>
      </w:r>
      <w:r w:rsidR="00995A67">
        <w:rPr>
          <w:rFonts w:cstheme="minorHAnsi"/>
        </w:rPr>
        <w:t xml:space="preserve"> (itself influenced by the politic</w:t>
      </w:r>
      <w:r w:rsidR="0028206A">
        <w:rPr>
          <w:rFonts w:cstheme="minorHAnsi"/>
        </w:rPr>
        <w:t>s of the era</w:t>
      </w:r>
      <w:r w:rsidR="00995A67">
        <w:rPr>
          <w:rFonts w:cstheme="minorHAnsi"/>
        </w:rPr>
        <w:t>)</w:t>
      </w:r>
      <w:r w:rsidR="00C54B5E">
        <w:rPr>
          <w:rFonts w:cstheme="minorHAnsi"/>
        </w:rPr>
        <w:t xml:space="preserve"> or what they considered relevant.</w:t>
      </w:r>
      <w:r w:rsidR="00A379B1">
        <w:rPr>
          <w:rFonts w:cstheme="minorHAnsi"/>
        </w:rPr>
        <w:t xml:space="preserve"> </w:t>
      </w:r>
      <w:r w:rsidR="00D37B04">
        <w:rPr>
          <w:rFonts w:cstheme="minorHAnsi"/>
        </w:rPr>
        <w:t xml:space="preserve">Albert had written his account from eyewitness descriptions of the events and </w:t>
      </w:r>
      <w:r w:rsidR="009E47D0">
        <w:rPr>
          <w:rFonts w:cstheme="minorHAnsi"/>
        </w:rPr>
        <w:t xml:space="preserve">what </w:t>
      </w:r>
      <w:r w:rsidR="00573649">
        <w:rPr>
          <w:rFonts w:cstheme="minorHAnsi"/>
        </w:rPr>
        <w:t xml:space="preserve">written accounts had survived and were available </w:t>
      </w:r>
      <w:r w:rsidR="00573649" w:rsidRPr="00573649">
        <w:rPr>
          <w:rFonts w:cstheme="minorHAnsi"/>
        </w:rPr>
        <w:t>to him</w:t>
      </w:r>
      <w:r w:rsidR="00573649">
        <w:rPr>
          <w:rFonts w:cstheme="minorHAnsi"/>
        </w:rPr>
        <w:t xml:space="preserve">. </w:t>
      </w:r>
      <w:r w:rsidR="00D21112">
        <w:rPr>
          <w:rFonts w:cstheme="minorHAnsi"/>
        </w:rPr>
        <w:t>The unknown author of the Gesta Francorum, however, was</w:t>
      </w:r>
      <w:r w:rsidR="00CF2C34">
        <w:rPr>
          <w:rFonts w:cstheme="minorHAnsi"/>
        </w:rPr>
        <w:t xml:space="preserve"> writing an account of the whole Crusade from Pope Urban II’s </w:t>
      </w:r>
      <w:r w:rsidR="00686150">
        <w:rPr>
          <w:rFonts w:cstheme="minorHAnsi"/>
        </w:rPr>
        <w:t xml:space="preserve">speech at Clermont </w:t>
      </w:r>
      <w:r w:rsidR="005A00AF">
        <w:rPr>
          <w:rFonts w:cstheme="minorHAnsi"/>
        </w:rPr>
        <w:t>to the Capture of Jerusalem</w:t>
      </w:r>
      <w:r w:rsidR="00C9465C">
        <w:rPr>
          <w:rFonts w:cstheme="minorHAnsi"/>
        </w:rPr>
        <w:t xml:space="preserve">, most likely </w:t>
      </w:r>
      <w:r w:rsidR="00DC4EF8">
        <w:rPr>
          <w:rFonts w:cstheme="minorHAnsi"/>
        </w:rPr>
        <w:t>as a first-hand account</w:t>
      </w:r>
      <w:r w:rsidR="006A56E1">
        <w:rPr>
          <w:rFonts w:cstheme="minorHAnsi"/>
        </w:rPr>
        <w:t>,</w:t>
      </w:r>
      <w:r w:rsidR="00DC4EF8">
        <w:rPr>
          <w:rFonts w:cstheme="minorHAnsi"/>
        </w:rPr>
        <w:t xml:space="preserve"> </w:t>
      </w:r>
      <w:r w:rsidR="006A56E1">
        <w:rPr>
          <w:rFonts w:cstheme="minorHAnsi"/>
        </w:rPr>
        <w:t>based on the more subtle turns of phrase one can find in the document (such as,</w:t>
      </w:r>
      <w:r w:rsidR="005B06E1">
        <w:rPr>
          <w:rFonts w:cstheme="minorHAnsi"/>
        </w:rPr>
        <w:t xml:space="preserve"> “</w:t>
      </w:r>
      <w:r w:rsidR="005B06E1" w:rsidRPr="004F6F15">
        <w:rPr>
          <w:rFonts w:cstheme="minorHAnsi"/>
          <w:i/>
        </w:rPr>
        <w:t>we</w:t>
      </w:r>
      <w:r w:rsidR="005B06E1" w:rsidRPr="005B06E1">
        <w:rPr>
          <w:rFonts w:cstheme="minorHAnsi"/>
        </w:rPr>
        <w:t xml:space="preserve"> journeyed through great plenty from villa to villa</w:t>
      </w:r>
      <w:r w:rsidR="004F6F15">
        <w:rPr>
          <w:rFonts w:cstheme="minorHAnsi"/>
        </w:rPr>
        <w:t>,”</w:t>
      </w:r>
      <w:r w:rsidR="00A26A41">
        <w:rPr>
          <w:rStyle w:val="FootnoteReference"/>
          <w:rFonts w:cstheme="minorHAnsi"/>
        </w:rPr>
        <w:footnoteReference w:id="5"/>
      </w:r>
      <w:r w:rsidR="004F6F15">
        <w:rPr>
          <w:rFonts w:cstheme="minorHAnsi"/>
        </w:rPr>
        <w:t xml:space="preserve"> and</w:t>
      </w:r>
      <w:r w:rsidR="006A56E1">
        <w:rPr>
          <w:rFonts w:cstheme="minorHAnsi"/>
        </w:rPr>
        <w:t xml:space="preserve"> “</w:t>
      </w:r>
      <w:r w:rsidR="006A56E1" w:rsidRPr="006A56E1">
        <w:rPr>
          <w:rFonts w:cstheme="minorHAnsi"/>
          <w:i/>
        </w:rPr>
        <w:t>we</w:t>
      </w:r>
      <w:r w:rsidR="006A56E1" w:rsidRPr="006A56E1">
        <w:rPr>
          <w:rFonts w:cstheme="minorHAnsi"/>
        </w:rPr>
        <w:t xml:space="preserve"> came to Nic</w:t>
      </w:r>
      <w:r w:rsidR="00D12978">
        <w:rPr>
          <w:rFonts w:cstheme="minorHAnsi"/>
        </w:rPr>
        <w:t>a</w:t>
      </w:r>
      <w:r w:rsidR="006A56E1" w:rsidRPr="006A56E1">
        <w:rPr>
          <w:rFonts w:cstheme="minorHAnsi"/>
        </w:rPr>
        <w:t>ea</w:t>
      </w:r>
      <w:r w:rsidR="006A56E1">
        <w:rPr>
          <w:rFonts w:cstheme="minorHAnsi"/>
        </w:rPr>
        <w:t>”</w:t>
      </w:r>
      <w:r w:rsidR="004F6F15" w:rsidRPr="004F6F15">
        <w:t xml:space="preserve"> </w:t>
      </w:r>
      <w:r w:rsidR="004F6F15" w:rsidRPr="004F6F15">
        <w:rPr>
          <w:rFonts w:cstheme="minorHAnsi"/>
        </w:rPr>
        <w:t>[emphasis adde</w:t>
      </w:r>
      <w:r w:rsidR="00E71C86">
        <w:rPr>
          <w:rFonts w:cstheme="minorHAnsi"/>
        </w:rPr>
        <w:t>d</w:t>
      </w:r>
      <w:r w:rsidR="004F6F15" w:rsidRPr="004F6F15">
        <w:rPr>
          <w:rFonts w:cstheme="minorHAnsi"/>
        </w:rPr>
        <w:t>]</w:t>
      </w:r>
      <w:r w:rsidR="004C0B8C">
        <w:rPr>
          <w:rStyle w:val="FootnoteReference"/>
          <w:rFonts w:cstheme="minorHAnsi"/>
        </w:rPr>
        <w:footnoteReference w:id="6"/>
      </w:r>
      <w:r w:rsidR="006A56E1">
        <w:rPr>
          <w:rFonts w:cstheme="minorHAnsi"/>
        </w:rPr>
        <w:t>)</w:t>
      </w:r>
      <w:r w:rsidR="00221FE8">
        <w:rPr>
          <w:rFonts w:cstheme="minorHAnsi"/>
        </w:rPr>
        <w:t>.</w:t>
      </w:r>
      <w:r w:rsidR="00994925">
        <w:rPr>
          <w:rFonts w:cstheme="minorHAnsi"/>
        </w:rPr>
        <w:t xml:space="preserve"> </w:t>
      </w:r>
      <w:r w:rsidR="00D12978">
        <w:rPr>
          <w:rFonts w:cstheme="minorHAnsi"/>
        </w:rPr>
        <w:t>Anna Comnena, on the other hand, places the emphasis of her account o</w:t>
      </w:r>
      <w:r w:rsidR="000F036C">
        <w:rPr>
          <w:rFonts w:cstheme="minorHAnsi"/>
        </w:rPr>
        <w:t>f the Crusaders’ arrival on the number</w:t>
      </w:r>
      <w:r w:rsidR="006820DC">
        <w:rPr>
          <w:rFonts w:cstheme="minorHAnsi"/>
        </w:rPr>
        <w:t xml:space="preserve"> of soldiers and how the Emperor, “</w:t>
      </w:r>
      <w:r w:rsidR="006820DC" w:rsidRPr="006820DC">
        <w:rPr>
          <w:rFonts w:cstheme="minorHAnsi"/>
        </w:rPr>
        <w:t>urged him to cross the strait of the Propontis</w:t>
      </w:r>
      <w:r w:rsidR="006820DC">
        <w:rPr>
          <w:rFonts w:cstheme="minorHAnsi"/>
        </w:rPr>
        <w:t>”</w:t>
      </w:r>
      <w:r w:rsidR="006820DC">
        <w:rPr>
          <w:rStyle w:val="FootnoteReference"/>
          <w:rFonts w:cstheme="minorHAnsi"/>
        </w:rPr>
        <w:footnoteReference w:id="7"/>
      </w:r>
      <w:r w:rsidR="00557179">
        <w:rPr>
          <w:rFonts w:cstheme="minorHAnsi"/>
        </w:rPr>
        <w:t xml:space="preserve"> before </w:t>
      </w:r>
      <w:r w:rsidR="00BD583E">
        <w:rPr>
          <w:rFonts w:cstheme="minorHAnsi"/>
        </w:rPr>
        <w:t>asserting that</w:t>
      </w:r>
      <w:r w:rsidR="000556AB">
        <w:rPr>
          <w:rFonts w:cstheme="minorHAnsi"/>
        </w:rPr>
        <w:t xml:space="preserve"> </w:t>
      </w:r>
      <w:r w:rsidR="00557179">
        <w:rPr>
          <w:rFonts w:cstheme="minorHAnsi"/>
        </w:rPr>
        <w:t xml:space="preserve">Godfrey </w:t>
      </w:r>
      <w:r w:rsidR="00BD583E">
        <w:rPr>
          <w:rFonts w:cstheme="minorHAnsi"/>
        </w:rPr>
        <w:t>w</w:t>
      </w:r>
      <w:r w:rsidR="00557179">
        <w:rPr>
          <w:rFonts w:cstheme="minorHAnsi"/>
        </w:rPr>
        <w:t xml:space="preserve">as </w:t>
      </w:r>
      <w:r w:rsidR="00BD583E">
        <w:rPr>
          <w:rFonts w:cstheme="minorHAnsi"/>
        </w:rPr>
        <w:t>delaying his departure to await reinforcements from Bohemund</w:t>
      </w:r>
      <w:r w:rsidR="002D27C2">
        <w:rPr>
          <w:rFonts w:cstheme="minorHAnsi"/>
        </w:rPr>
        <w:t xml:space="preserve">, who she claims in no uncertain terms to have been inspired by the allure of plunder and territorial gain </w:t>
      </w:r>
      <w:r w:rsidR="00D47191">
        <w:rPr>
          <w:rFonts w:cstheme="minorHAnsi"/>
        </w:rPr>
        <w:t xml:space="preserve">for his part in the Crusade. </w:t>
      </w:r>
    </w:p>
    <w:p w14:paraId="05A6EE7D" w14:textId="7755CF79" w:rsidR="00772D95" w:rsidRDefault="00D47191" w:rsidP="0091461E">
      <w:pPr>
        <w:ind w:firstLine="720"/>
        <w:rPr>
          <w:rFonts w:cstheme="minorHAnsi"/>
        </w:rPr>
      </w:pPr>
      <w:r>
        <w:rPr>
          <w:rFonts w:cstheme="minorHAnsi"/>
        </w:rPr>
        <w:t xml:space="preserve">Of the remainder of these accounts of the Crusaders time in Constantinople, the Gesta Francorum says very little, </w:t>
      </w:r>
      <w:r w:rsidR="0048049A">
        <w:rPr>
          <w:rFonts w:cstheme="minorHAnsi"/>
        </w:rPr>
        <w:t xml:space="preserve">beyond effectively that the Emperor ordered some of his men to attack </w:t>
      </w:r>
      <w:r w:rsidR="0091461E">
        <w:rPr>
          <w:rFonts w:cstheme="minorHAnsi"/>
        </w:rPr>
        <w:t xml:space="preserve">some squires of Baldwin, brother of Godfrey, and </w:t>
      </w:r>
      <w:r w:rsidR="00F1001B">
        <w:rPr>
          <w:rFonts w:cstheme="minorHAnsi"/>
        </w:rPr>
        <w:t xml:space="preserve">that the result was a few skirmishes and as stand-off before the two factions came to a compromise. That there were violent disputes between the two sides </w:t>
      </w:r>
      <w:r w:rsidR="007D0F5F">
        <w:rPr>
          <w:rFonts w:cstheme="minorHAnsi"/>
        </w:rPr>
        <w:t xml:space="preserve">is confirmed by both Anna Comnena and Albert of Aix, however, each again tells it from their own perspective. </w:t>
      </w:r>
      <w:r w:rsidR="00E219FE">
        <w:rPr>
          <w:rFonts w:cstheme="minorHAnsi"/>
        </w:rPr>
        <w:t xml:space="preserve">Albert </w:t>
      </w:r>
      <w:r w:rsidR="000864AB">
        <w:rPr>
          <w:rFonts w:cstheme="minorHAnsi"/>
        </w:rPr>
        <w:t>asserts that the violence was a result of the Crusaders being attacked by archers who were enforcing an embargo ordered by the Emperor</w:t>
      </w:r>
      <w:r w:rsidR="00686B4B">
        <w:rPr>
          <w:rFonts w:cstheme="minorHAnsi"/>
        </w:rPr>
        <w:t xml:space="preserve"> and that the end result was an agreement by the two sides that the Byzantines would continue to supply the Crusaders</w:t>
      </w:r>
      <w:r w:rsidR="006D3BA0">
        <w:rPr>
          <w:rFonts w:cstheme="minorHAnsi"/>
        </w:rPr>
        <w:t>,</w:t>
      </w:r>
      <w:r w:rsidR="00686B4B">
        <w:rPr>
          <w:rFonts w:cstheme="minorHAnsi"/>
        </w:rPr>
        <w:t xml:space="preserve"> </w:t>
      </w:r>
      <w:r w:rsidR="006D3BA0">
        <w:rPr>
          <w:rFonts w:cstheme="minorHAnsi"/>
        </w:rPr>
        <w:t xml:space="preserve">although with continued difficulties and shortcomings in the execution of this arrangement. </w:t>
      </w:r>
      <w:r w:rsidR="007972C4">
        <w:rPr>
          <w:rFonts w:cstheme="minorHAnsi"/>
        </w:rPr>
        <w:t xml:space="preserve">Anna Comnena </w:t>
      </w:r>
      <w:r w:rsidR="00E553AB">
        <w:rPr>
          <w:rFonts w:cstheme="minorHAnsi"/>
        </w:rPr>
        <w:t xml:space="preserve">tells of how the Emperor ordered </w:t>
      </w:r>
      <w:r w:rsidR="005658C6">
        <w:rPr>
          <w:rFonts w:cstheme="minorHAnsi"/>
        </w:rPr>
        <w:t>an ambush to be set</w:t>
      </w:r>
      <w:r w:rsidR="00E553AB">
        <w:rPr>
          <w:rFonts w:cstheme="minorHAnsi"/>
        </w:rPr>
        <w:t xml:space="preserve"> in an attempt to prevent </w:t>
      </w:r>
      <w:r w:rsidR="005658C6">
        <w:rPr>
          <w:rFonts w:cstheme="minorHAnsi"/>
        </w:rPr>
        <w:t xml:space="preserve">the Crusaders </w:t>
      </w:r>
      <w:r w:rsidR="00E553AB">
        <w:rPr>
          <w:rFonts w:cstheme="minorHAnsi"/>
        </w:rPr>
        <w:t xml:space="preserve">from </w:t>
      </w:r>
      <w:r w:rsidR="005658C6">
        <w:rPr>
          <w:rFonts w:cstheme="minorHAnsi"/>
        </w:rPr>
        <w:t xml:space="preserve">communicating </w:t>
      </w:r>
      <w:r w:rsidR="00A53A60">
        <w:rPr>
          <w:rFonts w:cstheme="minorHAnsi"/>
        </w:rPr>
        <w:t xml:space="preserve">with those divisions that were yet to arrive </w:t>
      </w:r>
      <w:r w:rsidR="00591AF1">
        <w:rPr>
          <w:rFonts w:cstheme="minorHAnsi"/>
        </w:rPr>
        <w:t>on the basis of what we would think of today as national security</w:t>
      </w:r>
      <w:r w:rsidR="00C54353">
        <w:rPr>
          <w:rFonts w:cstheme="minorHAnsi"/>
        </w:rPr>
        <w:t>, as he had feared that they would attempt to take Constantinople</w:t>
      </w:r>
      <w:r w:rsidR="00591AF1">
        <w:rPr>
          <w:rFonts w:cstheme="minorHAnsi"/>
        </w:rPr>
        <w:t>.</w:t>
      </w:r>
      <w:r w:rsidR="00C54353">
        <w:rPr>
          <w:rFonts w:cstheme="minorHAnsi"/>
        </w:rPr>
        <w:t xml:space="preserve"> What both accounts do agree on is that </w:t>
      </w:r>
      <w:r w:rsidR="007D359F">
        <w:rPr>
          <w:rFonts w:cstheme="minorHAnsi"/>
        </w:rPr>
        <w:t xml:space="preserve">it was </w:t>
      </w:r>
      <w:r w:rsidR="00C54353">
        <w:rPr>
          <w:rFonts w:cstheme="minorHAnsi"/>
        </w:rPr>
        <w:t xml:space="preserve">the Emperor </w:t>
      </w:r>
      <w:r w:rsidR="007D359F">
        <w:rPr>
          <w:rFonts w:cstheme="minorHAnsi"/>
        </w:rPr>
        <w:t>who appealed for an end to the fighting</w:t>
      </w:r>
      <w:r w:rsidR="00200254">
        <w:rPr>
          <w:rFonts w:cstheme="minorHAnsi"/>
        </w:rPr>
        <w:t>—</w:t>
      </w:r>
      <w:r w:rsidR="007D359F">
        <w:rPr>
          <w:rFonts w:cstheme="minorHAnsi"/>
        </w:rPr>
        <w:t xml:space="preserve">although each </w:t>
      </w:r>
      <w:r w:rsidR="00A05E00">
        <w:rPr>
          <w:rFonts w:cstheme="minorHAnsi"/>
        </w:rPr>
        <w:t>presents</w:t>
      </w:r>
      <w:r w:rsidR="00200254">
        <w:rPr>
          <w:rFonts w:cstheme="minorHAnsi"/>
        </w:rPr>
        <w:t xml:space="preserve"> different reasons</w:t>
      </w:r>
      <w:r w:rsidR="009E5C31">
        <w:rPr>
          <w:rFonts w:cstheme="minorHAnsi"/>
        </w:rPr>
        <w:t>.</w:t>
      </w:r>
    </w:p>
    <w:p w14:paraId="3F884A71" w14:textId="68335476" w:rsidR="003976B7" w:rsidRDefault="00F71A85" w:rsidP="0091461E">
      <w:pPr>
        <w:ind w:firstLine="720"/>
        <w:rPr>
          <w:rFonts w:cstheme="minorHAnsi"/>
        </w:rPr>
      </w:pPr>
      <w:r>
        <w:rPr>
          <w:rFonts w:cstheme="minorHAnsi"/>
        </w:rPr>
        <w:t xml:space="preserve">From the Gesta Francorum, The Alexiad and the works of </w:t>
      </w:r>
      <w:r w:rsidR="00300C15">
        <w:rPr>
          <w:rFonts w:cstheme="minorHAnsi"/>
        </w:rPr>
        <w:t xml:space="preserve">Albert of Aix, we can learn much about what was said and believed about various peoples from the Middle Ages, even if this testimony is unwitting in nature. We know that there </w:t>
      </w:r>
      <w:r w:rsidR="00080AE5">
        <w:rPr>
          <w:rFonts w:cstheme="minorHAnsi"/>
        </w:rPr>
        <w:t>were violent disputes between the two sides and a great deal of distrust</w:t>
      </w:r>
      <w:r w:rsidR="009B6DF8">
        <w:rPr>
          <w:rFonts w:cstheme="minorHAnsi"/>
        </w:rPr>
        <w:t>. w</w:t>
      </w:r>
      <w:r w:rsidR="00080AE5">
        <w:rPr>
          <w:rFonts w:cstheme="minorHAnsi"/>
        </w:rPr>
        <w:t>e can</w:t>
      </w:r>
      <w:r w:rsidR="009B6DF8">
        <w:rPr>
          <w:rFonts w:cstheme="minorHAnsi"/>
        </w:rPr>
        <w:t xml:space="preserve"> also</w:t>
      </w:r>
      <w:r w:rsidR="00080AE5">
        <w:rPr>
          <w:rFonts w:cstheme="minorHAnsi"/>
        </w:rPr>
        <w:t xml:space="preserve"> learn </w:t>
      </w:r>
      <w:r w:rsidR="00772247">
        <w:rPr>
          <w:rFonts w:cstheme="minorHAnsi"/>
        </w:rPr>
        <w:t xml:space="preserve">something about the perceived attitudes and dispositions of those </w:t>
      </w:r>
      <w:r w:rsidR="009B6DF8">
        <w:rPr>
          <w:rFonts w:cstheme="minorHAnsi"/>
        </w:rPr>
        <w:t xml:space="preserve">individuals </w:t>
      </w:r>
      <w:r w:rsidR="00772247">
        <w:rPr>
          <w:rFonts w:cstheme="minorHAnsi"/>
        </w:rPr>
        <w:t>involved</w:t>
      </w:r>
      <w:r w:rsidR="009B6DF8">
        <w:rPr>
          <w:rFonts w:cstheme="minorHAnsi"/>
        </w:rPr>
        <w:t xml:space="preserve"> based on how they were described. </w:t>
      </w:r>
      <w:r w:rsidR="00C27ECC">
        <w:rPr>
          <w:rFonts w:cstheme="minorHAnsi"/>
        </w:rPr>
        <w:t>One thing that must never be forgotten is, however,</w:t>
      </w:r>
      <w:r w:rsidR="00FB7CD4">
        <w:rPr>
          <w:rFonts w:cstheme="minorHAnsi"/>
        </w:rPr>
        <w:t xml:space="preserve"> that</w:t>
      </w:r>
      <w:r w:rsidR="00C27ECC">
        <w:rPr>
          <w:rFonts w:cstheme="minorHAnsi"/>
        </w:rPr>
        <w:t xml:space="preserve"> these historians were writing primarily to justify </w:t>
      </w:r>
      <w:r w:rsidR="00FB7CD4">
        <w:rPr>
          <w:rFonts w:cstheme="minorHAnsi"/>
        </w:rPr>
        <w:t xml:space="preserve">a position or to </w:t>
      </w:r>
      <w:r w:rsidR="00FB7CD4">
        <w:rPr>
          <w:rFonts w:cstheme="minorHAnsi"/>
        </w:rPr>
        <w:lastRenderedPageBreak/>
        <w:t xml:space="preserve">support an undertaking, as much as to record </w:t>
      </w:r>
      <w:r w:rsidR="00422DE5">
        <w:rPr>
          <w:rFonts w:cstheme="minorHAnsi"/>
        </w:rPr>
        <w:t>the history of Godfrey of Bouillon’s time in Constantinople.</w:t>
      </w:r>
    </w:p>
    <w:p w14:paraId="0C7B2698" w14:textId="234A596D" w:rsidR="00CD1421" w:rsidRPr="00FF7C22" w:rsidRDefault="00CD1421" w:rsidP="00CD1421">
      <w:pPr>
        <w:rPr>
          <w:rFonts w:cstheme="minorHAnsi"/>
        </w:rPr>
      </w:pPr>
      <w:r>
        <w:rPr>
          <w:rFonts w:cstheme="minorHAnsi"/>
        </w:rPr>
        <w:t>Word Count 1,</w:t>
      </w:r>
      <w:r w:rsidRPr="00CD1421">
        <w:rPr>
          <w:rFonts w:cstheme="minorHAnsi"/>
        </w:rPr>
        <w:t>184</w:t>
      </w:r>
    </w:p>
    <w:sdt>
      <w:sdtPr>
        <w:id w:val="-2100856138"/>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6B845594" w14:textId="793DA307" w:rsidR="00CD1421" w:rsidRDefault="00CD1421">
          <w:pPr>
            <w:pStyle w:val="Heading1"/>
          </w:pPr>
          <w:r>
            <w:t>Bibliography</w:t>
          </w:r>
        </w:p>
        <w:sdt>
          <w:sdtPr>
            <w:id w:val="111145805"/>
            <w:bibliography/>
          </w:sdtPr>
          <w:sdtContent>
            <w:p w14:paraId="1070CD45" w14:textId="77777777" w:rsidR="00CD1421" w:rsidRDefault="00CD1421" w:rsidP="00CD1421">
              <w:pPr>
                <w:pStyle w:val="Bibliography"/>
                <w:ind w:left="720" w:hanging="720"/>
                <w:rPr>
                  <w:noProof/>
                  <w:sz w:val="24"/>
                  <w:szCs w:val="24"/>
                  <w:lang w:val="en-US"/>
                </w:rPr>
              </w:pPr>
              <w:r>
                <w:fldChar w:fldCharType="begin"/>
              </w:r>
              <w:r>
                <w:instrText xml:space="preserve"> BIBLIOGRAPHY </w:instrText>
              </w:r>
              <w:r>
                <w:fldChar w:fldCharType="separate"/>
              </w:r>
              <w:r>
                <w:rPr>
                  <w:i/>
                  <w:iCs/>
                  <w:noProof/>
                  <w:lang w:val="en-US"/>
                </w:rPr>
                <w:t>Albert of Aix: Historia Hierosolymita</w:t>
              </w:r>
              <w:r>
                <w:rPr>
                  <w:noProof/>
                  <w:lang w:val="en-US"/>
                </w:rPr>
                <w:t>. (n.d.). Retrieved 04 06, 2018, from Fordham University Medieval Sourcebook: https://sourcebooks.fordham.edu/Halsall/source/albert-cde.asp#godfrey1</w:t>
              </w:r>
            </w:p>
            <w:p w14:paraId="527F8E1B" w14:textId="77777777" w:rsidR="00CD1421" w:rsidRDefault="00CD1421" w:rsidP="00CD1421">
              <w:pPr>
                <w:pStyle w:val="Bibliography"/>
                <w:ind w:left="720" w:hanging="720"/>
                <w:rPr>
                  <w:noProof/>
                  <w:lang w:val="en-US"/>
                </w:rPr>
              </w:pPr>
              <w:r>
                <w:rPr>
                  <w:i/>
                  <w:iCs/>
                  <w:noProof/>
                  <w:lang w:val="en-US"/>
                </w:rPr>
                <w:t>Anna Comnena: The Alexiad: On the Crusades</w:t>
              </w:r>
              <w:r>
                <w:rPr>
                  <w:noProof/>
                  <w:lang w:val="en-US"/>
                </w:rPr>
                <w:t>. (n.d.). Retrieved 04 05, 2018, from Fordham University Medieval sourcebook: https://sourcebooks.fordham.edu/halsall/source/comnena-cde.asp#alex109</w:t>
              </w:r>
            </w:p>
            <w:p w14:paraId="027B8AF0" w14:textId="77777777" w:rsidR="00CD1421" w:rsidRDefault="00CD1421" w:rsidP="00CD1421">
              <w:pPr>
                <w:pStyle w:val="Bibliography"/>
                <w:ind w:left="720" w:hanging="720"/>
                <w:rPr>
                  <w:noProof/>
                  <w:lang w:val="en-US"/>
                </w:rPr>
              </w:pPr>
              <w:r>
                <w:rPr>
                  <w:i/>
                  <w:iCs/>
                  <w:noProof/>
                  <w:lang w:val="en-US"/>
                </w:rPr>
                <w:t>The Crusaders at Constantinople: Collected Accounts</w:t>
              </w:r>
              <w:r>
                <w:rPr>
                  <w:noProof/>
                  <w:lang w:val="en-US"/>
                </w:rPr>
                <w:t>. (n.d.). Retrieved from Fordham University Medieval Sourcebook: https://sourcebooks.fordham.edu/Halsall/source/cde-atcp.asp#anna2</w:t>
              </w:r>
            </w:p>
            <w:p w14:paraId="588DC698" w14:textId="77777777" w:rsidR="00CD1421" w:rsidRDefault="00CD1421" w:rsidP="00CD1421">
              <w:pPr>
                <w:pStyle w:val="Bibliography"/>
                <w:ind w:left="720" w:hanging="720"/>
                <w:rPr>
                  <w:noProof/>
                  <w:lang w:val="en-US"/>
                </w:rPr>
              </w:pPr>
              <w:r>
                <w:rPr>
                  <w:i/>
                  <w:iCs/>
                  <w:noProof/>
                  <w:lang w:val="en-US"/>
                </w:rPr>
                <w:t>The Crusaders Journey to Constantinople: Collected Accounts</w:t>
              </w:r>
              <w:r>
                <w:rPr>
                  <w:noProof/>
                  <w:lang w:val="en-US"/>
                </w:rPr>
                <w:t>. (n.d.). Retrieved 04 05, 2018, from Fordham University Medieval Sourcebook: https://sourcebooks.fordham.edu/Halsall/source/cde-tocp.asp#gesta2</w:t>
              </w:r>
            </w:p>
            <w:p w14:paraId="520891E8" w14:textId="77777777" w:rsidR="00CD1421" w:rsidRDefault="00CD1421" w:rsidP="00CD1421">
              <w:pPr>
                <w:pStyle w:val="Bibliography"/>
                <w:ind w:left="720" w:hanging="720"/>
                <w:rPr>
                  <w:noProof/>
                  <w:lang w:val="en-US"/>
                </w:rPr>
              </w:pPr>
              <w:r>
                <w:rPr>
                  <w:i/>
                  <w:iCs/>
                  <w:noProof/>
                  <w:lang w:val="en-US"/>
                </w:rPr>
                <w:t>The Siege and Capture of Antioch: Collected Accounts</w:t>
              </w:r>
              <w:r>
                <w:rPr>
                  <w:noProof/>
                  <w:lang w:val="en-US"/>
                </w:rPr>
                <w:t>. (n.d.). Retrieved 04 05, 2018, from Fordham University Medieval Sourcebook: https://sourcebooks.fordham.edu/Halsall/source/cde-antioch.asp</w:t>
              </w:r>
            </w:p>
            <w:p w14:paraId="4ED41017" w14:textId="794222CA" w:rsidR="00CD1421" w:rsidRDefault="00CD1421" w:rsidP="00CD1421">
              <w:r>
                <w:rPr>
                  <w:b/>
                  <w:bCs/>
                  <w:noProof/>
                </w:rPr>
                <w:fldChar w:fldCharType="end"/>
              </w:r>
            </w:p>
          </w:sdtContent>
        </w:sdt>
      </w:sdtContent>
    </w:sdt>
    <w:sectPr w:rsidR="00CD1421">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F4670DD" w14:textId="77777777" w:rsidR="00C570D1" w:rsidRDefault="00C570D1" w:rsidP="00854692">
      <w:pPr>
        <w:spacing w:after="0" w:line="240" w:lineRule="auto"/>
      </w:pPr>
      <w:r>
        <w:separator/>
      </w:r>
    </w:p>
  </w:endnote>
  <w:endnote w:type="continuationSeparator" w:id="0">
    <w:p w14:paraId="54EFFD3D" w14:textId="77777777" w:rsidR="00C570D1" w:rsidRDefault="00C570D1" w:rsidP="008546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507455"/>
      <w:docPartObj>
        <w:docPartGallery w:val="Page Numbers (Bottom of Page)"/>
        <w:docPartUnique/>
      </w:docPartObj>
    </w:sdtPr>
    <w:sdtEndPr>
      <w:rPr>
        <w:noProof/>
      </w:rPr>
    </w:sdtEndPr>
    <w:sdtContent>
      <w:p w14:paraId="400E5BB5" w14:textId="2DE8E55D" w:rsidR="0076246A" w:rsidRDefault="007624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F142A5" w14:textId="77777777" w:rsidR="00854692" w:rsidRDefault="008546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42A1BBA" w14:textId="77777777" w:rsidR="00C570D1" w:rsidRDefault="00C570D1" w:rsidP="00854692">
      <w:pPr>
        <w:spacing w:after="0" w:line="240" w:lineRule="auto"/>
      </w:pPr>
      <w:r>
        <w:separator/>
      </w:r>
    </w:p>
  </w:footnote>
  <w:footnote w:type="continuationSeparator" w:id="0">
    <w:p w14:paraId="42C3C82E" w14:textId="77777777" w:rsidR="00C570D1" w:rsidRDefault="00C570D1" w:rsidP="00854692">
      <w:pPr>
        <w:spacing w:after="0" w:line="240" w:lineRule="auto"/>
      </w:pPr>
      <w:r>
        <w:continuationSeparator/>
      </w:r>
    </w:p>
  </w:footnote>
  <w:footnote w:id="1">
    <w:p w14:paraId="08F410E8" w14:textId="10387EE1" w:rsidR="00B80A42" w:rsidRPr="00DD4CCA" w:rsidRDefault="00B80A42">
      <w:pPr>
        <w:pStyle w:val="FootnoteText"/>
      </w:pPr>
      <w:r>
        <w:rPr>
          <w:rStyle w:val="FootnoteReference"/>
        </w:rPr>
        <w:footnoteRef/>
      </w:r>
      <w:r w:rsidR="00E21EB3">
        <w:t xml:space="preserve"> Fordham University</w:t>
      </w:r>
      <w:r w:rsidR="0031700D">
        <w:t xml:space="preserve"> Medieval</w:t>
      </w:r>
      <w:r>
        <w:t xml:space="preserve"> </w:t>
      </w:r>
      <w:r w:rsidR="0031700D">
        <w:t xml:space="preserve">Sourcebook, </w:t>
      </w:r>
      <w:r w:rsidR="00757D67">
        <w:t>‘</w:t>
      </w:r>
      <w:r w:rsidR="00E7594F">
        <w:t xml:space="preserve">Anna Comnena: </w:t>
      </w:r>
      <w:r w:rsidR="009436D3">
        <w:t>Godfrey</w:t>
      </w:r>
      <w:r w:rsidR="00757D67">
        <w:t xml:space="preserve"> of Bouillon’</w:t>
      </w:r>
      <w:r w:rsidR="00E7594F">
        <w:t xml:space="preserve">, </w:t>
      </w:r>
      <w:r w:rsidR="00DD4CCA" w:rsidRPr="00E7594F">
        <w:rPr>
          <w:i/>
        </w:rPr>
        <w:t>The Crusaders at Constantinople: Collected Accounts</w:t>
      </w:r>
      <w:r w:rsidR="00DD4CCA">
        <w:t xml:space="preserve">, </w:t>
      </w:r>
      <w:hyperlink r:id="rId1" w:anchor="anna2" w:history="1">
        <w:r w:rsidR="00DD4CCA" w:rsidRPr="008E4F02">
          <w:rPr>
            <w:rStyle w:val="Hyperlink"/>
          </w:rPr>
          <w:t>https://sourcebooks.fordham.edu/Halsall/source/cde-atcp.asp#anna2</w:t>
        </w:r>
      </w:hyperlink>
      <w:r w:rsidR="00DD4CCA">
        <w:t xml:space="preserve"> </w:t>
      </w:r>
      <w:r w:rsidR="00B66FA3">
        <w:t>[</w:t>
      </w:r>
      <w:r w:rsidR="00DD4CCA">
        <w:t>Accessed 05/04/2018</w:t>
      </w:r>
      <w:r w:rsidR="00B66FA3">
        <w:t>]</w:t>
      </w:r>
      <w:r w:rsidR="00BB6FCD">
        <w:t>.</w:t>
      </w:r>
    </w:p>
  </w:footnote>
  <w:footnote w:id="2">
    <w:p w14:paraId="295076A8" w14:textId="426A5105" w:rsidR="000650E7" w:rsidRPr="00BB6FCD" w:rsidRDefault="000650E7">
      <w:pPr>
        <w:pStyle w:val="FootnoteText"/>
      </w:pPr>
      <w:r>
        <w:rPr>
          <w:rStyle w:val="FootnoteReference"/>
        </w:rPr>
        <w:footnoteRef/>
      </w:r>
      <w:r w:rsidR="00C3448C">
        <w:t xml:space="preserve"> </w:t>
      </w:r>
      <w:r w:rsidR="00BB6FCD">
        <w:t xml:space="preserve">Fordham </w:t>
      </w:r>
      <w:r w:rsidR="00B3560D">
        <w:t>U</w:t>
      </w:r>
      <w:r w:rsidR="00BB6FCD">
        <w:t xml:space="preserve">niversity </w:t>
      </w:r>
      <w:r>
        <w:t>Medieval Sourcebook, ‘The Gesta: Godfrey of Bouillon</w:t>
      </w:r>
      <w:r w:rsidR="00BB6FCD">
        <w:t xml:space="preserve">’, </w:t>
      </w:r>
      <w:r w:rsidR="00BB6FCD">
        <w:rPr>
          <w:i/>
        </w:rPr>
        <w:t>The Crusaders at Constantinople: Collected Accounts</w:t>
      </w:r>
      <w:r w:rsidR="00BB6FCD">
        <w:t xml:space="preserve">, </w:t>
      </w:r>
      <w:hyperlink r:id="rId2" w:anchor="anna2" w:history="1">
        <w:r w:rsidR="00BB6FCD" w:rsidRPr="008E4F02">
          <w:rPr>
            <w:rStyle w:val="Hyperlink"/>
          </w:rPr>
          <w:t>https://sourcebooks.fordham.edu/Halsall/source/cde-atcp.asp#anna2</w:t>
        </w:r>
      </w:hyperlink>
      <w:r w:rsidR="00BB6FCD">
        <w:t xml:space="preserve"> [Accessed 05/04/2018].</w:t>
      </w:r>
    </w:p>
  </w:footnote>
  <w:footnote w:id="3">
    <w:p w14:paraId="11BF168E" w14:textId="435C8888" w:rsidR="00373049" w:rsidRDefault="00373049">
      <w:pPr>
        <w:pStyle w:val="FootnoteText"/>
      </w:pPr>
      <w:r>
        <w:rPr>
          <w:rStyle w:val="FootnoteReference"/>
        </w:rPr>
        <w:footnoteRef/>
      </w:r>
      <w:r>
        <w:t xml:space="preserve"> </w:t>
      </w:r>
      <w:r w:rsidR="007C431D">
        <w:t xml:space="preserve">Fordham University Medieval Sourcebook, ‘Anna Comnena: </w:t>
      </w:r>
      <w:r w:rsidR="002F4D63">
        <w:t>Godfrey</w:t>
      </w:r>
      <w:r w:rsidR="007C431D">
        <w:t xml:space="preserve"> of Bouillon’, </w:t>
      </w:r>
      <w:r w:rsidR="007C431D" w:rsidRPr="00E7594F">
        <w:rPr>
          <w:i/>
        </w:rPr>
        <w:t>The Crusaders at Constantinople: Collected Accounts</w:t>
      </w:r>
      <w:r w:rsidR="007C431D">
        <w:t xml:space="preserve">, </w:t>
      </w:r>
      <w:hyperlink r:id="rId3" w:anchor="anna2" w:history="1">
        <w:r w:rsidR="007C431D" w:rsidRPr="008E4F02">
          <w:rPr>
            <w:rStyle w:val="Hyperlink"/>
          </w:rPr>
          <w:t>https://sourcebooks.fordham.edu/Halsall/source/cde-atcp.asp#anna2</w:t>
        </w:r>
      </w:hyperlink>
      <w:r w:rsidR="007C431D">
        <w:t xml:space="preserve"> [Accessed 05/04/2018].</w:t>
      </w:r>
    </w:p>
  </w:footnote>
  <w:footnote w:id="4">
    <w:p w14:paraId="01A93BCE" w14:textId="6D5A80BA" w:rsidR="000A2997" w:rsidRDefault="000A2997">
      <w:pPr>
        <w:pStyle w:val="FootnoteText"/>
      </w:pPr>
      <w:r>
        <w:rPr>
          <w:rStyle w:val="FootnoteReference"/>
        </w:rPr>
        <w:footnoteRef/>
      </w:r>
      <w:r w:rsidR="007A489B">
        <w:t xml:space="preserve"> Fordha</w:t>
      </w:r>
      <w:r w:rsidR="00A81236">
        <w:t>m</w:t>
      </w:r>
      <w:r w:rsidR="007A489B">
        <w:t xml:space="preserve"> University </w:t>
      </w:r>
      <w:r w:rsidR="00A81236">
        <w:t>Medieval Sourcebook, ‘Albert of Aix: Godfrey of Bouillon’</w:t>
      </w:r>
      <w:r w:rsidR="00A954FE">
        <w:t xml:space="preserve">, </w:t>
      </w:r>
      <w:r w:rsidR="00A954FE">
        <w:rPr>
          <w:i/>
        </w:rPr>
        <w:t>The Crusaders at Constantinople: Collected Accounts,</w:t>
      </w:r>
      <w:r>
        <w:t xml:space="preserve"> </w:t>
      </w:r>
      <w:hyperlink r:id="rId4" w:history="1">
        <w:r w:rsidR="007A489B" w:rsidRPr="008B45F9">
          <w:rPr>
            <w:rStyle w:val="Hyperlink"/>
          </w:rPr>
          <w:t>https://sourcebooks.fordham.edu/Halsall/source/cde-atcp.asp#anna2</w:t>
        </w:r>
      </w:hyperlink>
      <w:r w:rsidR="007A489B">
        <w:t xml:space="preserve"> [Accessed 06/04/18]</w:t>
      </w:r>
      <w:r w:rsidR="00A954FE">
        <w:t>.</w:t>
      </w:r>
    </w:p>
  </w:footnote>
  <w:footnote w:id="5">
    <w:p w14:paraId="3419C132" w14:textId="220C47B8" w:rsidR="00A26A41" w:rsidRDefault="00A26A41">
      <w:pPr>
        <w:pStyle w:val="FootnoteText"/>
      </w:pPr>
      <w:r>
        <w:rPr>
          <w:rStyle w:val="FootnoteReference"/>
        </w:rPr>
        <w:footnoteRef/>
      </w:r>
      <w:r>
        <w:t xml:space="preserve"> </w:t>
      </w:r>
      <w:r w:rsidRPr="00A26A41">
        <w:t>Fordham University Medieval Sourcebook, ‘</w:t>
      </w:r>
      <w:r>
        <w:t>Bohemund’</w:t>
      </w:r>
      <w:r w:rsidRPr="00A26A41">
        <w:t xml:space="preserve">, Gesta Francorum, </w:t>
      </w:r>
      <w:hyperlink r:id="rId5" w:history="1">
        <w:r w:rsidRPr="008B45F9">
          <w:rPr>
            <w:rStyle w:val="Hyperlink"/>
          </w:rPr>
          <w:t>https://sourcebooks.fordham.edu/Halsall/source/gesta-cde.asp#bohemund2</w:t>
        </w:r>
      </w:hyperlink>
      <w:r>
        <w:t xml:space="preserve"> </w:t>
      </w:r>
      <w:r w:rsidRPr="00A26A41">
        <w:t>[Accessed 06/04/18]</w:t>
      </w:r>
      <w:r w:rsidR="00233D3A">
        <w:t>.</w:t>
      </w:r>
    </w:p>
  </w:footnote>
  <w:footnote w:id="6">
    <w:p w14:paraId="60B3C258" w14:textId="4C281511" w:rsidR="004C0B8C" w:rsidRDefault="004C0B8C">
      <w:pPr>
        <w:pStyle w:val="FootnoteText"/>
      </w:pPr>
      <w:r>
        <w:rPr>
          <w:rStyle w:val="FootnoteReference"/>
        </w:rPr>
        <w:footnoteRef/>
      </w:r>
      <w:r>
        <w:t xml:space="preserve"> Fordham University Medieval Sourcebook,</w:t>
      </w:r>
      <w:r w:rsidR="004F6F15">
        <w:t xml:space="preserve"> </w:t>
      </w:r>
      <w:r>
        <w:t>‘</w:t>
      </w:r>
      <w:r w:rsidR="005B06E1">
        <w:t>The Victory at Nicea</w:t>
      </w:r>
      <w:r>
        <w:t>’</w:t>
      </w:r>
      <w:r w:rsidR="005B06E1">
        <w:t xml:space="preserve">, </w:t>
      </w:r>
      <w:r w:rsidR="005B06E1">
        <w:rPr>
          <w:i/>
        </w:rPr>
        <w:t xml:space="preserve">Gesta Francorum, </w:t>
      </w:r>
      <w:hyperlink r:id="rId6" w:history="1">
        <w:r w:rsidRPr="008B45F9">
          <w:rPr>
            <w:rStyle w:val="Hyperlink"/>
          </w:rPr>
          <w:t>https://sourcebooks.fordham.edu/Halsall/source/gesta-cde.asp#bohemund2</w:t>
        </w:r>
      </w:hyperlink>
      <w:r>
        <w:t xml:space="preserve"> [Accessed 06/04/18]</w:t>
      </w:r>
      <w:r w:rsidR="00233D3A">
        <w:t>.</w:t>
      </w:r>
    </w:p>
  </w:footnote>
  <w:footnote w:id="7">
    <w:p w14:paraId="1166B4DF" w14:textId="38BD01FF" w:rsidR="006820DC" w:rsidRDefault="006820DC">
      <w:pPr>
        <w:pStyle w:val="FootnoteText"/>
      </w:pPr>
      <w:r>
        <w:rPr>
          <w:rStyle w:val="FootnoteReference"/>
        </w:rPr>
        <w:footnoteRef/>
      </w:r>
      <w:r>
        <w:t xml:space="preserve"> </w:t>
      </w:r>
      <w:r w:rsidR="00F50329">
        <w:t xml:space="preserve">Medieval Sourcebook, ‘Comnena: Godfrey of Bouillon’, </w:t>
      </w:r>
      <w:hyperlink r:id="rId7" w:history="1">
        <w:r w:rsidR="00F50329" w:rsidRPr="008B45F9">
          <w:rPr>
            <w:rStyle w:val="Hyperlink"/>
          </w:rPr>
          <w:t>https://sourcebooks.fordham.edu/Halsall/source/cde-atcp.asp#anna2</w:t>
        </w:r>
      </w:hyperlink>
      <w:r w:rsidR="00F50329">
        <w:t xml:space="preserve"> [Accessed 06/04/18]</w:t>
      </w:r>
      <w:r w:rsidR="00233D3A">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3B15E2" w14:textId="08D4A07C" w:rsidR="00854692" w:rsidRDefault="00854692">
    <w:pPr>
      <w:pStyle w:val="Header"/>
    </w:pPr>
    <w:r>
      <w:t>Jonathan Goddard</w:t>
    </w:r>
    <w:r>
      <w:ptab w:relativeTo="margin" w:alignment="center" w:leader="none"/>
    </w:r>
    <w:r w:rsidR="0076246A">
      <w:t>HPHI4001</w:t>
    </w:r>
    <w:r>
      <w:ptab w:relativeTo="margin" w:alignment="right" w:leader="none"/>
    </w:r>
    <w:r w:rsidR="0076246A">
      <w:fldChar w:fldCharType="begin"/>
    </w:r>
    <w:r w:rsidR="0076246A">
      <w:instrText xml:space="preserve"> DATE \@ "dd/MM/yyyy" </w:instrText>
    </w:r>
    <w:r w:rsidR="0076246A">
      <w:fldChar w:fldCharType="separate"/>
    </w:r>
    <w:r w:rsidR="00772D95">
      <w:rPr>
        <w:noProof/>
      </w:rPr>
      <w:t>06/04/2018</w:t>
    </w:r>
    <w:r w:rsidR="0076246A">
      <w:fldChar w:fldCharType="end"/>
    </w:r>
  </w:p>
  <w:p w14:paraId="20AF0C17" w14:textId="033B8785" w:rsidR="0076246A" w:rsidRDefault="0076246A">
    <w:pPr>
      <w:pStyle w:val="Header"/>
    </w:pPr>
    <w:r>
      <w:t>1601793</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096E"/>
    <w:rsid w:val="000119C5"/>
    <w:rsid w:val="000556AB"/>
    <w:rsid w:val="000650E7"/>
    <w:rsid w:val="00080AE5"/>
    <w:rsid w:val="0008410E"/>
    <w:rsid w:val="000864AB"/>
    <w:rsid w:val="000A2997"/>
    <w:rsid w:val="000F036C"/>
    <w:rsid w:val="0016471F"/>
    <w:rsid w:val="001956FF"/>
    <w:rsid w:val="001B1ECF"/>
    <w:rsid w:val="001C32DC"/>
    <w:rsid w:val="001D096E"/>
    <w:rsid w:val="00200254"/>
    <w:rsid w:val="00204CF4"/>
    <w:rsid w:val="002070FE"/>
    <w:rsid w:val="00221FE8"/>
    <w:rsid w:val="002234F9"/>
    <w:rsid w:val="002318A5"/>
    <w:rsid w:val="00233D3A"/>
    <w:rsid w:val="002507BB"/>
    <w:rsid w:val="002670D7"/>
    <w:rsid w:val="0028206A"/>
    <w:rsid w:val="002940B4"/>
    <w:rsid w:val="002D27C2"/>
    <w:rsid w:val="002E4363"/>
    <w:rsid w:val="002F4D63"/>
    <w:rsid w:val="00300C15"/>
    <w:rsid w:val="0031700D"/>
    <w:rsid w:val="0034089B"/>
    <w:rsid w:val="0034577F"/>
    <w:rsid w:val="00373049"/>
    <w:rsid w:val="00382368"/>
    <w:rsid w:val="003976B7"/>
    <w:rsid w:val="003A7EE9"/>
    <w:rsid w:val="003C359C"/>
    <w:rsid w:val="0042121D"/>
    <w:rsid w:val="00422DE5"/>
    <w:rsid w:val="00425FD8"/>
    <w:rsid w:val="0048049A"/>
    <w:rsid w:val="00482533"/>
    <w:rsid w:val="004A3858"/>
    <w:rsid w:val="004C0B8C"/>
    <w:rsid w:val="004C68EC"/>
    <w:rsid w:val="004E214C"/>
    <w:rsid w:val="004F6F15"/>
    <w:rsid w:val="005012EB"/>
    <w:rsid w:val="0052567D"/>
    <w:rsid w:val="00540DFA"/>
    <w:rsid w:val="00557179"/>
    <w:rsid w:val="005658C6"/>
    <w:rsid w:val="00573649"/>
    <w:rsid w:val="00591AF1"/>
    <w:rsid w:val="005A00AF"/>
    <w:rsid w:val="005B06E1"/>
    <w:rsid w:val="00606FC7"/>
    <w:rsid w:val="00616DC0"/>
    <w:rsid w:val="00622020"/>
    <w:rsid w:val="006723AA"/>
    <w:rsid w:val="006820DC"/>
    <w:rsid w:val="00686150"/>
    <w:rsid w:val="00686B4B"/>
    <w:rsid w:val="006A3BB3"/>
    <w:rsid w:val="006A56E1"/>
    <w:rsid w:val="006B27D9"/>
    <w:rsid w:val="006D3BA0"/>
    <w:rsid w:val="006F7D7A"/>
    <w:rsid w:val="00743D96"/>
    <w:rsid w:val="00757D67"/>
    <w:rsid w:val="0076246A"/>
    <w:rsid w:val="00772247"/>
    <w:rsid w:val="00772D95"/>
    <w:rsid w:val="007820B3"/>
    <w:rsid w:val="007972C4"/>
    <w:rsid w:val="007A33D0"/>
    <w:rsid w:val="007A489B"/>
    <w:rsid w:val="007A5C23"/>
    <w:rsid w:val="007C0926"/>
    <w:rsid w:val="007C431D"/>
    <w:rsid w:val="007D0F5F"/>
    <w:rsid w:val="007D359F"/>
    <w:rsid w:val="007E7FA1"/>
    <w:rsid w:val="007F3073"/>
    <w:rsid w:val="00824FF2"/>
    <w:rsid w:val="00832C50"/>
    <w:rsid w:val="00854692"/>
    <w:rsid w:val="0091461E"/>
    <w:rsid w:val="009436D3"/>
    <w:rsid w:val="009712EE"/>
    <w:rsid w:val="00994925"/>
    <w:rsid w:val="00995A67"/>
    <w:rsid w:val="009B1CD3"/>
    <w:rsid w:val="009B6DF8"/>
    <w:rsid w:val="009E47D0"/>
    <w:rsid w:val="009E5C31"/>
    <w:rsid w:val="00A0511B"/>
    <w:rsid w:val="00A05E00"/>
    <w:rsid w:val="00A13023"/>
    <w:rsid w:val="00A22176"/>
    <w:rsid w:val="00A26A41"/>
    <w:rsid w:val="00A379B1"/>
    <w:rsid w:val="00A43CED"/>
    <w:rsid w:val="00A53A60"/>
    <w:rsid w:val="00A741D8"/>
    <w:rsid w:val="00A81236"/>
    <w:rsid w:val="00A954FE"/>
    <w:rsid w:val="00AA15F7"/>
    <w:rsid w:val="00AA51F5"/>
    <w:rsid w:val="00AB0140"/>
    <w:rsid w:val="00AF3378"/>
    <w:rsid w:val="00B01BC8"/>
    <w:rsid w:val="00B3560D"/>
    <w:rsid w:val="00B65369"/>
    <w:rsid w:val="00B66FA3"/>
    <w:rsid w:val="00B75956"/>
    <w:rsid w:val="00B80A42"/>
    <w:rsid w:val="00BB592C"/>
    <w:rsid w:val="00BB6FCD"/>
    <w:rsid w:val="00BC0AEF"/>
    <w:rsid w:val="00BD46DE"/>
    <w:rsid w:val="00BD583E"/>
    <w:rsid w:val="00BD74C5"/>
    <w:rsid w:val="00BF1CC8"/>
    <w:rsid w:val="00C27ECC"/>
    <w:rsid w:val="00C3448C"/>
    <w:rsid w:val="00C5212B"/>
    <w:rsid w:val="00C54353"/>
    <w:rsid w:val="00C547A1"/>
    <w:rsid w:val="00C54B5E"/>
    <w:rsid w:val="00C570D1"/>
    <w:rsid w:val="00C8207D"/>
    <w:rsid w:val="00C9465C"/>
    <w:rsid w:val="00CD1421"/>
    <w:rsid w:val="00CD33C1"/>
    <w:rsid w:val="00CE52F0"/>
    <w:rsid w:val="00CF2C34"/>
    <w:rsid w:val="00CF7292"/>
    <w:rsid w:val="00D0615A"/>
    <w:rsid w:val="00D12978"/>
    <w:rsid w:val="00D21112"/>
    <w:rsid w:val="00D37B04"/>
    <w:rsid w:val="00D47191"/>
    <w:rsid w:val="00D67DE5"/>
    <w:rsid w:val="00D7581A"/>
    <w:rsid w:val="00DB15A9"/>
    <w:rsid w:val="00DC4EF8"/>
    <w:rsid w:val="00DD4CCA"/>
    <w:rsid w:val="00E14F08"/>
    <w:rsid w:val="00E219FE"/>
    <w:rsid w:val="00E21EB3"/>
    <w:rsid w:val="00E34623"/>
    <w:rsid w:val="00E50B17"/>
    <w:rsid w:val="00E553AB"/>
    <w:rsid w:val="00E63D86"/>
    <w:rsid w:val="00E71C86"/>
    <w:rsid w:val="00E7594F"/>
    <w:rsid w:val="00E94F5C"/>
    <w:rsid w:val="00EA258A"/>
    <w:rsid w:val="00EB4FE6"/>
    <w:rsid w:val="00F01B22"/>
    <w:rsid w:val="00F06174"/>
    <w:rsid w:val="00F1001B"/>
    <w:rsid w:val="00F31318"/>
    <w:rsid w:val="00F41F11"/>
    <w:rsid w:val="00F50329"/>
    <w:rsid w:val="00F57864"/>
    <w:rsid w:val="00F71A85"/>
    <w:rsid w:val="00FA433C"/>
    <w:rsid w:val="00FB7CD4"/>
    <w:rsid w:val="00FD7EFA"/>
    <w:rsid w:val="00FE669F"/>
    <w:rsid w:val="00FF7C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2983D7"/>
  <w15:chartTrackingRefBased/>
  <w15:docId w15:val="{FB47B73B-2174-4FF4-95CE-B1A2F3EFB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42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546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4692"/>
  </w:style>
  <w:style w:type="paragraph" w:styleId="Footer">
    <w:name w:val="footer"/>
    <w:basedOn w:val="Normal"/>
    <w:link w:val="FooterChar"/>
    <w:uiPriority w:val="99"/>
    <w:unhideWhenUsed/>
    <w:rsid w:val="008546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4692"/>
  </w:style>
  <w:style w:type="paragraph" w:styleId="FootnoteText">
    <w:name w:val="footnote text"/>
    <w:basedOn w:val="Normal"/>
    <w:link w:val="FootnoteTextChar"/>
    <w:uiPriority w:val="99"/>
    <w:semiHidden/>
    <w:unhideWhenUsed/>
    <w:rsid w:val="00B80A42"/>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80A42"/>
    <w:rPr>
      <w:sz w:val="20"/>
      <w:szCs w:val="20"/>
    </w:rPr>
  </w:style>
  <w:style w:type="character" w:styleId="FootnoteReference">
    <w:name w:val="footnote reference"/>
    <w:basedOn w:val="DefaultParagraphFont"/>
    <w:uiPriority w:val="99"/>
    <w:semiHidden/>
    <w:unhideWhenUsed/>
    <w:rsid w:val="00B80A42"/>
    <w:rPr>
      <w:vertAlign w:val="superscript"/>
    </w:rPr>
  </w:style>
  <w:style w:type="character" w:styleId="Hyperlink">
    <w:name w:val="Hyperlink"/>
    <w:basedOn w:val="DefaultParagraphFont"/>
    <w:uiPriority w:val="99"/>
    <w:unhideWhenUsed/>
    <w:rsid w:val="00DD4CCA"/>
    <w:rPr>
      <w:color w:val="0563C1" w:themeColor="hyperlink"/>
      <w:u w:val="single"/>
    </w:rPr>
  </w:style>
  <w:style w:type="character" w:styleId="UnresolvedMention">
    <w:name w:val="Unresolved Mention"/>
    <w:basedOn w:val="DefaultParagraphFont"/>
    <w:uiPriority w:val="99"/>
    <w:semiHidden/>
    <w:unhideWhenUsed/>
    <w:rsid w:val="00DD4CCA"/>
    <w:rPr>
      <w:color w:val="808080"/>
      <w:shd w:val="clear" w:color="auto" w:fill="E6E6E6"/>
    </w:rPr>
  </w:style>
  <w:style w:type="character" w:styleId="FollowedHyperlink">
    <w:name w:val="FollowedHyperlink"/>
    <w:basedOn w:val="DefaultParagraphFont"/>
    <w:uiPriority w:val="99"/>
    <w:semiHidden/>
    <w:unhideWhenUsed/>
    <w:rsid w:val="00E7594F"/>
    <w:rPr>
      <w:color w:val="954F72" w:themeColor="followedHyperlink"/>
      <w:u w:val="single"/>
    </w:rPr>
  </w:style>
  <w:style w:type="character" w:styleId="CommentReference">
    <w:name w:val="annotation reference"/>
    <w:basedOn w:val="DefaultParagraphFont"/>
    <w:uiPriority w:val="99"/>
    <w:semiHidden/>
    <w:unhideWhenUsed/>
    <w:rsid w:val="006B27D9"/>
    <w:rPr>
      <w:sz w:val="16"/>
      <w:szCs w:val="16"/>
    </w:rPr>
  </w:style>
  <w:style w:type="paragraph" w:styleId="CommentText">
    <w:name w:val="annotation text"/>
    <w:basedOn w:val="Normal"/>
    <w:link w:val="CommentTextChar"/>
    <w:uiPriority w:val="99"/>
    <w:semiHidden/>
    <w:unhideWhenUsed/>
    <w:rsid w:val="006B27D9"/>
    <w:pPr>
      <w:spacing w:line="240" w:lineRule="auto"/>
    </w:pPr>
    <w:rPr>
      <w:sz w:val="20"/>
      <w:szCs w:val="20"/>
    </w:rPr>
  </w:style>
  <w:style w:type="character" w:customStyle="1" w:styleId="CommentTextChar">
    <w:name w:val="Comment Text Char"/>
    <w:basedOn w:val="DefaultParagraphFont"/>
    <w:link w:val="CommentText"/>
    <w:uiPriority w:val="99"/>
    <w:semiHidden/>
    <w:rsid w:val="006B27D9"/>
    <w:rPr>
      <w:sz w:val="20"/>
      <w:szCs w:val="20"/>
    </w:rPr>
  </w:style>
  <w:style w:type="paragraph" w:styleId="CommentSubject">
    <w:name w:val="annotation subject"/>
    <w:basedOn w:val="CommentText"/>
    <w:next w:val="CommentText"/>
    <w:link w:val="CommentSubjectChar"/>
    <w:uiPriority w:val="99"/>
    <w:semiHidden/>
    <w:unhideWhenUsed/>
    <w:rsid w:val="006B27D9"/>
    <w:rPr>
      <w:b/>
      <w:bCs/>
    </w:rPr>
  </w:style>
  <w:style w:type="character" w:customStyle="1" w:styleId="CommentSubjectChar">
    <w:name w:val="Comment Subject Char"/>
    <w:basedOn w:val="CommentTextChar"/>
    <w:link w:val="CommentSubject"/>
    <w:uiPriority w:val="99"/>
    <w:semiHidden/>
    <w:rsid w:val="006B27D9"/>
    <w:rPr>
      <w:b/>
      <w:bCs/>
      <w:sz w:val="20"/>
      <w:szCs w:val="20"/>
    </w:rPr>
  </w:style>
  <w:style w:type="paragraph" w:styleId="BalloonText">
    <w:name w:val="Balloon Text"/>
    <w:basedOn w:val="Normal"/>
    <w:link w:val="BalloonTextChar"/>
    <w:uiPriority w:val="99"/>
    <w:semiHidden/>
    <w:unhideWhenUsed/>
    <w:rsid w:val="006B27D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B27D9"/>
    <w:rPr>
      <w:rFonts w:ascii="Segoe UI" w:hAnsi="Segoe UI" w:cs="Segoe UI"/>
      <w:sz w:val="18"/>
      <w:szCs w:val="18"/>
    </w:rPr>
  </w:style>
  <w:style w:type="character" w:customStyle="1" w:styleId="Heading1Char">
    <w:name w:val="Heading 1 Char"/>
    <w:basedOn w:val="DefaultParagraphFont"/>
    <w:link w:val="Heading1"/>
    <w:uiPriority w:val="9"/>
    <w:rsid w:val="00CD142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D142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74709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3" Type="http://schemas.openxmlformats.org/officeDocument/2006/relationships/hyperlink" Target="https://sourcebooks.fordham.edu/Halsall/source/cde-atcp.asp" TargetMode="External"/><Relationship Id="rId7" Type="http://schemas.openxmlformats.org/officeDocument/2006/relationships/hyperlink" Target="https://sourcebooks.fordham.edu/Halsall/source/cde-atcp.asp#anna2" TargetMode="External"/><Relationship Id="rId2" Type="http://schemas.openxmlformats.org/officeDocument/2006/relationships/hyperlink" Target="https://sourcebooks.fordham.edu/Halsall/source/cde-atcp.asp" TargetMode="External"/><Relationship Id="rId1" Type="http://schemas.openxmlformats.org/officeDocument/2006/relationships/hyperlink" Target="https://sourcebooks.fordham.edu/Halsall/source/cde-atcp.asp" TargetMode="External"/><Relationship Id="rId6" Type="http://schemas.openxmlformats.org/officeDocument/2006/relationships/hyperlink" Target="https://sourcebooks.fordham.edu/Halsall/source/gesta-cde.asp#bohemund2" TargetMode="External"/><Relationship Id="rId5" Type="http://schemas.openxmlformats.org/officeDocument/2006/relationships/hyperlink" Target="https://sourcebooks.fordham.edu/Halsall/source/gesta-cde.asp#bohemund2" TargetMode="External"/><Relationship Id="rId4" Type="http://schemas.openxmlformats.org/officeDocument/2006/relationships/hyperlink" Target="https://sourcebooks.fordham.edu/Halsall/source/cde-atcp.asp#anna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Ann18</b:Tag>
    <b:SourceType>InternetSite</b:SourceType>
    <b:Guid>{272DA889-716F-43BF-86C6-1CB8E77C8380}</b:Guid>
    <b:Title>Anna Comnena: The Alexiad: On the Crusades</b:Title>
    <b:InternetSiteTitle>Fordham University Medieval sourcebook</b:InternetSiteTitle>
    <b:URL>https://sourcebooks.fordham.edu/halsall/source/comnena-cde.asp#alex109</b:URL>
    <b:YearAccessed>2018</b:YearAccessed>
    <b:MonthAccessed>04</b:MonthAccessed>
    <b:DayAccessed>05</b:DayAccessed>
    <b:RefOrder>1</b:RefOrder>
  </b:Source>
  <b:Source>
    <b:Tag>The</b:Tag>
    <b:SourceType>InternetSite</b:SourceType>
    <b:Guid>{B3AA8D89-39B1-4EB3-A0A3-C323C778A4AB}</b:Guid>
    <b:Title>The Crusaders at Constantinople: Collected Accounts</b:Title>
    <b:InternetSiteTitle>Fordham University Medieval Sourcebook</b:InternetSiteTitle>
    <b:URL>https://sourcebooks.fordham.edu/Halsall/source/cde-atcp.asp#anna2</b:URL>
    <b:RefOrder>2</b:RefOrder>
  </b:Source>
  <b:Source>
    <b:Tag>The18</b:Tag>
    <b:SourceType>InternetSite</b:SourceType>
    <b:Guid>{1D765CC3-81C3-4806-9516-93660F9587A0}</b:Guid>
    <b:Title>The Crusaders Journey to Constantinople: Collected Accounts</b:Title>
    <b:InternetSiteTitle>Fordham University Medieval Sourcebook</b:InternetSiteTitle>
    <b:URL>https://sourcebooks.fordham.edu/Halsall/source/cde-tocp.asp#gesta2</b:URL>
    <b:YearAccessed>2018</b:YearAccessed>
    <b:MonthAccessed>04</b:MonthAccessed>
    <b:DayAccessed>05</b:DayAccessed>
    <b:RefOrder>3</b:RefOrder>
  </b:Source>
  <b:Source>
    <b:Tag>The181</b:Tag>
    <b:SourceType>InternetSite</b:SourceType>
    <b:Guid>{0E2BB3C5-1BBD-4B27-8911-C41F2322F575}</b:Guid>
    <b:Title>The Siege and Capture of Antioch: Collected Accounts</b:Title>
    <b:InternetSiteTitle>Fordham University Medieval Sourcebook</b:InternetSiteTitle>
    <b:URL>https://sourcebooks.fordham.edu/Halsall/source/cde-antioch.asp</b:URL>
    <b:YearAccessed>2018</b:YearAccessed>
    <b:MonthAccessed>04</b:MonthAccessed>
    <b:DayAccessed>05</b:DayAccessed>
    <b:RefOrder>4</b:RefOrder>
  </b:Source>
  <b:Source>
    <b:Tag>Alb18</b:Tag>
    <b:SourceType>InternetSite</b:SourceType>
    <b:Guid>{1A42EC81-62AB-4F81-AAB6-500D0C35ACA3}</b:Guid>
    <b:Title>Albert of Aix: Historia Hierosolymita</b:Title>
    <b:InternetSiteTitle>Fordham University Medieval Sourcebook</b:InternetSiteTitle>
    <b:URL>https://sourcebooks.fordham.edu/Halsall/source/albert-cde.asp#godfrey1</b:URL>
    <b:YearAccessed>2018</b:YearAccessed>
    <b:MonthAccessed>04</b:MonthAccessed>
    <b:DayAccessed>06</b:DayAccessed>
    <b:RefOrder>5</b:RefOrder>
  </b:Source>
</b:Sources>
</file>

<file path=customXml/itemProps1.xml><?xml version="1.0" encoding="utf-8"?>
<ds:datastoreItem xmlns:ds="http://schemas.openxmlformats.org/officeDocument/2006/customXml" ds:itemID="{8BE07A3E-0FD7-4460-8624-58240C26AC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522</TotalTime>
  <Pages>3</Pages>
  <Words>1119</Words>
  <Characters>6382</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Goddard</dc:creator>
  <cp:keywords/>
  <dc:description/>
  <cp:lastModifiedBy>Jonathan Goddard</cp:lastModifiedBy>
  <cp:revision>12</cp:revision>
  <dcterms:created xsi:type="dcterms:W3CDTF">2018-04-02T14:18:00Z</dcterms:created>
  <dcterms:modified xsi:type="dcterms:W3CDTF">2018-04-06T15:52:00Z</dcterms:modified>
</cp:coreProperties>
</file>