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05BE" w:rsidRDefault="00E20F3C">
      <w:r>
        <w:t>Dyslexia Assignment:</w:t>
      </w:r>
    </w:p>
    <w:p w:rsidR="002B7EA0" w:rsidRPr="00B734E9" w:rsidRDefault="009F0DD1">
      <w:r>
        <w:t xml:space="preserve">All children should be given equal </w:t>
      </w:r>
      <w:r w:rsidR="00760A4D">
        <w:t>opportunities and inclusion should be at the forefront of all practitioners’ planning and implementation of learning. Inclusion should provide opportunities for children to be able to access the same resources and learning as their peers but in ways that are suitable for their individual needs. This allows them to be integrated into the school community effectively. One of the key principles of inclusion is</w:t>
      </w:r>
      <w:r w:rsidR="00D81E80">
        <w:t xml:space="preserve"> that “</w:t>
      </w:r>
      <w:r w:rsidR="00D81E80" w:rsidRPr="00D81E80">
        <w:t>all</w:t>
      </w:r>
      <w:r w:rsidR="00D81E80">
        <w:t xml:space="preserve"> </w:t>
      </w:r>
      <w:r w:rsidR="00D81E80" w:rsidRPr="00D81E80">
        <w:t>children</w:t>
      </w:r>
      <w:r w:rsidR="00D81E80">
        <w:t xml:space="preserve"> </w:t>
      </w:r>
      <w:r w:rsidR="00D81E80" w:rsidRPr="00D81E80">
        <w:t>and</w:t>
      </w:r>
      <w:r w:rsidR="00D81E80">
        <w:t xml:space="preserve"> </w:t>
      </w:r>
      <w:r w:rsidR="00D81E80" w:rsidRPr="00D81E80">
        <w:t>young</w:t>
      </w:r>
      <w:r w:rsidR="00D81E80">
        <w:t xml:space="preserve"> </w:t>
      </w:r>
      <w:r w:rsidR="00D81E80" w:rsidRPr="00D81E80">
        <w:t>people</w:t>
      </w:r>
      <w:r w:rsidR="00D81E80">
        <w:t xml:space="preserve"> </w:t>
      </w:r>
      <w:r w:rsidR="00D81E80" w:rsidRPr="00D81E80">
        <w:t>should</w:t>
      </w:r>
      <w:r w:rsidR="00D81E80">
        <w:t xml:space="preserve"> </w:t>
      </w:r>
      <w:r w:rsidR="00D81E80" w:rsidRPr="00D81E80">
        <w:t>have</w:t>
      </w:r>
      <w:r w:rsidR="00D81E80">
        <w:t xml:space="preserve"> </w:t>
      </w:r>
      <w:r w:rsidR="00D81E80" w:rsidRPr="00D81E80">
        <w:t>access</w:t>
      </w:r>
      <w:r w:rsidR="00D81E80">
        <w:t xml:space="preserve"> </w:t>
      </w:r>
      <w:r w:rsidR="00D81E80" w:rsidRPr="00D81E80">
        <w:t>to</w:t>
      </w:r>
      <w:r w:rsidR="00D81E80">
        <w:t xml:space="preserve"> </w:t>
      </w:r>
      <w:r w:rsidR="00D81E80" w:rsidRPr="00D81E80">
        <w:t>an</w:t>
      </w:r>
      <w:r w:rsidR="00D81E80">
        <w:t xml:space="preserve"> </w:t>
      </w:r>
      <w:r w:rsidR="00D81E80" w:rsidRPr="00D81E80">
        <w:t>appropriate</w:t>
      </w:r>
      <w:r w:rsidR="00D81E80">
        <w:t xml:space="preserve"> </w:t>
      </w:r>
      <w:r w:rsidR="00D81E80" w:rsidRPr="00D81E80">
        <w:t>education</w:t>
      </w:r>
      <w:r w:rsidR="00D81E80">
        <w:t xml:space="preserve"> </w:t>
      </w:r>
      <w:r w:rsidR="00D81E80" w:rsidRPr="00D81E80">
        <w:t>that</w:t>
      </w:r>
      <w:r w:rsidR="00D81E80">
        <w:t xml:space="preserve"> </w:t>
      </w:r>
      <w:r w:rsidR="00D81E80" w:rsidRPr="00D81E80">
        <w:t>affords</w:t>
      </w:r>
      <w:r w:rsidR="00D81E80">
        <w:t xml:space="preserve"> </w:t>
      </w:r>
      <w:r w:rsidR="00D81E80" w:rsidRPr="00D81E80">
        <w:t>them</w:t>
      </w:r>
      <w:r w:rsidR="00D81E80">
        <w:t xml:space="preserve"> </w:t>
      </w:r>
      <w:r w:rsidR="00D81E80" w:rsidRPr="00D81E80">
        <w:t>the</w:t>
      </w:r>
      <w:r w:rsidR="00D81E80">
        <w:t xml:space="preserve"> </w:t>
      </w:r>
      <w:r w:rsidR="00D81E80" w:rsidRPr="00D81E80">
        <w:t>opportunity</w:t>
      </w:r>
      <w:r w:rsidR="00D81E80">
        <w:t xml:space="preserve"> </w:t>
      </w:r>
      <w:r w:rsidR="00D81E80" w:rsidRPr="00D81E80">
        <w:t>to</w:t>
      </w:r>
      <w:r w:rsidR="00D81E80">
        <w:t xml:space="preserve"> </w:t>
      </w:r>
      <w:r w:rsidR="00D81E80" w:rsidRPr="00D81E80">
        <w:t>achieve</w:t>
      </w:r>
      <w:r w:rsidR="00D81E80">
        <w:t xml:space="preserve"> </w:t>
      </w:r>
      <w:r w:rsidR="00D81E80" w:rsidRPr="00D81E80">
        <w:t>their</w:t>
      </w:r>
      <w:r w:rsidR="00D81E80">
        <w:t xml:space="preserve"> </w:t>
      </w:r>
      <w:r w:rsidR="00D81E80" w:rsidRPr="00D81E80">
        <w:t>personal</w:t>
      </w:r>
      <w:r w:rsidR="00D81E80">
        <w:t xml:space="preserve"> </w:t>
      </w:r>
      <w:r w:rsidR="00D81E80" w:rsidRPr="00D81E80">
        <w:t>potential</w:t>
      </w:r>
      <w:r w:rsidR="00D81E80">
        <w:t xml:space="preserve">” (WAG,2006). </w:t>
      </w:r>
      <w:r w:rsidR="00214660" w:rsidRPr="00214660">
        <w:t xml:space="preserve">Inclusive practice must be adopted throughout </w:t>
      </w:r>
      <w:proofErr w:type="gramStart"/>
      <w:r w:rsidR="00214660" w:rsidRPr="00214660">
        <w:t>all of</w:t>
      </w:r>
      <w:proofErr w:type="gramEnd"/>
      <w:r w:rsidR="00214660" w:rsidRPr="00214660">
        <w:t xml:space="preserve"> the curriculum and inclusion of an</w:t>
      </w:r>
      <w:r w:rsidR="00214660">
        <w:t xml:space="preserve">y </w:t>
      </w:r>
      <w:r w:rsidR="004861AC">
        <w:t>Specific Learning Difficulties (</w:t>
      </w:r>
      <w:proofErr w:type="spellStart"/>
      <w:r w:rsidR="004861AC">
        <w:t>SpLD’s</w:t>
      </w:r>
      <w:proofErr w:type="spellEnd"/>
      <w:r w:rsidR="004861AC">
        <w:t>).</w:t>
      </w:r>
      <w:r w:rsidR="001F2688">
        <w:t xml:space="preserve"> </w:t>
      </w:r>
      <w:r w:rsidR="00214660">
        <w:t xml:space="preserve"> </w:t>
      </w:r>
      <w:proofErr w:type="spellStart"/>
      <w:r w:rsidR="001F2688" w:rsidRPr="001F2688">
        <w:t>SpLDs</w:t>
      </w:r>
      <w:proofErr w:type="spellEnd"/>
      <w:r w:rsidR="001F2688">
        <w:t xml:space="preserve"> are an umbrella group of</w:t>
      </w:r>
      <w:r w:rsidR="004861AC">
        <w:t xml:space="preserve"> difficulties</w:t>
      </w:r>
      <w:r w:rsidR="001F2688">
        <w:t xml:space="preserve"> that represent </w:t>
      </w:r>
      <w:proofErr w:type="gramStart"/>
      <w:r w:rsidR="001F2688">
        <w:t>a number of</w:t>
      </w:r>
      <w:proofErr w:type="gramEnd"/>
      <w:r w:rsidR="001F2688">
        <w:t xml:space="preserve"> </w:t>
      </w:r>
      <w:r w:rsidR="004861AC">
        <w:t xml:space="preserve">frequently occur and affect processing of information. </w:t>
      </w:r>
      <w:proofErr w:type="spellStart"/>
      <w:r w:rsidR="004861AC">
        <w:t>SpLDs</w:t>
      </w:r>
      <w:proofErr w:type="spellEnd"/>
      <w:r w:rsidR="004861AC">
        <w:t xml:space="preserve"> include disabilities such as: Dyslexia, </w:t>
      </w:r>
      <w:proofErr w:type="spellStart"/>
      <w:r w:rsidR="004861AC">
        <w:t>Dyspra</w:t>
      </w:r>
      <w:r w:rsidR="00DA2826">
        <w:t>x</w:t>
      </w:r>
      <w:r w:rsidR="004861AC">
        <w:t>sia</w:t>
      </w:r>
      <w:proofErr w:type="spellEnd"/>
      <w:r w:rsidR="004861AC">
        <w:t>, Dyscalculia and ADHD.</w:t>
      </w:r>
      <w:r w:rsidR="001F2688" w:rsidRPr="001F2688">
        <w:t xml:space="preserve"> </w:t>
      </w:r>
      <w:r w:rsidR="00B612E7">
        <w:t>There are varying definitions of Dyslexia, one of which is : “</w:t>
      </w:r>
      <w:r w:rsidR="00B612E7" w:rsidRPr="00B612E7">
        <w:t>A processing difference experienced by people of all ages, often characterised by difficulties in literacy, it can affect other cognitive areas such as memory, speed of processing, time management, co-ordination and directional aspects</w:t>
      </w:r>
      <w:r w:rsidR="00B612E7">
        <w:t xml:space="preserve">”, </w:t>
      </w:r>
      <w:r w:rsidR="00B612E7" w:rsidRPr="00B612E7">
        <w:t>(Reid, 2004 cited in Hall, 2009, p.</w:t>
      </w:r>
      <w:r w:rsidR="00B612E7">
        <w:t xml:space="preserve">7). </w:t>
      </w:r>
      <w:r w:rsidR="002B7EA0">
        <w:t>According to the British Dyslexia Association (</w:t>
      </w:r>
      <w:r w:rsidR="00B734E9">
        <w:t xml:space="preserve">BDA), </w:t>
      </w:r>
      <w:r w:rsidR="00214660">
        <w:t>Dyslexia is believed to affect 10% of the population</w:t>
      </w:r>
      <w:r w:rsidR="00F51994">
        <w:t xml:space="preserve"> in the UK</w:t>
      </w:r>
      <w:r w:rsidR="00214660">
        <w:t>, 4% of this severely.</w:t>
      </w:r>
      <w:r w:rsidR="004861AC">
        <w:t xml:space="preserve"> Dyslexia is the most common SpLD. </w:t>
      </w:r>
      <w:r w:rsidR="002B7EA0" w:rsidRPr="00B734E9">
        <w:t xml:space="preserve">Dyslexia </w:t>
      </w:r>
      <w:r w:rsidR="00B734E9" w:rsidRPr="00B734E9">
        <w:t xml:space="preserve">is </w:t>
      </w:r>
      <w:r w:rsidR="002B7EA0" w:rsidRPr="00B734E9">
        <w:t>defined in the Equality Act 2010</w:t>
      </w:r>
      <w:r w:rsidR="00B734E9" w:rsidRPr="00B734E9">
        <w:t xml:space="preserve"> as being </w:t>
      </w:r>
      <w:r w:rsidR="00F51994" w:rsidRPr="00B734E9">
        <w:t>identifiable</w:t>
      </w:r>
      <w:r w:rsidR="00B734E9" w:rsidRPr="00B734E9">
        <w:t xml:space="preserve"> as a disability.</w:t>
      </w:r>
      <w:r w:rsidR="00B612E7">
        <w:t xml:space="preserve"> Attributes of Dyslexia differ in every individual and </w:t>
      </w:r>
      <w:r w:rsidR="00EF4AAA">
        <w:t xml:space="preserve">it is important to note that not every child with dyslexia will show the same </w:t>
      </w:r>
      <w:proofErr w:type="spellStart"/>
      <w:r w:rsidR="00EF4AAA">
        <w:t>syprtoms</w:t>
      </w:r>
      <w:proofErr w:type="spellEnd"/>
      <w:r w:rsidR="00EF4AAA">
        <w:t xml:space="preserve"> as another. Dyslexia </w:t>
      </w:r>
      <w:r w:rsidR="00A2092E" w:rsidRPr="00A2092E">
        <w:t xml:space="preserve">affects spelling and reading skills and occurs in various intellectual </w:t>
      </w:r>
      <w:r w:rsidR="00A2092E" w:rsidRPr="00A2092E">
        <w:t>abilities</w:t>
      </w:r>
      <w:r w:rsidR="00A2092E" w:rsidRPr="00A2092E">
        <w:t xml:space="preserve">, it is not </w:t>
      </w:r>
      <w:r w:rsidR="00A2092E" w:rsidRPr="00A2092E">
        <w:t>constrained</w:t>
      </w:r>
      <w:r w:rsidR="00A2092E" w:rsidRPr="00A2092E">
        <w:t xml:space="preserve"> to a certain </w:t>
      </w:r>
      <w:r w:rsidR="00A2092E">
        <w:t>age, gender or cultural background.</w:t>
      </w:r>
      <w:r w:rsidR="00A2092E" w:rsidRPr="00A2092E">
        <w:t xml:space="preserve"> Frequent tendencies of Dyslexia are struggles with verbal memory, processing speed and phonological awareness. It is appropriate that dyslexia should be thought of as a continuum rather than something that can be confined to certain symptoms. Additional </w:t>
      </w:r>
      <w:r w:rsidR="00A2092E" w:rsidRPr="00A2092E">
        <w:t>difficulties</w:t>
      </w:r>
      <w:r w:rsidR="00A2092E" w:rsidRPr="00A2092E">
        <w:t xml:space="preserve"> that often go hand in hand with the main symptoms of dyslexia are, concentration and organisation difficulties, co-ordination and the lack of ability to mentally calculate</w:t>
      </w:r>
      <w:r w:rsidR="00603C84">
        <w:t>, (Rose, 2009).</w:t>
      </w:r>
    </w:p>
    <w:p w:rsidR="00E20F3C" w:rsidRDefault="00077AA6" w:rsidP="00A85072">
      <w:r>
        <w:t>The research that has been collected and analysed for the</w:t>
      </w:r>
      <w:r w:rsidR="00310267">
        <w:t xml:space="preserve"> </w:t>
      </w:r>
      <w:r>
        <w:t>purpose of this assignment was carried</w:t>
      </w:r>
      <w:r w:rsidR="00A85072">
        <w:t xml:space="preserve"> </w:t>
      </w:r>
      <w:r>
        <w:t>out by</w:t>
      </w:r>
      <w:r w:rsidR="00310267">
        <w:t xml:space="preserve"> four BA</w:t>
      </w:r>
      <w:r w:rsidR="00A85072">
        <w:t xml:space="preserve"> (hons) </w:t>
      </w:r>
      <w:r w:rsidR="00310267">
        <w:t>Primary Education with QTS students</w:t>
      </w:r>
      <w:r w:rsidR="008836E3">
        <w:t xml:space="preserve">. </w:t>
      </w:r>
      <w:r w:rsidR="00A85072">
        <w:t xml:space="preserve">All </w:t>
      </w:r>
      <w:r w:rsidR="00A85072" w:rsidRPr="00A85072">
        <w:t>research and data gathered</w:t>
      </w:r>
      <w:r w:rsidR="00A85072">
        <w:t xml:space="preserve"> has</w:t>
      </w:r>
      <w:r w:rsidR="00A85072" w:rsidRPr="00A85072">
        <w:t xml:space="preserve"> compl</w:t>
      </w:r>
      <w:r w:rsidR="00A85072">
        <w:t>ied</w:t>
      </w:r>
      <w:r w:rsidR="00A85072" w:rsidRPr="00A85072">
        <w:t xml:space="preserve"> with the University</w:t>
      </w:r>
      <w:r w:rsidR="00A85072">
        <w:t xml:space="preserve"> of Wales Trinity Saint David</w:t>
      </w:r>
      <w:r w:rsidR="008634DC">
        <w:t>’s</w:t>
      </w:r>
      <w:r w:rsidR="00A85072" w:rsidRPr="00A85072">
        <w:t xml:space="preserve"> </w:t>
      </w:r>
      <w:r w:rsidR="008634DC">
        <w:t>d</w:t>
      </w:r>
      <w:r w:rsidR="00A85072" w:rsidRPr="00A85072">
        <w:t>ata guidelines</w:t>
      </w:r>
      <w:r w:rsidR="00A85072">
        <w:t xml:space="preserve"> </w:t>
      </w:r>
      <w:r w:rsidR="000C6C0C">
        <w:t>and</w:t>
      </w:r>
      <w:r w:rsidR="00A85072" w:rsidRPr="00A85072">
        <w:t xml:space="preserve"> adhere</w:t>
      </w:r>
      <w:r w:rsidR="00A85072">
        <w:t xml:space="preserve">s </w:t>
      </w:r>
      <w:r w:rsidR="00A85072" w:rsidRPr="00A85072">
        <w:t>to the requirements of the GDPR 2018.</w:t>
      </w:r>
      <w:r w:rsidR="00BB08CF">
        <w:t xml:space="preserve"> </w:t>
      </w:r>
      <w:r w:rsidR="005B5CE3">
        <w:t xml:space="preserve">In order to rationalise a methodology for which Additional learning need (ALN), the group wished to research, Secondary research needed to take place to justify the need for </w:t>
      </w:r>
      <w:r w:rsidR="008634DC">
        <w:t xml:space="preserve">Primary research to occur. The primary research was justified by the evidence presented by the group members in the form of annotated research, which highlighted the growing need for inclusion of children with Dyslexia, (see group file). This prompted the primary research to commence, which was done via a questionnaire.  </w:t>
      </w:r>
      <w:r w:rsidR="00906F53">
        <w:t xml:space="preserve">Quantitative Research forms research that can be quantified to solve a paint as it generates numerical data that can be used as statistics. Quantitative Research forms measurable data that presents </w:t>
      </w:r>
      <w:proofErr w:type="gramStart"/>
      <w:r w:rsidR="00906F53">
        <w:t>factual information</w:t>
      </w:r>
      <w:proofErr w:type="gramEnd"/>
      <w:r w:rsidR="00906F53">
        <w:t xml:space="preserve"> and makes formation of patterns possible</w:t>
      </w:r>
      <w:r w:rsidR="005A43CE">
        <w:t>.</w:t>
      </w:r>
      <w:r w:rsidR="006353DF">
        <w:t xml:space="preserve"> </w:t>
      </w:r>
      <w:r w:rsidR="00906F53">
        <w:t>Methods for collating quantitative data include Questionnaires, electronic and paper form and personal interviews.</w:t>
      </w:r>
      <w:r w:rsidR="003C2132">
        <w:t xml:space="preserve"> </w:t>
      </w:r>
      <w:proofErr w:type="gramStart"/>
      <w:r w:rsidR="006353DF" w:rsidRPr="006353DF">
        <w:t>In</w:t>
      </w:r>
      <w:proofErr w:type="gramEnd"/>
      <w:r w:rsidR="006353DF" w:rsidRPr="006353DF">
        <w:t xml:space="preserve"> addition to completing quantitative research in the form of the electronic questionnaire, Qualitative research also took place. Qualitative Research involves less structured methods and usually takes price prior to quantitative where points can then be proven. Qualitative research includes discussions, observations and looks at opinions and background reasons for data</w:t>
      </w:r>
      <w:r w:rsidR="003C2132">
        <w:t xml:space="preserve">, (Hammersley, 2007). </w:t>
      </w:r>
      <w:r w:rsidR="008634DC">
        <w:t>The aim of this questionnaire was to investigate inclusive practice in Primary Schools in the local areas of: Carmarthenshire, Swansea and Neath Port Talbot.</w:t>
      </w:r>
    </w:p>
    <w:p w:rsidR="0029760E" w:rsidRDefault="0029760E" w:rsidP="00A85072"/>
    <w:p w:rsidR="004E3C35" w:rsidRDefault="0029760E" w:rsidP="00A85072">
      <w:r>
        <w:t>When constructing the questionnaire, the group felt that it was appropriate to include elements that have been highlighted</w:t>
      </w:r>
      <w:r w:rsidR="00B528E0">
        <w:t xml:space="preserve"> in secondary research as factor</w:t>
      </w:r>
      <w:r w:rsidR="00581A1D">
        <w:t>s</w:t>
      </w:r>
      <w:r w:rsidR="00B528E0">
        <w:t xml:space="preserve"> to look at</w:t>
      </w:r>
      <w:r w:rsidR="00561819">
        <w:t xml:space="preserve">. </w:t>
      </w:r>
      <w:r w:rsidR="0085262C">
        <w:t xml:space="preserve">This will allow the writer to </w:t>
      </w:r>
      <w:r w:rsidR="0085262C">
        <w:lastRenderedPageBreak/>
        <w:t xml:space="preserve">compare the findings of the questionnaire results alongside existing Dyslexia research. </w:t>
      </w:r>
      <w:r w:rsidR="00BE2F54">
        <w:t xml:space="preserve">At the forefront of the groups rationale was the main question “What makes an inclusive educational </w:t>
      </w:r>
      <w:r w:rsidR="0085262C">
        <w:t>setting?</w:t>
      </w:r>
      <w:r w:rsidR="00BE2F54">
        <w:t xml:space="preserve"> An aspect that we wished to look at was to investigate whether there is a barrier to inclusive learning in relation to the lack </w:t>
      </w:r>
      <w:r w:rsidR="00581A1D">
        <w:t xml:space="preserve">of diagnosis for dyslexia and what </w:t>
      </w:r>
      <w:r w:rsidR="0085262C">
        <w:t xml:space="preserve">no diagnosis means for a child with dyslexia. </w:t>
      </w:r>
      <w:r w:rsidR="00E81F95">
        <w:t>Figure 1 (GRAPH) below shows a comparison of</w:t>
      </w:r>
      <w:r w:rsidR="00D16C8E">
        <w:t xml:space="preserve"> pupils showing signs of signs of dyslexia and pupils with an actual diagnosis of dyslexia. As the graph shows, there is a clear gap between the </w:t>
      </w:r>
      <w:r w:rsidR="00E9459D">
        <w:t>number</w:t>
      </w:r>
      <w:r w:rsidR="00D16C8E">
        <w:t xml:space="preserve"> of pupils displaying symptoms and with a diagnosis. </w:t>
      </w:r>
      <w:r w:rsidR="000417E8">
        <w:t xml:space="preserve">To ensure an inclusive curriculum, diagnosis of dyslexia is essential. Appropriate measures can be put in place </w:t>
      </w:r>
      <w:r w:rsidR="004E3C35">
        <w:t xml:space="preserve">to aid </w:t>
      </w:r>
      <w:r w:rsidR="00E9459D">
        <w:t>learning and</w:t>
      </w:r>
      <w:r w:rsidR="004E3C35">
        <w:t xml:space="preserve"> will be tailored to the specific aspects of dyslexia that the child is struggling with most. Hall (2009) </w:t>
      </w:r>
      <w:r w:rsidR="00E62965">
        <w:t>highlights</w:t>
      </w:r>
      <w:r w:rsidR="004E3C35">
        <w:t xml:space="preserve"> the importance of screening</w:t>
      </w:r>
      <w:r w:rsidR="00E62965">
        <w:t xml:space="preserve"> at classroom level but hones on the importance that once an aspect of </w:t>
      </w:r>
      <w:r w:rsidR="00E9459D">
        <w:t>dyslexia</w:t>
      </w:r>
      <w:r w:rsidR="00E62965">
        <w:t xml:space="preserve"> has been noted frequently, this must be passed to the appropriate individual who can assess and diagnose correctly. This is usually the School SENCO who will </w:t>
      </w:r>
      <w:r w:rsidR="00FF6F10">
        <w:t>put these measures in place.</w:t>
      </w:r>
    </w:p>
    <w:p w:rsidR="00FF6F10" w:rsidRDefault="00FF6F10" w:rsidP="00A85072">
      <w:r w:rsidRPr="00FF6F10">
        <w:t>The SENCO’s role within a school is to establish effective methods of overcoming hindrances to learning and their aim should be to continue with positive teaching through assessment and inquiry of the pupils needs alongside monitoring teaching and implementing targets for improvement. The SENCO should work in line with other educational practitioners to ensure that all children’s learning is given equal priority and resources are maximised effectively, (Sen Code of Practice, 2004). The SpLD framework (2015) indicates the need for practitioners to” focus on early identification of learners by using appropriate screening tools”. The gap shown from the data produced from question 7a/b of the questionnaire highlights the need for this screening as despite respondents stating they can and have previously identified children with signs of dyslexia, it is evident from this data that there is a need for an inclusive approach to addressing symptoms of dyslexia and implementing the appropriate modes of assessment.</w:t>
      </w:r>
    </w:p>
    <w:p w:rsidR="002A5F4F" w:rsidRDefault="002A5F4F" w:rsidP="00A85072">
      <w:r>
        <w:t>On respondent of the research stated that dyslexia</w:t>
      </w:r>
      <w:r w:rsidRPr="002A5F4F">
        <w:t xml:space="preserve"> </w:t>
      </w:r>
      <w:r>
        <w:t>hadn’t</w:t>
      </w:r>
      <w:r w:rsidRPr="002A5F4F">
        <w:t xml:space="preserve"> been </w:t>
      </w:r>
      <w:r>
        <w:t>‘</w:t>
      </w:r>
      <w:r w:rsidRPr="002A5F4F">
        <w:t xml:space="preserve">diagnosed but as a school </w:t>
      </w:r>
      <w:r>
        <w:t>they</w:t>
      </w:r>
      <w:r w:rsidRPr="002A5F4F">
        <w:t xml:space="preserve"> have identified “traits” </w:t>
      </w:r>
      <w:r>
        <w:t>of</w:t>
      </w:r>
      <w:r w:rsidRPr="002A5F4F">
        <w:t xml:space="preserve"> dyslexia</w:t>
      </w:r>
      <w:r>
        <w:t xml:space="preserve">’. Despite this being a </w:t>
      </w:r>
      <w:r w:rsidR="004707C3">
        <w:t>forward-thinking</w:t>
      </w:r>
      <w:r>
        <w:t xml:space="preserve"> route to </w:t>
      </w:r>
      <w:r w:rsidR="004707C3">
        <w:t xml:space="preserve">take with identifying aspects of dyslexia, it is also important to consider the implications of not referring a child for at least dyslexic screening. It is in the interest of the child for this to be done to ensure equality amongst all. </w:t>
      </w:r>
    </w:p>
    <w:p w:rsidR="00743754" w:rsidRDefault="003E55BB">
      <w:r w:rsidRPr="003E55BB">
        <w:t>Screening tests need to be completed quickly to help the educators with inclusion within the curriculum, and although this is effective in being able to put measures in place for the child, it also hinders the reliability of the test as time hasn’t been taken to carefully analyse the strengths and weaknesses of the child displaying elements of dyslexia. In addition to this, on average screening tests are 75% accurate and alongside the screening test, despite the outcome, it is advised that teachers should proceed with caution and monitor their progress, particularly their highlighted weaknesses (WAG, 2012).</w:t>
      </w:r>
      <w:r w:rsidR="00C96E19">
        <w:t xml:space="preserve"> Screening takes place primarily to distinguish whether there are identifiable dyslexia difficulties. Following these identifications, there is reason for a full diagnostic assessment to </w:t>
      </w:r>
      <w:r w:rsidR="004B2A16">
        <w:t xml:space="preserve">take place. Screening can be done by a teacher and are implemented in different ways whereas the diagnostic assessment takes place by a specially trained practitioner. It is appropriate to note here that the data collected also highlighted that only 64% of the respondents of the questionnaire had training in dyslexia despite stating that they have previously identified signs of dyslexia. </w:t>
      </w:r>
      <w:r w:rsidR="00A23FD6">
        <w:t xml:space="preserve">WAG (2006) </w:t>
      </w:r>
      <w:r w:rsidR="006F4A03" w:rsidRPr="006F4A03">
        <w:t xml:space="preserve">advises that schools </w:t>
      </w:r>
      <w:r w:rsidR="006F4A03">
        <w:t>should give consideration</w:t>
      </w:r>
      <w:r w:rsidR="006F4A03" w:rsidRPr="006F4A03">
        <w:t xml:space="preserve"> whether the children with dyslexia are learning at a slower pace than others due to the curriculum not being inclusive. This can include the incorrect level of learning being taught due to a lack of diagnosis, as well as this it could include miss diagnosis </w:t>
      </w:r>
      <w:r w:rsidR="006F4A03">
        <w:t>of</w:t>
      </w:r>
      <w:r w:rsidR="006F4A03" w:rsidRPr="006F4A03">
        <w:t xml:space="preserve"> certain elements of dyslexia.</w:t>
      </w:r>
    </w:p>
    <w:p w:rsidR="006E1AA3" w:rsidRDefault="00F37202" w:rsidP="00F37202">
      <w:r>
        <w:lastRenderedPageBreak/>
        <w:t xml:space="preserve">The ‘No </w:t>
      </w:r>
      <w:proofErr w:type="gramStart"/>
      <w:r>
        <w:t>To</w:t>
      </w:r>
      <w:proofErr w:type="gramEnd"/>
      <w:r>
        <w:t xml:space="preserve"> Failure project’ (2008) studied the educational importance of screening for dyslexia and was proposed to aim to interpret how, if dyslexia is ignored or miss-diagnosed, could eventually result in educational failure. This study found that 55 % of pupils who did not reach the expected level for national Standard Assessment Tests (SATs) were </w:t>
      </w:r>
      <w:proofErr w:type="gramStart"/>
      <w:r>
        <w:t>actually further</w:t>
      </w:r>
      <w:proofErr w:type="gramEnd"/>
      <w:r>
        <w:t xml:space="preserve"> identified to be at showing attributes of dyslexia or another SpLD.</w:t>
      </w:r>
      <w:r w:rsidR="003173CE">
        <w:t xml:space="preserve"> </w:t>
      </w:r>
      <w:r>
        <w:t xml:space="preserve">This data supports the argument for the need for diagnosis </w:t>
      </w:r>
      <w:proofErr w:type="gramStart"/>
      <w:r>
        <w:t>as  the</w:t>
      </w:r>
      <w:proofErr w:type="gramEnd"/>
      <w:r>
        <w:t xml:space="preserve"> unidentified </w:t>
      </w:r>
      <w:proofErr w:type="spellStart"/>
      <w:r>
        <w:t>SpLD’s</w:t>
      </w:r>
      <w:proofErr w:type="spellEnd"/>
      <w:r>
        <w:t xml:space="preserve"> could be seen as a cause for educational failure.</w:t>
      </w:r>
      <w:r w:rsidR="00983BA7">
        <w:t xml:space="preserve"> </w:t>
      </w:r>
      <w:r w:rsidR="00B4446B">
        <w:t xml:space="preserve">Further support for the need for a diagnosis is given by </w:t>
      </w:r>
      <w:r w:rsidR="00B4446B" w:rsidRPr="00B4446B">
        <w:t>BDA (2012) who report that best practice schools who are Dyslexia inclusive, regularly ensure on going developments are made to achieve Dyslexia friendly status within the school and an important factor to this is regularly implementing Whole school Dyslexia awareness training.</w:t>
      </w:r>
    </w:p>
    <w:p w:rsidR="00CB5928" w:rsidRDefault="00CB5928" w:rsidP="00F37202">
      <w:r>
        <w:t>However, on the other hand</w:t>
      </w:r>
      <w:r w:rsidR="00DB4C73">
        <w:t>,</w:t>
      </w:r>
      <w:r>
        <w:t xml:space="preserve"> </w:t>
      </w:r>
      <w:r w:rsidR="007217CF" w:rsidRPr="007217CF">
        <w:t>Elliot (2014) disagrees with the need for a diagnosis and states that the belief for that it will aid teachers in identifying intervention methods is a myth. This belief is widely contradicted by</w:t>
      </w:r>
      <w:r w:rsidR="00983BA7">
        <w:t xml:space="preserve"> </w:t>
      </w:r>
      <w:r w:rsidR="007217CF" w:rsidRPr="007217CF">
        <w:t>the evidence to</w:t>
      </w:r>
      <w:r w:rsidR="00462009">
        <w:t xml:space="preserve"> support</w:t>
      </w:r>
      <w:r w:rsidR="007217CF" w:rsidRPr="007217CF">
        <w:t xml:space="preserve"> diagnosis alongside support of training for dyslexia identification.</w:t>
      </w:r>
    </w:p>
    <w:p w:rsidR="0064102E" w:rsidRDefault="00E1339A" w:rsidP="00F37202">
      <w:r>
        <w:t>Another aspect of inclusive practice that was looked at within the questionnaire was how resources to support children with dyslexia are presented and used within the classroom.</w:t>
      </w:r>
      <w:r w:rsidR="00D259BE">
        <w:t xml:space="preserve"> During prior background research, there was </w:t>
      </w:r>
      <w:r w:rsidR="009F0BBC">
        <w:t>several</w:t>
      </w:r>
      <w:r w:rsidR="00D259BE">
        <w:t xml:space="preserve"> aids that were frequently associated with inclusive practice of dyslexia. These </w:t>
      </w:r>
      <w:r w:rsidR="009F0BBC">
        <w:t>a</w:t>
      </w:r>
      <w:r w:rsidR="00D259BE">
        <w:t>ids were resources such as, Pen grips, tilted desks</w:t>
      </w:r>
      <w:r w:rsidR="009F0BBC">
        <w:t xml:space="preserve">, coloured fonts and reading rulers. The British Dyslexia Association reviews schools to assess how dyslexia friendly their environment is and part of the criteria for success is the </w:t>
      </w:r>
      <w:r w:rsidR="00A60377">
        <w:t xml:space="preserve">requirement </w:t>
      </w:r>
      <w:r w:rsidR="009F0BBC">
        <w:t>for “d</w:t>
      </w:r>
      <w:r w:rsidR="009F0BBC" w:rsidRPr="009F0BBC">
        <w:t xml:space="preserve">esk top aids </w:t>
      </w:r>
      <w:r w:rsidR="009F0BBC">
        <w:t>to be</w:t>
      </w:r>
      <w:r w:rsidR="009F0BBC" w:rsidRPr="009F0BBC">
        <w:t xml:space="preserve"> available and their use encouraged</w:t>
      </w:r>
      <w:r w:rsidR="009F0BBC">
        <w:t xml:space="preserve"> regularly”</w:t>
      </w:r>
      <w:r w:rsidR="00A60377">
        <w:t>, another requirement to promote inclusivity is that “e</w:t>
      </w:r>
      <w:r w:rsidR="00A60377" w:rsidRPr="00A60377">
        <w:t>ffective use is made of colour</w:t>
      </w:r>
      <w:r w:rsidR="00A60377">
        <w:t xml:space="preserve"> as </w:t>
      </w:r>
      <w:r w:rsidR="00A60377" w:rsidRPr="00A60377">
        <w:t>visual aids</w:t>
      </w:r>
      <w:r w:rsidR="00A60377">
        <w:t xml:space="preserve"> and colour is used</w:t>
      </w:r>
      <w:r w:rsidR="00A60377" w:rsidRPr="00A60377">
        <w:t xml:space="preserve"> within presented information to highlight key points</w:t>
      </w:r>
      <w:r w:rsidR="00A60377">
        <w:t>”,(BDA,2012)</w:t>
      </w:r>
      <w:r w:rsidR="00AA206B">
        <w:t xml:space="preserve">.  As shown by Figure 2 below (GRAPH) </w:t>
      </w:r>
      <w:r w:rsidR="000351ED">
        <w:t xml:space="preserve">more than half of the respondents favoured using reading rulers as an aid specifically for individuals with dyslexia, </w:t>
      </w:r>
      <w:r w:rsidR="002A5F4F">
        <w:t>as well</w:t>
      </w:r>
      <w:r w:rsidR="000351ED">
        <w:t xml:space="preserve"> as using pen grips and tilted desks for these individuals. These resources promote inclusive practice as the children with dyslexia </w:t>
      </w:r>
      <w:r w:rsidR="002A5F4F">
        <w:t>can</w:t>
      </w:r>
      <w:r w:rsidR="000351ED">
        <w:t xml:space="preserve"> remain within the mainstream classroom with the help of these aids, which will ensure their self esteem is not affected and they and equal to their peers. Excellent practice is promoted by the BDA as they advocate certain </w:t>
      </w:r>
      <w:r w:rsidR="006353DF">
        <w:t>criteria</w:t>
      </w:r>
      <w:r w:rsidR="006E0ACD">
        <w:t xml:space="preserve"> for inclusive practice with </w:t>
      </w:r>
      <w:r w:rsidR="002A5F4F">
        <w:t>children</w:t>
      </w:r>
      <w:r w:rsidR="006E0ACD">
        <w:t xml:space="preserve"> with dyslexia. </w:t>
      </w:r>
      <w:r w:rsidR="002A5F4F">
        <w:t xml:space="preserve">To support these </w:t>
      </w:r>
      <w:r w:rsidR="006353DF">
        <w:t>criteria’s</w:t>
      </w:r>
      <w:r w:rsidR="002A5F4F">
        <w:t>, the association credits establishments with their own ‘</w:t>
      </w:r>
      <w:r w:rsidR="002A5F4F" w:rsidRPr="002A5F4F">
        <w:t>BDA Dyslexia Friendly Quality Mark award</w:t>
      </w:r>
      <w:r w:rsidR="002A5F4F">
        <w:t xml:space="preserve">’ to solidify their competence in dyslexia inclusion. </w:t>
      </w:r>
    </w:p>
    <w:p w:rsidR="00E35E63" w:rsidRDefault="002A5F4F" w:rsidP="00F37202">
      <w:r>
        <w:t xml:space="preserve">One </w:t>
      </w:r>
      <w:r w:rsidR="00E9459D">
        <w:t>respondent</w:t>
      </w:r>
      <w:r>
        <w:t xml:space="preserve"> stated that in addition to using the aids listed, that they thought it w</w:t>
      </w:r>
      <w:r w:rsidR="00565C5C">
        <w:t>a</w:t>
      </w:r>
      <w:r>
        <w:t xml:space="preserve">s beneficial that </w:t>
      </w:r>
      <w:r w:rsidR="00E9459D" w:rsidRPr="00E9459D">
        <w:t xml:space="preserve">Dyslexia friendly reading books </w:t>
      </w:r>
      <w:r w:rsidR="00565C5C">
        <w:t xml:space="preserve">should also be used which feature </w:t>
      </w:r>
      <w:r w:rsidR="00E9459D" w:rsidRPr="00E9459D">
        <w:t>a cream page and</w:t>
      </w:r>
      <w:r w:rsidR="00565C5C">
        <w:t xml:space="preserve"> </w:t>
      </w:r>
      <w:r w:rsidR="002B1501">
        <w:t xml:space="preserve">have </w:t>
      </w:r>
      <w:r w:rsidR="002B1501" w:rsidRPr="00E9459D">
        <w:t>larger</w:t>
      </w:r>
      <w:r w:rsidR="00E9459D" w:rsidRPr="00E9459D">
        <w:t xml:space="preserve"> gaps between the lines.</w:t>
      </w:r>
      <w:r w:rsidR="002B1501">
        <w:t xml:space="preserve"> This is evidence of inclusive practice in relation to dyslexia. Although several respondents used the aids for just certain individuals, others found it beneficial to use the resources amongst groups and whole class. Coloured paper</w:t>
      </w:r>
      <w:r w:rsidR="003A2BA8">
        <w:t>/overlays</w:t>
      </w:r>
      <w:r w:rsidR="002B1501">
        <w:t xml:space="preserve"> and font was used for whole class learning</w:t>
      </w:r>
      <w:r w:rsidR="003A2BA8">
        <w:t xml:space="preserve"> as an inclusive approach. </w:t>
      </w:r>
      <w:r w:rsidR="003A2BA8" w:rsidRPr="003A2BA8">
        <w:t xml:space="preserve">Children with dyslexia often have difficulty with visual processes, Wilkins (1995) previously highlighted that coloured overlays may be beneficial in aiding these difficulties. In further support for the use of overlays, </w:t>
      </w:r>
      <w:proofErr w:type="spellStart"/>
      <w:r w:rsidR="003A2BA8" w:rsidRPr="003A2BA8">
        <w:t>Kriss</w:t>
      </w:r>
      <w:proofErr w:type="spellEnd"/>
      <w:r w:rsidR="003A2BA8" w:rsidRPr="003A2BA8">
        <w:t xml:space="preserve"> and Evans (2005) established evidence which saw 45% of dyslexic children read 5 % faster with a coloured overlay in comparison with a subject group of </w:t>
      </w:r>
      <w:r w:rsidR="003A2BA8" w:rsidRPr="003A2BA8">
        <w:t>non-dyslexic</w:t>
      </w:r>
      <w:r w:rsidR="003A2BA8" w:rsidRPr="003A2BA8">
        <w:t xml:space="preserve"> children.</w:t>
      </w:r>
      <w:r w:rsidR="00622BC3">
        <w:t xml:space="preserve"> The writer has previously observed these overlays in practice during a Professional Teaching experience (PTE). The teacher used these overlays with the whole class, and the writer notes that it was very inclusive </w:t>
      </w:r>
      <w:r w:rsidR="00EC0252">
        <w:t>particularly</w:t>
      </w:r>
      <w:r w:rsidR="00622BC3">
        <w:t xml:space="preserve"> for the child with dyslexia as they did not feel singled out amongst their peers. In addition to this observation, the writer also conferenced with the SEN unit class teacher. During this discussion</w:t>
      </w:r>
      <w:r w:rsidR="005C05D0">
        <w:t xml:space="preserve">, the trained SEN professional spoke highly of the use of coloured pens particularly when giving instructions. She believed they were beneficial as the various colours </w:t>
      </w:r>
      <w:r w:rsidR="00EC0252">
        <w:t>distinguished</w:t>
      </w:r>
      <w:r w:rsidR="006250DE">
        <w:t xml:space="preserve"> a sequence to the children, for </w:t>
      </w:r>
      <w:r w:rsidR="00EC0252">
        <w:t>example</w:t>
      </w:r>
      <w:r w:rsidR="006250DE">
        <w:t xml:space="preserve"> they </w:t>
      </w:r>
      <w:r w:rsidR="006250DE">
        <w:lastRenderedPageBreak/>
        <w:t xml:space="preserve">knew </w:t>
      </w:r>
      <w:r w:rsidR="00EC0252">
        <w:t>they</w:t>
      </w:r>
      <w:r w:rsidR="006250DE">
        <w:t xml:space="preserve"> had to write the red first, </w:t>
      </w:r>
      <w:r w:rsidR="00EC0252">
        <w:t>yellow</w:t>
      </w:r>
      <w:r w:rsidR="006250DE">
        <w:t xml:space="preserve"> next, then move to green etc.</w:t>
      </w:r>
      <w:r w:rsidR="00CE2B48">
        <w:t xml:space="preserve">  Bold (2004) gives support to this and states that the different colours are </w:t>
      </w:r>
      <w:r w:rsidR="00EC0252">
        <w:t>useful</w:t>
      </w:r>
      <w:r w:rsidR="00CE2B48">
        <w:t xml:space="preserve"> for the children to able to view texts from a distance within the classroom </w:t>
      </w:r>
      <w:r w:rsidR="00EC0252">
        <w:t>but</w:t>
      </w:r>
      <w:r w:rsidR="00CE2B48">
        <w:t xml:space="preserve"> locate their place in the reading again by referring to the colours of the texts.</w:t>
      </w:r>
    </w:p>
    <w:p w:rsidR="000D3B09" w:rsidRDefault="000D3B09" w:rsidP="00F37202">
      <w:r>
        <w:t xml:space="preserve">A significant factor to inclusion of children with dyslexia </w:t>
      </w:r>
      <w:r w:rsidR="001D65A5">
        <w:t xml:space="preserve">is being able to feel confident within the mainstream </w:t>
      </w:r>
      <w:r w:rsidR="00DC3E62">
        <w:t>classroom</w:t>
      </w:r>
      <w:r w:rsidR="001D65A5">
        <w:t xml:space="preserve"> and not experience disadvantage to their peers. Respondents of the questionnaire provided further evidence that implementing aids from children with dyslexia had a positive effect within the classroom. 93% of respondents stated that the impact of the </w:t>
      </w:r>
      <w:r w:rsidR="00DC3E62">
        <w:t>resources</w:t>
      </w:r>
      <w:r w:rsidR="001D65A5">
        <w:t xml:space="preserve"> </w:t>
      </w:r>
      <w:r w:rsidR="00EC0252">
        <w:t>was</w:t>
      </w:r>
      <w:r w:rsidR="001D65A5">
        <w:t xml:space="preserve"> positive</w:t>
      </w:r>
      <w:r w:rsidR="00EC0252">
        <w:t>, (</w:t>
      </w:r>
      <w:r w:rsidR="00EC0252" w:rsidRPr="00EC0252">
        <w:rPr>
          <w:color w:val="FF0000"/>
        </w:rPr>
        <w:t>see figure 3</w:t>
      </w:r>
      <w:r w:rsidR="00EC0252">
        <w:t>)</w:t>
      </w:r>
      <w:r w:rsidR="001D65A5">
        <w:t xml:space="preserve"> On</w:t>
      </w:r>
      <w:r w:rsidR="00DC3E62">
        <w:t>e</w:t>
      </w:r>
      <w:r w:rsidR="001D65A5">
        <w:t xml:space="preserve"> </w:t>
      </w:r>
      <w:r w:rsidR="00DC3E62">
        <w:t>respondent</w:t>
      </w:r>
      <w:r w:rsidR="001D65A5">
        <w:t xml:space="preserve"> remarked that</w:t>
      </w:r>
      <w:r w:rsidR="00DC3E62">
        <w:t xml:space="preserve"> fellow pupils have been observed being</w:t>
      </w:r>
      <w:r w:rsidR="00DC3E62" w:rsidRPr="00DC3E62">
        <w:t xml:space="preserve"> understanding</w:t>
      </w:r>
      <w:r w:rsidR="00DC3E62">
        <w:t xml:space="preserve"> of these aids and no issue has been made of it. They also added that in their experience, having a teacher’s assistant (TA) helping, it builds up a good rapport between other pupils and the assistance and aids become “the norm” within the class.</w:t>
      </w:r>
      <w:r w:rsidR="008209B6">
        <w:t xml:space="preserve"> Although the</w:t>
      </w:r>
      <w:r w:rsidR="001B4AC0">
        <w:t xml:space="preserve">se have a positive impact across the classroom, the writer feels that it is important to take into consideration that sometimes it is just not appropriate </w:t>
      </w:r>
      <w:r w:rsidR="00DA0713">
        <w:t>to</w:t>
      </w:r>
      <w:r w:rsidR="001B4AC0">
        <w:t xml:space="preserve"> use certain teaching approaches. Being inclusive also means that the specific needs of the child with dyslexia need to be</w:t>
      </w:r>
      <w:r w:rsidR="00E957D9">
        <w:t xml:space="preserve"> explicitly</w:t>
      </w:r>
      <w:r w:rsidR="001B4AC0">
        <w:t xml:space="preserve"> considered, and this does at times mean that they are taught in a different manner to their peers, despite this they are still experiencing inclusive learning</w:t>
      </w:r>
      <w:r w:rsidR="00E957D9">
        <w:t xml:space="preserve"> as it is tailored to their needs. Reid (2011) supports this a</w:t>
      </w:r>
      <w:r w:rsidR="00685130">
        <w:t>nd n</w:t>
      </w:r>
      <w:r w:rsidR="00685130" w:rsidRPr="00685130">
        <w:t>otes that identification of the difficulties and strengths that the learner experiences is of utmost importance as it provides a starting point for the teacher to tailor their approach to the needs of the child.</w:t>
      </w:r>
      <w:r w:rsidR="007F539A">
        <w:t xml:space="preserve"> Furthermore, </w:t>
      </w:r>
      <w:r w:rsidR="00B86889">
        <w:t>t</w:t>
      </w:r>
      <w:r w:rsidR="003B60CF" w:rsidRPr="003B60CF">
        <w:t xml:space="preserve">here has been support for intervention approaches which focus on phonological </w:t>
      </w:r>
      <w:r w:rsidR="00B86889" w:rsidRPr="003B60CF">
        <w:t>skills</w:t>
      </w:r>
      <w:r w:rsidR="003B60CF" w:rsidRPr="003B60CF">
        <w:t xml:space="preserve"> for reading and writing which will benefit children with dyslexia. This type of approach is favoured to include structured sessions, short bursts of information as opposed to long winded sessions and time should be </w:t>
      </w:r>
      <w:r w:rsidR="00B86889" w:rsidRPr="003B60CF">
        <w:t>given</w:t>
      </w:r>
      <w:r w:rsidR="003B60CF" w:rsidRPr="003B60CF">
        <w:t xml:space="preserve"> to allow reflection</w:t>
      </w:r>
      <w:r w:rsidR="00B86889">
        <w:t>, (Rose,2009).</w:t>
      </w:r>
    </w:p>
    <w:p w:rsidR="002331AA" w:rsidRDefault="00DA0713" w:rsidP="00F37202">
      <w:r>
        <w:t xml:space="preserve">When considering the more prominent aspects of dyslexia, it was important to consider whether they </w:t>
      </w:r>
      <w:proofErr w:type="gramStart"/>
      <w:r>
        <w:t xml:space="preserve">have an </w:t>
      </w:r>
      <w:r w:rsidR="0071139A">
        <w:t>effect</w:t>
      </w:r>
      <w:r>
        <w:t xml:space="preserve"> on</w:t>
      </w:r>
      <w:proofErr w:type="gramEnd"/>
      <w:r>
        <w:t xml:space="preserve"> how inclusive </w:t>
      </w:r>
      <w:r w:rsidR="0071139A">
        <w:t>learning</w:t>
      </w:r>
      <w:r>
        <w:t xml:space="preserve"> is for children with dyslexia. </w:t>
      </w:r>
      <w:r w:rsidR="0071139A">
        <w:t xml:space="preserve">Question 10 of the questionnaire was aimed to help consider if these aspects affect inclusive practice. </w:t>
      </w:r>
      <w:r w:rsidR="0071139A" w:rsidRPr="00EC0252">
        <w:rPr>
          <w:color w:val="FF0000"/>
        </w:rPr>
        <w:t xml:space="preserve">Figure </w:t>
      </w:r>
      <w:r w:rsidR="004A14CA" w:rsidRPr="00EC0252">
        <w:rPr>
          <w:color w:val="FF0000"/>
        </w:rPr>
        <w:t>4</w:t>
      </w:r>
      <w:r w:rsidR="0071139A" w:rsidRPr="00EC0252">
        <w:rPr>
          <w:color w:val="FF0000"/>
        </w:rPr>
        <w:t xml:space="preserve"> </w:t>
      </w:r>
      <w:r w:rsidR="0071139A">
        <w:t xml:space="preserve">(GRAPH) highlights that difficulty with spelling is a frequent aspect </w:t>
      </w:r>
      <w:r w:rsidR="006353DF">
        <w:t xml:space="preserve">identified by respondents as </w:t>
      </w:r>
      <w:r w:rsidR="003C2132">
        <w:t xml:space="preserve">‘always’ </w:t>
      </w:r>
      <w:r w:rsidR="006353DF">
        <w:t>being displayed.</w:t>
      </w:r>
      <w:r w:rsidR="005E7EDB">
        <w:t xml:space="preserve"> 67% of respondents stated that spelling was the most prominent aspect.</w:t>
      </w:r>
      <w:r w:rsidR="003C2132">
        <w:t xml:space="preserve"> This data is supported by Montgomery (2000) who noted that some children with dyslexia are often gifted in reading but frequent with poor spelling. Furthermore, Waller (2001) argued that this is due to the onus placed on reading in early education, meaning spelling problems continue to develop even when reading problems in a child with dyslexia improves. </w:t>
      </w:r>
      <w:r w:rsidR="000E25FF" w:rsidRPr="000E25FF">
        <w:t>Dyslexia affects the ability process currently and in terms of literacy it affects writing, reading and spelling. In addition to these difficulties it is also known to impact time management, processing speeds, memory and co-ordination,</w:t>
      </w:r>
      <w:r w:rsidR="001171F4">
        <w:t xml:space="preserve"> </w:t>
      </w:r>
      <w:r w:rsidR="000E25FF" w:rsidRPr="000E25FF">
        <w:t>(Reid,2009).</w:t>
      </w:r>
      <w:r w:rsidR="001171F4">
        <w:t xml:space="preserve"> WAG (2012) highlighted spelling difficulties in a child with dyslexia could have “i</w:t>
      </w:r>
      <w:r w:rsidR="004C5041" w:rsidRPr="004C5041">
        <w:t>mplications for exam provision for the young person</w:t>
      </w:r>
      <w:r w:rsidR="001171F4">
        <w:t>”. This strengthens the need for inclusive practice for children with dyslexia as difficulties such as this can have profound im</w:t>
      </w:r>
      <w:r w:rsidR="005E7EDB">
        <w:t xml:space="preserve">pact of a </w:t>
      </w:r>
      <w:r w:rsidR="00986CCD">
        <w:t>child’s</w:t>
      </w:r>
      <w:r w:rsidR="005E7EDB">
        <w:t xml:space="preserve"> </w:t>
      </w:r>
      <w:r w:rsidR="00986CCD">
        <w:t>self-esteem</w:t>
      </w:r>
      <w:r w:rsidR="005E7EDB">
        <w:t xml:space="preserve">. Qualitative research by the group found that </w:t>
      </w:r>
      <w:r w:rsidR="002331AA">
        <w:t>lack of self esteem was a huge factor that affects children with dyslexia.</w:t>
      </w:r>
      <w:r w:rsidR="00986CCD">
        <w:t xml:space="preserve"> Much evidence highlights self-esteem and confidence issues in children with dyslexia and it had been found thank children with </w:t>
      </w:r>
      <w:r w:rsidR="00553C0F">
        <w:t>dyslexia</w:t>
      </w:r>
      <w:r w:rsidR="00986CCD">
        <w:t xml:space="preserve"> experience lower </w:t>
      </w:r>
      <w:proofErr w:type="spellStart"/>
      <w:r w:rsidR="00986CCD">
        <w:t xml:space="preserve">self </w:t>
      </w:r>
      <w:r w:rsidR="00553C0F">
        <w:t>esteem</w:t>
      </w:r>
      <w:proofErr w:type="spellEnd"/>
      <w:r w:rsidR="00986CCD">
        <w:t xml:space="preserve"> in mainstream schools compared to learners without dyslexia, </w:t>
      </w:r>
      <w:r w:rsidR="00986CCD" w:rsidRPr="00986CCD">
        <w:t>(Humphrey, 2002).</w:t>
      </w:r>
      <w:r w:rsidR="005225F7">
        <w:t xml:space="preserve">  Reid (2009) highlighted how important it is for educational practitioners to develop effective relationships with children with dyslexia as it provides links for children to always have someone to talk to.  In addition to this, Hall (2009) states how important it is to tackle the emotional issues that children with </w:t>
      </w:r>
      <w:r w:rsidR="001B2B99">
        <w:t>dyslexia</w:t>
      </w:r>
      <w:r w:rsidR="005225F7">
        <w:t xml:space="preserve"> experience, sooner rather than later. </w:t>
      </w:r>
      <w:r w:rsidR="00483E43">
        <w:t>In inclusion criterion, the</w:t>
      </w:r>
      <w:r w:rsidR="004071AA">
        <w:t xml:space="preserve"> </w:t>
      </w:r>
      <w:r w:rsidR="005225F7">
        <w:t>BDA (2012)</w:t>
      </w:r>
      <w:r w:rsidR="00483E43">
        <w:t xml:space="preserve"> </w:t>
      </w:r>
      <w:r w:rsidR="004071AA">
        <w:t xml:space="preserve">states that to demonstrate working partnerships with dyslexia children, they must explicitly aid the children with their emotional and behavioural issues. This means that interventions must be in place to aid </w:t>
      </w:r>
      <w:r w:rsidR="004071AA">
        <w:lastRenderedPageBreak/>
        <w:t xml:space="preserve">with this. In the interest of inclusive </w:t>
      </w:r>
      <w:r w:rsidR="00E41132">
        <w:t>practice,</w:t>
      </w:r>
      <w:r w:rsidR="004071AA">
        <w:t xml:space="preserve"> it is essential that teachers consider </w:t>
      </w:r>
      <w:r w:rsidR="00E41132">
        <w:t>differentiation</w:t>
      </w:r>
      <w:r w:rsidR="004071AA">
        <w:t xml:space="preserve"> within the classroom. In inclusion guidance, WAG (2016) highlighted that it is more damaging for children</w:t>
      </w:r>
      <w:r w:rsidR="00E41132">
        <w:t xml:space="preserve"> to not be presented with differentiated work, it effects their self-esteem more if they are given work that is out of their level of ability. </w:t>
      </w:r>
    </w:p>
    <w:p w:rsidR="00CB4480" w:rsidRDefault="00CB4480" w:rsidP="00F37202">
      <w:r>
        <w:t xml:space="preserve">Now to consider if age of children diagnosed with dyslexia effects inclusion. Question 7 of the questionnaire was included to investigate whether age of diagnosis plays a factor in any arising issues involving dyslexia. 43% of respondents stated that in their experience, the average of children diagnosed is 9-11 years. This data is interesting as it is at the top end of key stage two. This </w:t>
      </w:r>
      <w:r w:rsidR="003D69D1">
        <w:t xml:space="preserve">means that children often go through </w:t>
      </w:r>
      <w:r w:rsidR="00320101">
        <w:t>primary</w:t>
      </w:r>
      <w:r w:rsidR="003D69D1">
        <w:t xml:space="preserve"> education without a diagnosis meaning that they have been at a disadvantage in their learning. Hall (2009) identifies that at different stages of primary education, children typically display different signs of dyslexia at different ages. Behaviour is a prominent factor that is shown in key stage 2, </w:t>
      </w:r>
      <w:r w:rsidR="00320101">
        <w:t>particularly</w:t>
      </w:r>
      <w:r w:rsidR="003D69D1">
        <w:t xml:space="preserve"> in boys. Boys with undiagnosed dyslexia in KS2 often focus on becoming </w:t>
      </w:r>
      <w:r w:rsidR="00320101">
        <w:t>disruptive</w:t>
      </w:r>
      <w:r w:rsidR="003D69D1">
        <w:t xml:space="preserve"> within class and have higher levels of aggression. The lack of and late diagnosis means </w:t>
      </w:r>
      <w:r w:rsidR="00320101">
        <w:t xml:space="preserve">they have felt ‘out of place’ </w:t>
      </w:r>
      <w:r w:rsidR="00321325">
        <w:t>amongst</w:t>
      </w:r>
      <w:r w:rsidR="00320101">
        <w:t xml:space="preserve"> their peers, and lack identification of the root of their issues. Estyn (2012) found that a best practice key stage 3 institution</w:t>
      </w:r>
      <w:r w:rsidR="004F3653">
        <w:t xml:space="preserve"> displaced excellent inclusion practice by </w:t>
      </w:r>
      <w:r w:rsidR="00321325">
        <w:t>fore fronting</w:t>
      </w:r>
      <w:r w:rsidR="004F3653">
        <w:t xml:space="preserve"> the strengths of each individual student to ensure their progression. One </w:t>
      </w:r>
      <w:r w:rsidR="00321325">
        <w:t>respondent</w:t>
      </w:r>
      <w:r w:rsidR="004F3653">
        <w:t xml:space="preserve"> from a Secondary </w:t>
      </w:r>
      <w:r w:rsidR="00321325">
        <w:t>background</w:t>
      </w:r>
      <w:bookmarkStart w:id="0" w:name="_GoBack"/>
      <w:bookmarkEnd w:id="0"/>
      <w:r w:rsidR="00321325">
        <w:t xml:space="preserve">, responded that upper key stage 2 was the most likely age of diagnosis and the reliability of this respondent could be seen as good as they have been in contact with over 20 children with dyslexia. Late diagnosis means that children lack a sense of identity, and the ability to cope with this means that their attention may be turned to less appropriate means. </w:t>
      </w:r>
    </w:p>
    <w:p w:rsidR="002331AA" w:rsidRDefault="002331AA" w:rsidP="00F37202"/>
    <w:p w:rsidR="002331AA" w:rsidRDefault="002331AA" w:rsidP="00F37202"/>
    <w:p w:rsidR="002331AA" w:rsidRDefault="002331AA" w:rsidP="00F37202"/>
    <w:p w:rsidR="00DA0713" w:rsidRDefault="002331AA" w:rsidP="00F37202">
      <w:r>
        <w:t>On reflection, it would have been effective to further this data by including</w:t>
      </w:r>
    </w:p>
    <w:sectPr w:rsidR="00DA071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0F3C"/>
    <w:rsid w:val="000351ED"/>
    <w:rsid w:val="000417E8"/>
    <w:rsid w:val="00077AA6"/>
    <w:rsid w:val="00084751"/>
    <w:rsid w:val="000C6C0C"/>
    <w:rsid w:val="000D3B09"/>
    <w:rsid w:val="000D7090"/>
    <w:rsid w:val="000E25FF"/>
    <w:rsid w:val="000E6168"/>
    <w:rsid w:val="000F1CD2"/>
    <w:rsid w:val="001171F4"/>
    <w:rsid w:val="001B2B99"/>
    <w:rsid w:val="001B4AC0"/>
    <w:rsid w:val="001C3DFE"/>
    <w:rsid w:val="001D65A5"/>
    <w:rsid w:val="001F2688"/>
    <w:rsid w:val="00214660"/>
    <w:rsid w:val="002331AA"/>
    <w:rsid w:val="0029305C"/>
    <w:rsid w:val="0029760E"/>
    <w:rsid w:val="002A5F4F"/>
    <w:rsid w:val="002B1501"/>
    <w:rsid w:val="002B5A00"/>
    <w:rsid w:val="002B7EA0"/>
    <w:rsid w:val="00310267"/>
    <w:rsid w:val="003173CE"/>
    <w:rsid w:val="00320101"/>
    <w:rsid w:val="00321325"/>
    <w:rsid w:val="003A2BA8"/>
    <w:rsid w:val="003B60CF"/>
    <w:rsid w:val="003C2132"/>
    <w:rsid w:val="003D69D1"/>
    <w:rsid w:val="003E55BB"/>
    <w:rsid w:val="004071AA"/>
    <w:rsid w:val="00411B63"/>
    <w:rsid w:val="004348F7"/>
    <w:rsid w:val="00462009"/>
    <w:rsid w:val="004707C3"/>
    <w:rsid w:val="00483E43"/>
    <w:rsid w:val="004861AC"/>
    <w:rsid w:val="004966EF"/>
    <w:rsid w:val="004A14CA"/>
    <w:rsid w:val="004B2A16"/>
    <w:rsid w:val="004C5041"/>
    <w:rsid w:val="004E3C35"/>
    <w:rsid w:val="004F3653"/>
    <w:rsid w:val="005225F7"/>
    <w:rsid w:val="00523391"/>
    <w:rsid w:val="00553C0F"/>
    <w:rsid w:val="00561819"/>
    <w:rsid w:val="00565C5C"/>
    <w:rsid w:val="00581A1D"/>
    <w:rsid w:val="005A43CE"/>
    <w:rsid w:val="005B5CE3"/>
    <w:rsid w:val="005C05D0"/>
    <w:rsid w:val="005E45B5"/>
    <w:rsid w:val="005E7EDB"/>
    <w:rsid w:val="00603C84"/>
    <w:rsid w:val="00622BC3"/>
    <w:rsid w:val="006250DE"/>
    <w:rsid w:val="006353DF"/>
    <w:rsid w:val="0064102E"/>
    <w:rsid w:val="00685130"/>
    <w:rsid w:val="006E0ACD"/>
    <w:rsid w:val="006E1AA3"/>
    <w:rsid w:val="006F4A03"/>
    <w:rsid w:val="007005BE"/>
    <w:rsid w:val="0071139A"/>
    <w:rsid w:val="007217CF"/>
    <w:rsid w:val="00743754"/>
    <w:rsid w:val="00760A4D"/>
    <w:rsid w:val="0076112E"/>
    <w:rsid w:val="00767F07"/>
    <w:rsid w:val="007F539A"/>
    <w:rsid w:val="0081085A"/>
    <w:rsid w:val="008209B6"/>
    <w:rsid w:val="0085262C"/>
    <w:rsid w:val="008634DC"/>
    <w:rsid w:val="008836E3"/>
    <w:rsid w:val="008A16A7"/>
    <w:rsid w:val="008B72CC"/>
    <w:rsid w:val="008C1958"/>
    <w:rsid w:val="00906F53"/>
    <w:rsid w:val="00957BE0"/>
    <w:rsid w:val="00983BA7"/>
    <w:rsid w:val="00986CCD"/>
    <w:rsid w:val="009F0BBC"/>
    <w:rsid w:val="009F0DD1"/>
    <w:rsid w:val="00A126F0"/>
    <w:rsid w:val="00A2092E"/>
    <w:rsid w:val="00A23FD6"/>
    <w:rsid w:val="00A60377"/>
    <w:rsid w:val="00A85072"/>
    <w:rsid w:val="00AA206B"/>
    <w:rsid w:val="00AF0187"/>
    <w:rsid w:val="00AF0800"/>
    <w:rsid w:val="00B32F24"/>
    <w:rsid w:val="00B34D0E"/>
    <w:rsid w:val="00B4446B"/>
    <w:rsid w:val="00B528E0"/>
    <w:rsid w:val="00B612E7"/>
    <w:rsid w:val="00B734E9"/>
    <w:rsid w:val="00B86889"/>
    <w:rsid w:val="00B96273"/>
    <w:rsid w:val="00B97559"/>
    <w:rsid w:val="00BA2738"/>
    <w:rsid w:val="00BB08CF"/>
    <w:rsid w:val="00BE2F54"/>
    <w:rsid w:val="00C86350"/>
    <w:rsid w:val="00C96E19"/>
    <w:rsid w:val="00CB4480"/>
    <w:rsid w:val="00CB5928"/>
    <w:rsid w:val="00CE2B48"/>
    <w:rsid w:val="00D16C8E"/>
    <w:rsid w:val="00D259BE"/>
    <w:rsid w:val="00D45C1A"/>
    <w:rsid w:val="00D57DA9"/>
    <w:rsid w:val="00D81E80"/>
    <w:rsid w:val="00DA0713"/>
    <w:rsid w:val="00DA2826"/>
    <w:rsid w:val="00DB4C73"/>
    <w:rsid w:val="00DC3E62"/>
    <w:rsid w:val="00E1339A"/>
    <w:rsid w:val="00E20F3C"/>
    <w:rsid w:val="00E35E63"/>
    <w:rsid w:val="00E41132"/>
    <w:rsid w:val="00E52304"/>
    <w:rsid w:val="00E62965"/>
    <w:rsid w:val="00E81F95"/>
    <w:rsid w:val="00E9459D"/>
    <w:rsid w:val="00E957D9"/>
    <w:rsid w:val="00EC0252"/>
    <w:rsid w:val="00EF4AAA"/>
    <w:rsid w:val="00F37202"/>
    <w:rsid w:val="00F51994"/>
    <w:rsid w:val="00FF6F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598522"/>
  <w15:chartTrackingRefBased/>
  <w15:docId w15:val="{588602D9-2386-440D-AB46-8A7C33DFC4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8507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6688</TotalTime>
  <Pages>5</Pages>
  <Words>2896</Words>
  <Characters>16513</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Kelsey Williams (1705705)</dc:creator>
  <cp:keywords/>
  <dc:description/>
  <cp:lastModifiedBy>Kelsey Williams (1705705)</cp:lastModifiedBy>
  <cp:revision>60</cp:revision>
  <dcterms:created xsi:type="dcterms:W3CDTF">2019-04-23T11:39:00Z</dcterms:created>
  <dcterms:modified xsi:type="dcterms:W3CDTF">2019-04-29T22:01:00Z</dcterms:modified>
</cp:coreProperties>
</file>