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150A9" w:rsidP="0681DF93" w:rsidRDefault="60804535" w14:paraId="2C078E63" w14:textId="43E6C4BF">
      <w:pPr>
        <w:jc w:val="both"/>
        <w:rPr>
          <w:b/>
          <w:bCs/>
          <w:i/>
          <w:iCs/>
          <w:sz w:val="40"/>
          <w:szCs w:val="40"/>
          <w:u w:val="single"/>
        </w:rPr>
      </w:pPr>
      <w:r w:rsidRPr="0681DF93">
        <w:rPr>
          <w:b/>
          <w:bCs/>
          <w:i/>
          <w:iCs/>
          <w:sz w:val="40"/>
          <w:szCs w:val="40"/>
          <w:u w:val="single"/>
        </w:rPr>
        <w:t xml:space="preserve">Evaluate the </w:t>
      </w:r>
      <w:r w:rsidRPr="0681DF93" w:rsidR="11A538B0">
        <w:rPr>
          <w:b/>
          <w:bCs/>
          <w:i/>
          <w:iCs/>
          <w:sz w:val="40"/>
          <w:szCs w:val="40"/>
          <w:u w:val="single"/>
        </w:rPr>
        <w:t>challenges</w:t>
      </w:r>
      <w:r w:rsidRPr="0681DF93">
        <w:rPr>
          <w:b/>
          <w:bCs/>
          <w:i/>
          <w:iCs/>
          <w:sz w:val="40"/>
          <w:szCs w:val="40"/>
          <w:u w:val="single"/>
        </w:rPr>
        <w:t xml:space="preserve"> associated with the concept of </w:t>
      </w:r>
      <w:r w:rsidRPr="0681DF93" w:rsidR="55EDF460">
        <w:rPr>
          <w:b/>
          <w:bCs/>
          <w:i/>
          <w:iCs/>
          <w:sz w:val="40"/>
          <w:szCs w:val="40"/>
          <w:u w:val="single"/>
        </w:rPr>
        <w:t>men's</w:t>
      </w:r>
      <w:r w:rsidRPr="0681DF93">
        <w:rPr>
          <w:b/>
          <w:bCs/>
          <w:i/>
          <w:iCs/>
          <w:sz w:val="40"/>
          <w:szCs w:val="40"/>
          <w:u w:val="single"/>
        </w:rPr>
        <w:t xml:space="preserve"> rea and the confirmation of criminal liability within law </w:t>
      </w:r>
    </w:p>
    <w:p w:rsidR="13EB745F" w:rsidP="13EB745F" w:rsidRDefault="13EB745F" w14:paraId="57FCF664" w14:textId="79BFB214">
      <w:pPr>
        <w:jc w:val="both"/>
        <w:rPr>
          <w:b/>
          <w:bCs/>
          <w:i/>
          <w:iCs/>
          <w:sz w:val="40"/>
          <w:szCs w:val="40"/>
          <w:u w:val="single"/>
        </w:rPr>
      </w:pPr>
    </w:p>
    <w:p w:rsidR="13EB745F" w:rsidP="13EB745F" w:rsidRDefault="13EB745F" w14:paraId="545D78A3" w14:textId="7010EB6B">
      <w:pPr>
        <w:jc w:val="both"/>
        <w:rPr>
          <w:b/>
          <w:bCs/>
          <w:i/>
          <w:iCs/>
          <w:sz w:val="40"/>
          <w:szCs w:val="40"/>
          <w:u w:val="single"/>
        </w:rPr>
      </w:pPr>
    </w:p>
    <w:p w:rsidR="4189619F" w:rsidP="0681DF93" w:rsidRDefault="06E38474" w14:paraId="3D2BC104" w14:textId="5EB0B753">
      <w:pPr>
        <w:jc w:val="both"/>
        <w:rPr>
          <w:sz w:val="32"/>
          <w:szCs w:val="32"/>
          <w:u w:val="single"/>
        </w:rPr>
      </w:pPr>
      <w:r w:rsidRPr="0681DF93">
        <w:rPr>
          <w:sz w:val="32"/>
          <w:szCs w:val="32"/>
        </w:rPr>
        <w:t>The</w:t>
      </w:r>
      <w:r w:rsidRPr="0681DF93" w:rsidR="79804D97">
        <w:rPr>
          <w:sz w:val="32"/>
          <w:szCs w:val="32"/>
        </w:rPr>
        <w:t xml:space="preserve"> research shows that,</w:t>
      </w:r>
      <w:r w:rsidRPr="0681DF93">
        <w:rPr>
          <w:sz w:val="32"/>
          <w:szCs w:val="32"/>
        </w:rPr>
        <w:t xml:space="preserve"> </w:t>
      </w:r>
      <w:r w:rsidRPr="0681DF93" w:rsidR="19BDB008">
        <w:rPr>
          <w:rFonts w:ascii="Calibri" w:hAnsi="Calibri" w:eastAsia="Calibri" w:cs="Calibri"/>
          <w:sz w:val="32"/>
          <w:szCs w:val="32"/>
        </w:rPr>
        <w:t xml:space="preserve">Men's rea, the Latin term for "guilty mind," is an important idea in criminal law. It speaks of the mental </w:t>
      </w:r>
      <w:r w:rsidRPr="0681DF93" w:rsidR="7659ED03">
        <w:rPr>
          <w:rFonts w:ascii="Calibri" w:hAnsi="Calibri" w:eastAsia="Calibri" w:cs="Calibri"/>
          <w:sz w:val="32"/>
          <w:szCs w:val="32"/>
        </w:rPr>
        <w:t>part</w:t>
      </w:r>
      <w:r w:rsidRPr="0681DF93" w:rsidR="19BDB008">
        <w:rPr>
          <w:rFonts w:ascii="Calibri" w:hAnsi="Calibri" w:eastAsia="Calibri" w:cs="Calibri"/>
          <w:sz w:val="32"/>
          <w:szCs w:val="32"/>
        </w:rPr>
        <w:t xml:space="preserve"> that must be </w:t>
      </w:r>
      <w:r w:rsidRPr="0681DF93" w:rsidR="6D916ACC">
        <w:rPr>
          <w:rFonts w:ascii="Calibri" w:hAnsi="Calibri" w:eastAsia="Calibri" w:cs="Calibri"/>
          <w:sz w:val="32"/>
          <w:szCs w:val="32"/>
        </w:rPr>
        <w:t>proved</w:t>
      </w:r>
      <w:r w:rsidRPr="0681DF93" w:rsidR="19BDB008">
        <w:rPr>
          <w:rFonts w:ascii="Calibri" w:hAnsi="Calibri" w:eastAsia="Calibri" w:cs="Calibri"/>
          <w:sz w:val="32"/>
          <w:szCs w:val="32"/>
        </w:rPr>
        <w:t xml:space="preserve"> to </w:t>
      </w:r>
      <w:r w:rsidRPr="0681DF93" w:rsidR="45970BBE">
        <w:rPr>
          <w:rFonts w:ascii="Calibri" w:hAnsi="Calibri" w:eastAsia="Calibri" w:cs="Calibri"/>
          <w:sz w:val="32"/>
          <w:szCs w:val="32"/>
        </w:rPr>
        <w:t>decide</w:t>
      </w:r>
      <w:r w:rsidRPr="0681DF93" w:rsidR="19BDB008">
        <w:rPr>
          <w:rFonts w:ascii="Calibri" w:hAnsi="Calibri" w:eastAsia="Calibri" w:cs="Calibri"/>
          <w:sz w:val="32"/>
          <w:szCs w:val="32"/>
        </w:rPr>
        <w:t xml:space="preserve"> criminal culpability. The fundamental tenet of criminal law is the concept of men's rea, which guarantees that people are prosecuted for their crimes only when they have the requisite intent to do so. Men's Rea's affirmation of criminal responsibility is not without its difficulties, though. The difficulties with the idea of men's rea and the legal validation of criminal guilt will be assessed in this article</w:t>
      </w:r>
    </w:p>
    <w:p w:rsidR="43974103" w:rsidP="0681DF93" w:rsidRDefault="43974103" w14:paraId="1B428A28" w14:textId="274BFB59">
      <w:pPr>
        <w:jc w:val="both"/>
        <w:rPr>
          <w:rFonts w:ascii="Calibri" w:hAnsi="Calibri" w:eastAsia="Calibri" w:cs="Calibri"/>
          <w:sz w:val="32"/>
          <w:szCs w:val="32"/>
        </w:rPr>
      </w:pPr>
      <w:r w:rsidRPr="0681DF93">
        <w:rPr>
          <w:rFonts w:ascii="Calibri" w:hAnsi="Calibri" w:eastAsia="Calibri" w:cs="Calibri"/>
          <w:sz w:val="32"/>
          <w:szCs w:val="32"/>
        </w:rPr>
        <w:t xml:space="preserve">Criminal culpability is the term used to describe a person's legal obligation for committing a crime. </w:t>
      </w:r>
      <w:r w:rsidRPr="0681DF93" w:rsidR="1C6486BC">
        <w:rPr>
          <w:rFonts w:ascii="Calibri" w:hAnsi="Calibri" w:eastAsia="Calibri" w:cs="Calibri"/>
          <w:sz w:val="32"/>
          <w:szCs w:val="32"/>
        </w:rPr>
        <w:t>The two main concepts of actus reus and men's rea are the foundation for criminal responsibility in most legal systems.</w:t>
      </w:r>
    </w:p>
    <w:p w:rsidR="2AF0D843" w:rsidP="0681DF93" w:rsidRDefault="2AF0D843" w14:paraId="5DF92273" w14:textId="2E5F2B72">
      <w:pPr>
        <w:jc w:val="both"/>
      </w:pPr>
      <w:r w:rsidRPr="0681DF93">
        <w:rPr>
          <w:rFonts w:ascii="Calibri" w:hAnsi="Calibri" w:eastAsia="Calibri" w:cs="Calibri"/>
          <w:sz w:val="32"/>
          <w:szCs w:val="32"/>
        </w:rPr>
        <w:t>Actus reus</w:t>
      </w:r>
      <w:r w:rsidRPr="0681DF93" w:rsidR="1C6486BC">
        <w:rPr>
          <w:rFonts w:ascii="Calibri" w:hAnsi="Calibri" w:eastAsia="Calibri" w:cs="Calibri"/>
          <w:sz w:val="32"/>
          <w:szCs w:val="32"/>
        </w:rPr>
        <w:t>, derived from the Latin for "guilty act," describes the objective aspect of a crime. It entails the defendant's willful commission of an illegal act or noncompliance with a legal obligation. Actus Reus's essential components are:</w:t>
      </w:r>
    </w:p>
    <w:p w:rsidR="4A4E3F76" w:rsidP="0681DF93" w:rsidRDefault="4A4E3F76" w14:paraId="216C2BD8" w14:textId="7A5581D4">
      <w:pPr>
        <w:jc w:val="both"/>
      </w:pPr>
      <w:r w:rsidRPr="0681DF93">
        <w:rPr>
          <w:rFonts w:ascii="Calibri" w:hAnsi="Calibri" w:eastAsia="Calibri" w:cs="Calibri"/>
          <w:sz w:val="32"/>
          <w:szCs w:val="32"/>
        </w:rPr>
        <w:t>T</w:t>
      </w:r>
      <w:r w:rsidRPr="0681DF93" w:rsidR="3235C6C8">
        <w:rPr>
          <w:rFonts w:ascii="Calibri" w:hAnsi="Calibri" w:eastAsia="Calibri" w:cs="Calibri"/>
          <w:sz w:val="32"/>
          <w:szCs w:val="32"/>
        </w:rPr>
        <w:t>he</w:t>
      </w:r>
      <w:r w:rsidRPr="0681DF93" w:rsidR="1C6486BC">
        <w:rPr>
          <w:rFonts w:ascii="Calibri" w:hAnsi="Calibri" w:eastAsia="Calibri" w:cs="Calibri"/>
          <w:sz w:val="32"/>
          <w:szCs w:val="32"/>
        </w:rPr>
        <w:t xml:space="preserve"> offence had to have been committed on purpose by the defendant. Actus reus does not include involuntary behaviors like reflexes or unconscious activities.</w:t>
      </w:r>
    </w:p>
    <w:p w:rsidR="2A0E356B" w:rsidP="0681DF93" w:rsidRDefault="2A0E356B" w14:paraId="6A18A698" w14:textId="1C7A05B2">
      <w:pPr>
        <w:jc w:val="both"/>
        <w:rPr>
          <w:rFonts w:ascii="Calibri" w:hAnsi="Calibri" w:eastAsia="Calibri" w:cs="Calibri"/>
          <w:sz w:val="32"/>
          <w:szCs w:val="32"/>
        </w:rPr>
      </w:pPr>
      <w:r w:rsidRPr="0681DF93">
        <w:rPr>
          <w:rFonts w:ascii="Calibri" w:hAnsi="Calibri" w:eastAsia="Calibri" w:cs="Calibri"/>
          <w:sz w:val="32"/>
          <w:szCs w:val="32"/>
        </w:rPr>
        <w:t>Prohibited conduct or Omission</w:t>
      </w:r>
      <w:r w:rsidRPr="0681DF93" w:rsidR="1A048187">
        <w:rPr>
          <w:rFonts w:ascii="Calibri" w:hAnsi="Calibri" w:eastAsia="Calibri" w:cs="Calibri"/>
          <w:sz w:val="32"/>
          <w:szCs w:val="32"/>
        </w:rPr>
        <w:t>, is where t</w:t>
      </w:r>
      <w:r w:rsidRPr="0681DF93">
        <w:rPr>
          <w:rFonts w:ascii="Calibri" w:hAnsi="Calibri" w:eastAsia="Calibri" w:cs="Calibri"/>
          <w:sz w:val="32"/>
          <w:szCs w:val="32"/>
        </w:rPr>
        <w:t>he defendant must have committed a legally forbidden conduct or fulfilled a legally mandated act by virtue of their inaction. For example, stealing is forbidden, yet neglecting to report a crime that one has seen can result in criminal responsibility.</w:t>
      </w:r>
    </w:p>
    <w:p w:rsidR="20EF4A90" w:rsidP="0681DF93" w:rsidRDefault="20EF4A90" w14:paraId="594ABD5F" w14:textId="1032A4AD">
      <w:pPr>
        <w:jc w:val="both"/>
      </w:pPr>
      <w:r w:rsidRPr="0681DF93">
        <w:rPr>
          <w:rFonts w:ascii="Calibri" w:hAnsi="Calibri" w:eastAsia="Calibri" w:cs="Calibri"/>
          <w:sz w:val="32"/>
          <w:szCs w:val="32"/>
        </w:rPr>
        <w:t>Causation</w:t>
      </w:r>
      <w:r w:rsidRPr="0681DF93" w:rsidR="67CAE7B7">
        <w:rPr>
          <w:rFonts w:ascii="Calibri" w:hAnsi="Calibri" w:eastAsia="Calibri" w:cs="Calibri"/>
          <w:sz w:val="32"/>
          <w:szCs w:val="32"/>
        </w:rPr>
        <w:t xml:space="preserve"> is</w:t>
      </w:r>
      <w:r w:rsidRPr="0681DF93">
        <w:rPr>
          <w:rFonts w:ascii="Calibri" w:hAnsi="Calibri" w:eastAsia="Calibri" w:cs="Calibri"/>
          <w:sz w:val="32"/>
          <w:szCs w:val="32"/>
        </w:rPr>
        <w:t xml:space="preserve"> </w:t>
      </w:r>
      <w:r w:rsidRPr="0681DF93" w:rsidR="3C414AA6">
        <w:rPr>
          <w:rFonts w:ascii="Calibri" w:hAnsi="Calibri" w:eastAsia="Calibri" w:cs="Calibri"/>
          <w:sz w:val="32"/>
          <w:szCs w:val="32"/>
        </w:rPr>
        <w:t>t</w:t>
      </w:r>
      <w:r w:rsidRPr="0681DF93">
        <w:rPr>
          <w:rFonts w:ascii="Calibri" w:hAnsi="Calibri" w:eastAsia="Calibri" w:cs="Calibri"/>
          <w:sz w:val="32"/>
          <w:szCs w:val="32"/>
        </w:rPr>
        <w:t xml:space="preserve">he forbidden </w:t>
      </w:r>
      <w:r w:rsidRPr="0681DF93" w:rsidR="093C69EE">
        <w:rPr>
          <w:rFonts w:ascii="Calibri" w:hAnsi="Calibri" w:eastAsia="Calibri" w:cs="Calibri"/>
          <w:sz w:val="32"/>
          <w:szCs w:val="32"/>
        </w:rPr>
        <w:t>outcome that</w:t>
      </w:r>
      <w:r w:rsidRPr="0681DF93">
        <w:rPr>
          <w:rFonts w:ascii="Calibri" w:hAnsi="Calibri" w:eastAsia="Calibri" w:cs="Calibri"/>
          <w:sz w:val="32"/>
          <w:szCs w:val="32"/>
        </w:rPr>
        <w:t xml:space="preserve"> had to be brought about by the defendant's activity or inaction. Usually, this can be separated into two categories: legal causation (the defendant's behavior had a significant role in causing the outcome) and factual causation (the defendant's action was a prerequisite for the outcome).</w:t>
      </w:r>
    </w:p>
    <w:p w:rsidR="2934A62E" w:rsidP="0681DF93" w:rsidRDefault="2934A62E" w14:paraId="79F59387" w14:textId="76AB854A">
      <w:pPr>
        <w:jc w:val="both"/>
      </w:pPr>
      <w:r w:rsidRPr="0681DF93">
        <w:rPr>
          <w:rFonts w:ascii="Calibri" w:hAnsi="Calibri" w:eastAsia="Calibri" w:cs="Calibri"/>
          <w:sz w:val="32"/>
          <w:szCs w:val="32"/>
        </w:rPr>
        <w:t>For a defendant to be found guilty of a crime, their actions or inactions must have caused damage of some kind. This could include injury to a person's health, finances, or reputation.</w:t>
      </w:r>
    </w:p>
    <w:p w:rsidR="65FAC625" w:rsidP="0681DF93" w:rsidRDefault="65FAC625" w14:paraId="26175FD1" w14:textId="415DBA1F">
      <w:pPr>
        <w:jc w:val="both"/>
      </w:pPr>
      <w:r w:rsidRPr="0681DF93">
        <w:rPr>
          <w:rFonts w:ascii="Calibri" w:hAnsi="Calibri" w:eastAsia="Calibri" w:cs="Calibri"/>
          <w:sz w:val="32"/>
          <w:szCs w:val="32"/>
        </w:rPr>
        <w:t>Men's rea</w:t>
      </w:r>
      <w:r w:rsidRPr="0681DF93" w:rsidR="41F8BF28">
        <w:rPr>
          <w:rFonts w:ascii="Calibri" w:hAnsi="Calibri" w:eastAsia="Calibri" w:cs="Calibri"/>
          <w:sz w:val="32"/>
          <w:szCs w:val="32"/>
        </w:rPr>
        <w:t xml:space="preserve"> </w:t>
      </w:r>
      <w:r w:rsidRPr="0681DF93">
        <w:rPr>
          <w:rFonts w:ascii="Calibri" w:hAnsi="Calibri" w:eastAsia="Calibri" w:cs="Calibri"/>
          <w:sz w:val="32"/>
          <w:szCs w:val="32"/>
        </w:rPr>
        <w:t>is derived from the Latin for "guilty mind," denotes the personal element involved in a criminal act. It is about the defendant's mental condition when the crime or omission was committed. Men's Rea's essential components are:</w:t>
      </w:r>
    </w:p>
    <w:p w:rsidR="7BE8C105" w:rsidP="0681DF93" w:rsidRDefault="7BE8C105" w14:paraId="7D6DBB72" w14:textId="1E759846">
      <w:pPr>
        <w:jc w:val="both"/>
        <w:rPr>
          <w:rFonts w:ascii="Calibri" w:hAnsi="Calibri" w:eastAsia="Calibri" w:cs="Calibri"/>
          <w:sz w:val="32"/>
          <w:szCs w:val="32"/>
        </w:rPr>
      </w:pPr>
      <w:r w:rsidRPr="0681DF93">
        <w:rPr>
          <w:rFonts w:ascii="Calibri" w:hAnsi="Calibri" w:eastAsia="Calibri" w:cs="Calibri"/>
          <w:sz w:val="32"/>
          <w:szCs w:val="32"/>
        </w:rPr>
        <w:t>Intension</w:t>
      </w:r>
      <w:r w:rsidRPr="0681DF93" w:rsidR="266FCCE9">
        <w:rPr>
          <w:rFonts w:ascii="Calibri" w:hAnsi="Calibri" w:eastAsia="Calibri" w:cs="Calibri"/>
          <w:sz w:val="32"/>
          <w:szCs w:val="32"/>
        </w:rPr>
        <w:t xml:space="preserve"> is when</w:t>
      </w:r>
      <w:r w:rsidRPr="0681DF93">
        <w:rPr>
          <w:rFonts w:ascii="Calibri" w:hAnsi="Calibri" w:eastAsia="Calibri" w:cs="Calibri"/>
          <w:sz w:val="32"/>
          <w:szCs w:val="32"/>
        </w:rPr>
        <w:t xml:space="preserve"> </w:t>
      </w:r>
      <w:r w:rsidRPr="0681DF93" w:rsidR="41470C95">
        <w:rPr>
          <w:rFonts w:ascii="Calibri" w:hAnsi="Calibri" w:eastAsia="Calibri" w:cs="Calibri"/>
          <w:sz w:val="32"/>
          <w:szCs w:val="32"/>
        </w:rPr>
        <w:t>the</w:t>
      </w:r>
      <w:r w:rsidRPr="0681DF93">
        <w:rPr>
          <w:rFonts w:ascii="Calibri" w:hAnsi="Calibri" w:eastAsia="Calibri" w:cs="Calibri"/>
          <w:sz w:val="32"/>
          <w:szCs w:val="32"/>
        </w:rPr>
        <w:t xml:space="preserve"> defendant's intention was to carry out the forbidden deed or bring about the forbidden outcome. This is sometimes referred to as direct intent or purposeful behavior.</w:t>
      </w:r>
    </w:p>
    <w:p w:rsidR="04B52CF7" w:rsidP="0681DF93" w:rsidRDefault="04B52CF7" w14:paraId="21D35548" w14:textId="23729159">
      <w:pPr>
        <w:jc w:val="both"/>
        <w:rPr>
          <w:rFonts w:ascii="Calibri" w:hAnsi="Calibri" w:eastAsia="Calibri" w:cs="Calibri"/>
          <w:sz w:val="32"/>
          <w:szCs w:val="32"/>
        </w:rPr>
      </w:pPr>
      <w:r w:rsidRPr="0681DF93">
        <w:rPr>
          <w:rFonts w:ascii="Calibri" w:hAnsi="Calibri" w:eastAsia="Calibri" w:cs="Calibri"/>
          <w:sz w:val="32"/>
          <w:szCs w:val="32"/>
        </w:rPr>
        <w:t>Direct intension</w:t>
      </w:r>
      <w:r w:rsidRPr="0681DF93" w:rsidR="40D85E21">
        <w:rPr>
          <w:rFonts w:ascii="Calibri" w:hAnsi="Calibri" w:eastAsia="Calibri" w:cs="Calibri"/>
          <w:sz w:val="32"/>
          <w:szCs w:val="32"/>
        </w:rPr>
        <w:t xml:space="preserve"> is</w:t>
      </w:r>
      <w:r w:rsidRPr="0681DF93">
        <w:rPr>
          <w:rFonts w:ascii="Calibri" w:hAnsi="Calibri" w:eastAsia="Calibri" w:cs="Calibri"/>
          <w:sz w:val="32"/>
          <w:szCs w:val="32"/>
        </w:rPr>
        <w:t xml:space="preserve"> </w:t>
      </w:r>
      <w:r w:rsidRPr="0681DF93" w:rsidR="271D3C73">
        <w:rPr>
          <w:rFonts w:ascii="Calibri" w:hAnsi="Calibri" w:eastAsia="Calibri" w:cs="Calibri"/>
          <w:sz w:val="32"/>
          <w:szCs w:val="32"/>
        </w:rPr>
        <w:t>w</w:t>
      </w:r>
      <w:r w:rsidRPr="0681DF93">
        <w:rPr>
          <w:rFonts w:ascii="Calibri" w:hAnsi="Calibri" w:eastAsia="Calibri" w:cs="Calibri"/>
          <w:sz w:val="32"/>
          <w:szCs w:val="32"/>
        </w:rPr>
        <w:t xml:space="preserve">hen someone acts with a clear goal in mind, such as wanting to accomplish a particular result, this is known as direct intention. When someone has direct intention, they deliberately want to cause the forbidden outcome of their </w:t>
      </w:r>
      <w:r w:rsidRPr="0681DF93" w:rsidR="70509A35">
        <w:rPr>
          <w:rFonts w:ascii="Calibri" w:hAnsi="Calibri" w:eastAsia="Calibri" w:cs="Calibri"/>
          <w:sz w:val="32"/>
          <w:szCs w:val="32"/>
        </w:rPr>
        <w:t>behavior</w:t>
      </w:r>
      <w:r w:rsidRPr="0681DF93">
        <w:rPr>
          <w:rFonts w:ascii="Calibri" w:hAnsi="Calibri" w:eastAsia="Calibri" w:cs="Calibri"/>
          <w:sz w:val="32"/>
          <w:szCs w:val="32"/>
        </w:rPr>
        <w:t xml:space="preserve">. Since there is a clear connection between the person's actions and the anticipated result, this type of intention is easy to </w:t>
      </w:r>
      <w:r w:rsidRPr="0681DF93" w:rsidR="7C4DF52B">
        <w:rPr>
          <w:rFonts w:ascii="Calibri" w:hAnsi="Calibri" w:eastAsia="Calibri" w:cs="Calibri"/>
          <w:sz w:val="32"/>
          <w:szCs w:val="32"/>
        </w:rPr>
        <w:t>prove,</w:t>
      </w:r>
      <w:r w:rsidRPr="0681DF93" w:rsidR="52839BC3">
        <w:rPr>
          <w:rFonts w:ascii="Calibri" w:hAnsi="Calibri" w:eastAsia="Calibri" w:cs="Calibri"/>
          <w:sz w:val="32"/>
          <w:szCs w:val="32"/>
        </w:rPr>
        <w:t xml:space="preserve"> for example, </w:t>
      </w:r>
      <w:r w:rsidRPr="0681DF93" w:rsidR="52839BC3">
        <w:rPr>
          <w:rFonts w:eastAsiaTheme="minorEastAsia"/>
          <w:sz w:val="32"/>
          <w:szCs w:val="32"/>
        </w:rPr>
        <w:t>R v Walker and Hayles (1990)</w:t>
      </w:r>
      <w:r w:rsidRPr="0681DF93" w:rsidR="348C43F9">
        <w:rPr>
          <w:rFonts w:eastAsiaTheme="minorEastAsia"/>
          <w:sz w:val="32"/>
          <w:szCs w:val="32"/>
        </w:rPr>
        <w:t xml:space="preserve">, </w:t>
      </w:r>
      <w:r w:rsidRPr="0681DF93" w:rsidR="348C43F9">
        <w:rPr>
          <w:rFonts w:ascii="Calibri" w:hAnsi="Calibri" w:eastAsia="Calibri" w:cs="Calibri"/>
          <w:sz w:val="32"/>
          <w:szCs w:val="32"/>
        </w:rPr>
        <w:t>The victim was thrown from a third-floor balcony by the defendants. The trial judge told the jury during their attempted murder trial that they could infer the defendants' intention if there was a high likelihood that the victim would die and if they knew "quite well that in doing that there was a high degree probability" that the victim would die.</w:t>
      </w:r>
      <w:r w:rsidRPr="0681DF93" w:rsidR="6A4C4C9E">
        <w:rPr>
          <w:rFonts w:ascii="Calibri" w:hAnsi="Calibri" w:eastAsia="Calibri" w:cs="Calibri"/>
          <w:sz w:val="32"/>
          <w:szCs w:val="32"/>
        </w:rPr>
        <w:t xml:space="preserve"> In their appeal, the defendants claimed that the trial judge ought to have instructed the jury to consider "virtual certainty," citing Nedrick's distinction between foresight of death and intentionality to kill.</w:t>
      </w:r>
      <w:r w:rsidRPr="0681DF93" w:rsidR="1B3EED3F">
        <w:rPr>
          <w:rFonts w:ascii="Calibri" w:hAnsi="Calibri" w:eastAsia="Calibri" w:cs="Calibri"/>
          <w:sz w:val="32"/>
          <w:szCs w:val="32"/>
        </w:rPr>
        <w:t xml:space="preserve"> The Court of Appeal rejected the argument that the phrase "very high degree of probability" was intended to be </w:t>
      </w:r>
      <w:r w:rsidRPr="0681DF93" w:rsidR="70ADD17E">
        <w:rPr>
          <w:rFonts w:ascii="Calibri" w:hAnsi="Calibri" w:eastAsia="Calibri" w:cs="Calibri"/>
          <w:sz w:val="32"/>
          <w:szCs w:val="32"/>
        </w:rPr>
        <w:t>misleading. However, Lloyd LJ said that courts should continue to adopt virtual certainty as the standard rather than high probability in the rare instances where an expanded direction is needed in terms of foresight.</w:t>
      </w:r>
    </w:p>
    <w:p w:rsidR="547DC624" w:rsidP="0681DF93" w:rsidRDefault="547DC624" w14:paraId="60FB5BCA" w14:textId="319B19DD">
      <w:pPr>
        <w:jc w:val="both"/>
        <w:rPr>
          <w:rFonts w:ascii="Calibri" w:hAnsi="Calibri" w:eastAsia="Calibri" w:cs="Calibri"/>
          <w:sz w:val="32"/>
          <w:szCs w:val="32"/>
        </w:rPr>
      </w:pPr>
      <w:r w:rsidRPr="0681DF93">
        <w:rPr>
          <w:rFonts w:ascii="Calibri" w:hAnsi="Calibri" w:eastAsia="Calibri" w:cs="Calibri"/>
          <w:sz w:val="32"/>
          <w:szCs w:val="32"/>
        </w:rPr>
        <w:t>Recklessness</w:t>
      </w:r>
      <w:r w:rsidRPr="0681DF93" w:rsidR="0FD16170">
        <w:rPr>
          <w:rFonts w:ascii="Calibri" w:hAnsi="Calibri" w:eastAsia="Calibri" w:cs="Calibri"/>
          <w:sz w:val="32"/>
          <w:szCs w:val="32"/>
        </w:rPr>
        <w:t xml:space="preserve"> </w:t>
      </w:r>
      <w:r w:rsidRPr="0681DF93" w:rsidR="1D1363ED">
        <w:rPr>
          <w:rFonts w:ascii="Calibri" w:hAnsi="Calibri" w:eastAsia="Calibri" w:cs="Calibri"/>
          <w:sz w:val="32"/>
          <w:szCs w:val="32"/>
        </w:rPr>
        <w:t xml:space="preserve">refers to </w:t>
      </w:r>
      <w:r w:rsidRPr="0681DF93" w:rsidR="41D88148">
        <w:rPr>
          <w:rFonts w:ascii="Calibri" w:hAnsi="Calibri" w:eastAsia="Calibri" w:cs="Calibri"/>
          <w:sz w:val="32"/>
          <w:szCs w:val="32"/>
        </w:rPr>
        <w:t>the</w:t>
      </w:r>
      <w:r w:rsidRPr="0681DF93" w:rsidR="0FD16170">
        <w:rPr>
          <w:rFonts w:ascii="Calibri" w:hAnsi="Calibri" w:eastAsia="Calibri" w:cs="Calibri"/>
          <w:sz w:val="32"/>
          <w:szCs w:val="32"/>
        </w:rPr>
        <w:t xml:space="preserve"> accused </w:t>
      </w:r>
      <w:r w:rsidRPr="0681DF93" w:rsidR="793449E1">
        <w:rPr>
          <w:rFonts w:ascii="Calibri" w:hAnsi="Calibri" w:eastAsia="Calibri" w:cs="Calibri"/>
          <w:sz w:val="32"/>
          <w:szCs w:val="32"/>
        </w:rPr>
        <w:t>ignoring</w:t>
      </w:r>
      <w:r w:rsidRPr="0681DF93" w:rsidR="0FD16170">
        <w:rPr>
          <w:rFonts w:ascii="Calibri" w:hAnsi="Calibri" w:eastAsia="Calibri" w:cs="Calibri"/>
          <w:sz w:val="32"/>
          <w:szCs w:val="32"/>
        </w:rPr>
        <w:t xml:space="preserve"> the risks involved in their activities despite knowing them and continued, nonetheless. This is also known as deliberate disrespect or willful blindness. </w:t>
      </w:r>
      <w:r w:rsidRPr="0681DF93" w:rsidR="544223DC">
        <w:rPr>
          <w:rFonts w:ascii="Calibri" w:hAnsi="Calibri" w:eastAsia="Calibri" w:cs="Calibri"/>
          <w:sz w:val="32"/>
          <w:szCs w:val="32"/>
        </w:rPr>
        <w:t>For example, a defendant caused gas to leak into the property next door by breaking a gas meter to steal the money therein. Her life was in jeopardy when the victim fell ill. Under the Offences Against the Person Act of 1861, the defendant was accused of "maliciously administering a noxious thing so as to endanger life" in accordance with Section 23.</w:t>
      </w:r>
      <w:r w:rsidRPr="0681DF93" w:rsidR="6F660005">
        <w:rPr>
          <w:rFonts w:ascii="Calibri" w:hAnsi="Calibri" w:eastAsia="Calibri" w:cs="Calibri"/>
          <w:sz w:val="32"/>
          <w:szCs w:val="32"/>
        </w:rPr>
        <w:t xml:space="preserve"> In granting the defendant's appeal, the Court of Appeal determined that for a defendant to be found guilty of acting "maliciously," there must be evidence that he either planned to cause the injury in question or acted carelessly in assuming that harm would occur. In this case, being reckless meant that the defendant knew there was a chance his conduct could have the forbidden outcome</w:t>
      </w:r>
      <w:r w:rsidRPr="0681DF93" w:rsidR="282880F5">
        <w:rPr>
          <w:rFonts w:ascii="Calibri" w:hAnsi="Calibri" w:eastAsia="Calibri" w:cs="Calibri"/>
          <w:sz w:val="32"/>
          <w:szCs w:val="32"/>
        </w:rPr>
        <w:t xml:space="preserve"> </w:t>
      </w:r>
      <w:r w:rsidRPr="0681DF93" w:rsidR="69839BC3">
        <w:rPr>
          <w:rFonts w:ascii="Calibri" w:hAnsi="Calibri" w:eastAsia="Calibri" w:cs="Calibri"/>
          <w:sz w:val="32"/>
          <w:szCs w:val="32"/>
        </w:rPr>
        <w:t xml:space="preserve">(Law Teacher – cases on </w:t>
      </w:r>
      <w:r w:rsidRPr="0681DF93" w:rsidR="182EE7E0">
        <w:rPr>
          <w:rFonts w:ascii="Calibri" w:hAnsi="Calibri" w:eastAsia="Calibri" w:cs="Calibri"/>
          <w:sz w:val="32"/>
          <w:szCs w:val="32"/>
        </w:rPr>
        <w:t>Men's</w:t>
      </w:r>
      <w:r w:rsidRPr="0681DF93" w:rsidR="69839BC3">
        <w:rPr>
          <w:rFonts w:ascii="Calibri" w:hAnsi="Calibri" w:eastAsia="Calibri" w:cs="Calibri"/>
          <w:sz w:val="32"/>
          <w:szCs w:val="32"/>
        </w:rPr>
        <w:t xml:space="preserve"> Rea</w:t>
      </w:r>
      <w:r w:rsidRPr="0681DF93" w:rsidR="3952ABF7">
        <w:rPr>
          <w:rFonts w:ascii="Calibri" w:hAnsi="Calibri" w:eastAsia="Calibri" w:cs="Calibri"/>
          <w:sz w:val="32"/>
          <w:szCs w:val="32"/>
        </w:rPr>
        <w:t>,</w:t>
      </w:r>
      <w:r w:rsidRPr="0681DF93" w:rsidR="543602C9">
        <w:rPr>
          <w:rFonts w:ascii="Calibri" w:hAnsi="Calibri" w:eastAsia="Calibri" w:cs="Calibri"/>
          <w:sz w:val="32"/>
          <w:szCs w:val="32"/>
        </w:rPr>
        <w:t xml:space="preserve"> published </w:t>
      </w:r>
      <w:r w:rsidRPr="0681DF93" w:rsidR="66E593D3">
        <w:rPr>
          <w:rFonts w:ascii="Calibri" w:hAnsi="Calibri" w:eastAsia="Calibri" w:cs="Calibri"/>
          <w:sz w:val="32"/>
          <w:szCs w:val="32"/>
        </w:rPr>
        <w:t>06</w:t>
      </w:r>
      <w:r w:rsidRPr="0681DF93" w:rsidR="12DAE7FB">
        <w:rPr>
          <w:rFonts w:ascii="Calibri" w:hAnsi="Calibri" w:eastAsia="Calibri" w:cs="Calibri"/>
          <w:sz w:val="32"/>
          <w:szCs w:val="32"/>
        </w:rPr>
        <w:t>/09/</w:t>
      </w:r>
      <w:r w:rsidRPr="0681DF93" w:rsidR="3952ABF7">
        <w:rPr>
          <w:rFonts w:ascii="Calibri" w:hAnsi="Calibri" w:eastAsia="Calibri" w:cs="Calibri"/>
          <w:sz w:val="32"/>
          <w:szCs w:val="32"/>
        </w:rPr>
        <w:t>202</w:t>
      </w:r>
      <w:r w:rsidRPr="0681DF93" w:rsidR="16248EF1">
        <w:rPr>
          <w:rFonts w:ascii="Calibri" w:hAnsi="Calibri" w:eastAsia="Calibri" w:cs="Calibri"/>
          <w:sz w:val="32"/>
          <w:szCs w:val="32"/>
        </w:rPr>
        <w:t>1</w:t>
      </w:r>
      <w:r w:rsidRPr="0681DF93" w:rsidR="010302F1">
        <w:rPr>
          <w:rFonts w:ascii="Calibri" w:hAnsi="Calibri" w:eastAsia="Calibri" w:cs="Calibri"/>
          <w:sz w:val="32"/>
          <w:szCs w:val="32"/>
        </w:rPr>
        <w:t>,</w:t>
      </w:r>
      <w:r w:rsidRPr="0681DF93" w:rsidR="0DE80147">
        <w:rPr>
          <w:rFonts w:ascii="Calibri" w:hAnsi="Calibri" w:eastAsia="Calibri" w:cs="Calibri"/>
          <w:sz w:val="32"/>
          <w:szCs w:val="32"/>
        </w:rPr>
        <w:t xml:space="preserve"> accessed 23/02/</w:t>
      </w:r>
      <w:r w:rsidRPr="0681DF93" w:rsidR="722D5A93">
        <w:rPr>
          <w:rFonts w:ascii="Calibri" w:hAnsi="Calibri" w:eastAsia="Calibri" w:cs="Calibri"/>
          <w:sz w:val="32"/>
          <w:szCs w:val="32"/>
        </w:rPr>
        <w:t>2</w:t>
      </w:r>
      <w:r w:rsidRPr="0681DF93" w:rsidR="0DE80147">
        <w:rPr>
          <w:rFonts w:ascii="Calibri" w:hAnsi="Calibri" w:eastAsia="Calibri" w:cs="Calibri"/>
          <w:sz w:val="32"/>
          <w:szCs w:val="32"/>
        </w:rPr>
        <w:t>024</w:t>
      </w:r>
      <w:r w:rsidRPr="0681DF93" w:rsidR="69839BC3">
        <w:rPr>
          <w:rFonts w:ascii="Calibri" w:hAnsi="Calibri" w:eastAsia="Calibri" w:cs="Calibri"/>
          <w:sz w:val="32"/>
          <w:szCs w:val="32"/>
        </w:rPr>
        <w:t>)</w:t>
      </w:r>
      <w:r w:rsidRPr="0681DF93" w:rsidR="726A7231">
        <w:rPr>
          <w:rFonts w:ascii="Calibri" w:hAnsi="Calibri" w:eastAsia="Calibri" w:cs="Calibri"/>
          <w:sz w:val="32"/>
          <w:szCs w:val="32"/>
        </w:rPr>
        <w:t>.</w:t>
      </w:r>
    </w:p>
    <w:p w:rsidR="0FD16170" w:rsidP="0681DF93" w:rsidRDefault="0FD16170" w14:paraId="40E01D30" w14:textId="022EB063">
      <w:pPr>
        <w:jc w:val="both"/>
      </w:pPr>
      <w:r w:rsidRPr="0681DF93">
        <w:rPr>
          <w:rFonts w:ascii="Calibri" w:hAnsi="Calibri" w:eastAsia="Calibri" w:cs="Calibri"/>
          <w:sz w:val="32"/>
          <w:szCs w:val="32"/>
        </w:rPr>
        <w:t>Negligence</w:t>
      </w:r>
      <w:r w:rsidRPr="0681DF93" w:rsidR="00731A4C">
        <w:rPr>
          <w:rFonts w:ascii="Calibri" w:hAnsi="Calibri" w:eastAsia="Calibri" w:cs="Calibri"/>
          <w:sz w:val="32"/>
          <w:szCs w:val="32"/>
        </w:rPr>
        <w:t xml:space="preserve"> means</w:t>
      </w:r>
      <w:r w:rsidRPr="0681DF93">
        <w:rPr>
          <w:rFonts w:ascii="Calibri" w:hAnsi="Calibri" w:eastAsia="Calibri" w:cs="Calibri"/>
          <w:sz w:val="32"/>
          <w:szCs w:val="32"/>
        </w:rPr>
        <w:t xml:space="preserve"> </w:t>
      </w:r>
      <w:r w:rsidRPr="0681DF93" w:rsidR="2187B129">
        <w:rPr>
          <w:rFonts w:ascii="Calibri" w:hAnsi="Calibri" w:eastAsia="Calibri" w:cs="Calibri"/>
          <w:sz w:val="32"/>
          <w:szCs w:val="32"/>
        </w:rPr>
        <w:t>the</w:t>
      </w:r>
      <w:r w:rsidRPr="0681DF93">
        <w:rPr>
          <w:rFonts w:ascii="Calibri" w:hAnsi="Calibri" w:eastAsia="Calibri" w:cs="Calibri"/>
          <w:sz w:val="32"/>
          <w:szCs w:val="32"/>
        </w:rPr>
        <w:t xml:space="preserve"> defendant's activities resulted in the forbidden outcome because they did not use reasonable care. This is a lesser criterion than recklessness because it just calls for a duty of care to be broken, not an intentional disdain for danger.</w:t>
      </w:r>
    </w:p>
    <w:p w:rsidR="4FF65F88" w:rsidP="0681DF93" w:rsidRDefault="4FF65F88" w14:paraId="59DEC6EF" w14:textId="5878C3B7">
      <w:pPr>
        <w:jc w:val="both"/>
        <w:rPr>
          <w:rFonts w:eastAsiaTheme="minorEastAsia"/>
          <w:color w:val="111827"/>
          <w:sz w:val="32"/>
          <w:szCs w:val="32"/>
        </w:rPr>
      </w:pPr>
      <w:r w:rsidRPr="0681DF93">
        <w:rPr>
          <w:rFonts w:eastAsiaTheme="minorEastAsia"/>
          <w:color w:val="111827"/>
          <w:sz w:val="32"/>
          <w:szCs w:val="32"/>
        </w:rPr>
        <w:t xml:space="preserve">There are several defenses that can negate or reduce criminal </w:t>
      </w:r>
      <w:r w:rsidRPr="0681DF93" w:rsidR="5FC58CE4">
        <w:rPr>
          <w:rFonts w:eastAsiaTheme="minorEastAsia"/>
          <w:color w:val="111827"/>
          <w:sz w:val="32"/>
          <w:szCs w:val="32"/>
        </w:rPr>
        <w:t>liability, and this are:</w:t>
      </w:r>
    </w:p>
    <w:p w:rsidR="23BC19E1" w:rsidP="0681DF93" w:rsidRDefault="23BC19E1" w14:paraId="6FBB3D5F" w14:textId="5FDBAE6A">
      <w:pPr>
        <w:jc w:val="both"/>
        <w:rPr>
          <w:rFonts w:ascii="Calibri" w:hAnsi="Calibri" w:eastAsia="Calibri" w:cs="Calibri"/>
          <w:sz w:val="32"/>
          <w:szCs w:val="32"/>
        </w:rPr>
      </w:pPr>
      <w:r w:rsidRPr="0681DF93">
        <w:rPr>
          <w:rFonts w:ascii="Calibri" w:hAnsi="Calibri" w:eastAsia="Calibri" w:cs="Calibri"/>
          <w:sz w:val="32"/>
          <w:szCs w:val="32"/>
        </w:rPr>
        <w:t>Justification</w:t>
      </w:r>
      <w:r w:rsidRPr="0681DF93" w:rsidR="640A9220">
        <w:rPr>
          <w:rFonts w:ascii="Calibri" w:hAnsi="Calibri" w:eastAsia="Calibri" w:cs="Calibri"/>
          <w:sz w:val="32"/>
          <w:szCs w:val="32"/>
        </w:rPr>
        <w:t xml:space="preserve"> which is</w:t>
      </w:r>
      <w:r w:rsidRPr="0681DF93">
        <w:rPr>
          <w:rFonts w:ascii="Calibri" w:hAnsi="Calibri" w:eastAsia="Calibri" w:cs="Calibri"/>
          <w:sz w:val="32"/>
          <w:szCs w:val="32"/>
        </w:rPr>
        <w:t xml:space="preserve"> </w:t>
      </w:r>
      <w:r w:rsidRPr="0681DF93" w:rsidR="1700C5F5">
        <w:rPr>
          <w:rFonts w:ascii="Calibri" w:hAnsi="Calibri" w:eastAsia="Calibri" w:cs="Calibri"/>
          <w:sz w:val="32"/>
          <w:szCs w:val="32"/>
        </w:rPr>
        <w:t>t</w:t>
      </w:r>
      <w:r w:rsidRPr="0681DF93">
        <w:rPr>
          <w:rFonts w:ascii="Calibri" w:hAnsi="Calibri" w:eastAsia="Calibri" w:cs="Calibri"/>
          <w:sz w:val="32"/>
          <w:szCs w:val="32"/>
        </w:rPr>
        <w:t>he defendant's acts were appropriate due to unusual circumstances, including defending oneself and other people.</w:t>
      </w:r>
    </w:p>
    <w:p w:rsidR="23BC19E1" w:rsidP="0681DF93" w:rsidRDefault="23BC19E1" w14:paraId="7DAC126A" w14:textId="3CDA36D9">
      <w:pPr>
        <w:jc w:val="both"/>
      </w:pPr>
      <w:r w:rsidRPr="0681DF93">
        <w:rPr>
          <w:rFonts w:ascii="Calibri" w:hAnsi="Calibri" w:eastAsia="Calibri" w:cs="Calibri"/>
          <w:sz w:val="32"/>
          <w:szCs w:val="32"/>
        </w:rPr>
        <w:t>Excuse</w:t>
      </w:r>
      <w:r w:rsidRPr="0681DF93" w:rsidR="63F2EF6F">
        <w:rPr>
          <w:rFonts w:ascii="Calibri" w:hAnsi="Calibri" w:eastAsia="Calibri" w:cs="Calibri"/>
          <w:sz w:val="32"/>
          <w:szCs w:val="32"/>
        </w:rPr>
        <w:t>,</w:t>
      </w:r>
      <w:r w:rsidRPr="0681DF93">
        <w:rPr>
          <w:rFonts w:ascii="Calibri" w:hAnsi="Calibri" w:eastAsia="Calibri" w:cs="Calibri"/>
          <w:sz w:val="32"/>
          <w:szCs w:val="32"/>
        </w:rPr>
        <w:t xml:space="preserve"> Although the defendant committed the offence, they shouldn't be held accountable for it because of uncontrollable circumstances like infancy or insanity (being less than the legal age of criminal liability).</w:t>
      </w:r>
    </w:p>
    <w:p w:rsidR="7D2C2837" w:rsidP="0681DF93" w:rsidRDefault="7D2C2837" w14:paraId="19EFB950" w14:textId="4A0C697C">
      <w:pPr>
        <w:jc w:val="both"/>
      </w:pPr>
      <w:r w:rsidRPr="0681DF93">
        <w:rPr>
          <w:rFonts w:ascii="Calibri" w:hAnsi="Calibri" w:eastAsia="Calibri" w:cs="Calibri"/>
          <w:sz w:val="32"/>
          <w:szCs w:val="32"/>
        </w:rPr>
        <w:t>Mistake in Fact</w:t>
      </w:r>
      <w:r w:rsidRPr="0681DF93" w:rsidR="274E3A3C">
        <w:rPr>
          <w:rFonts w:ascii="Calibri" w:hAnsi="Calibri" w:eastAsia="Calibri" w:cs="Calibri"/>
          <w:sz w:val="32"/>
          <w:szCs w:val="32"/>
        </w:rPr>
        <w:t xml:space="preserve"> is when</w:t>
      </w:r>
      <w:r w:rsidRPr="0681DF93">
        <w:rPr>
          <w:rFonts w:ascii="Calibri" w:hAnsi="Calibri" w:eastAsia="Calibri" w:cs="Calibri"/>
          <w:sz w:val="32"/>
          <w:szCs w:val="32"/>
        </w:rPr>
        <w:t xml:space="preserve"> </w:t>
      </w:r>
      <w:r w:rsidRPr="0681DF93" w:rsidR="77D6B39B">
        <w:rPr>
          <w:rFonts w:ascii="Calibri" w:hAnsi="Calibri" w:eastAsia="Calibri" w:cs="Calibri"/>
          <w:sz w:val="32"/>
          <w:szCs w:val="32"/>
        </w:rPr>
        <w:t>Men's</w:t>
      </w:r>
      <w:r w:rsidRPr="0681DF93">
        <w:rPr>
          <w:rFonts w:ascii="Calibri" w:hAnsi="Calibri" w:eastAsia="Calibri" w:cs="Calibri"/>
          <w:sz w:val="32"/>
          <w:szCs w:val="32"/>
        </w:rPr>
        <w:t xml:space="preserve"> rea is refuted by the defendant's honest and reasonable error on the circumstances of their actions. For instance, they thought they had authorization to enter a building even if they didn't.</w:t>
      </w:r>
    </w:p>
    <w:p w:rsidR="630B2815" w:rsidP="0681DF93" w:rsidRDefault="630B2815" w14:paraId="7EC4AB95" w14:textId="31EBE5C3">
      <w:pPr>
        <w:jc w:val="both"/>
      </w:pPr>
      <w:r w:rsidRPr="0681DF93">
        <w:rPr>
          <w:rFonts w:ascii="Calibri" w:hAnsi="Calibri" w:eastAsia="Calibri" w:cs="Calibri"/>
          <w:sz w:val="32"/>
          <w:szCs w:val="32"/>
        </w:rPr>
        <w:t>Mistake in Law</w:t>
      </w:r>
      <w:r w:rsidRPr="0681DF93" w:rsidR="5FA1DC09">
        <w:rPr>
          <w:rFonts w:ascii="Calibri" w:hAnsi="Calibri" w:eastAsia="Calibri" w:cs="Calibri"/>
          <w:sz w:val="32"/>
          <w:szCs w:val="32"/>
        </w:rPr>
        <w:t>,</w:t>
      </w:r>
      <w:r w:rsidRPr="0681DF93">
        <w:rPr>
          <w:rFonts w:ascii="Calibri" w:hAnsi="Calibri" w:eastAsia="Calibri" w:cs="Calibri"/>
          <w:sz w:val="32"/>
          <w:szCs w:val="32"/>
        </w:rPr>
        <w:t xml:space="preserve"> </w:t>
      </w:r>
      <w:r w:rsidRPr="0681DF93" w:rsidR="6F78C9DA">
        <w:rPr>
          <w:rFonts w:ascii="Calibri" w:hAnsi="Calibri" w:eastAsia="Calibri" w:cs="Calibri"/>
          <w:sz w:val="32"/>
          <w:szCs w:val="32"/>
        </w:rPr>
        <w:t>the</w:t>
      </w:r>
      <w:r w:rsidRPr="0681DF93">
        <w:rPr>
          <w:rFonts w:ascii="Calibri" w:hAnsi="Calibri" w:eastAsia="Calibri" w:cs="Calibri"/>
          <w:sz w:val="32"/>
          <w:szCs w:val="32"/>
        </w:rPr>
        <w:t xml:space="preserve"> accused party committed a sincere and rational error regarding the legitimacy of their conduct, which could potentially disprove </w:t>
      </w:r>
      <w:r w:rsidRPr="0681DF93" w:rsidR="555EBB05">
        <w:rPr>
          <w:rFonts w:ascii="Calibri" w:hAnsi="Calibri" w:eastAsia="Calibri" w:cs="Calibri"/>
          <w:sz w:val="32"/>
          <w:szCs w:val="32"/>
        </w:rPr>
        <w:t>men's</w:t>
      </w:r>
      <w:r w:rsidRPr="0681DF93">
        <w:rPr>
          <w:rFonts w:ascii="Calibri" w:hAnsi="Calibri" w:eastAsia="Calibri" w:cs="Calibri"/>
          <w:sz w:val="32"/>
          <w:szCs w:val="32"/>
        </w:rPr>
        <w:t xml:space="preserve"> rea based on the jurisdiction and particular conditions. </w:t>
      </w:r>
      <w:r w:rsidRPr="0681DF93" w:rsidR="4AE02B8E">
        <w:rPr>
          <w:rFonts w:ascii="Calibri" w:hAnsi="Calibri" w:eastAsia="Calibri" w:cs="Calibri"/>
          <w:sz w:val="32"/>
          <w:szCs w:val="32"/>
        </w:rPr>
        <w:t>But a</w:t>
      </w:r>
      <w:r w:rsidRPr="0681DF93">
        <w:rPr>
          <w:rFonts w:ascii="Calibri" w:hAnsi="Calibri" w:eastAsia="Calibri" w:cs="Calibri"/>
          <w:sz w:val="32"/>
          <w:szCs w:val="32"/>
        </w:rPr>
        <w:t xml:space="preserve"> defendant cannot successfully argue ignorance of the law unless it can be demonstrated that the defendant had reasonable access to the law or that the official threat of penalty for breaking an unfair law forced them to conduct the offence.</w:t>
      </w:r>
      <w:r w:rsidRPr="0681DF93" w:rsidR="60E0826E">
        <w:rPr>
          <w:rFonts w:ascii="Calibri" w:hAnsi="Calibri" w:eastAsia="Calibri" w:cs="Calibri"/>
          <w:sz w:val="32"/>
          <w:szCs w:val="32"/>
        </w:rPr>
        <w:t xml:space="preserve"> </w:t>
      </w:r>
    </w:p>
    <w:p w:rsidR="60E0826E" w:rsidP="0681DF93" w:rsidRDefault="60E0826E" w14:paraId="57C35FB1" w14:textId="626C374A">
      <w:pPr>
        <w:jc w:val="both"/>
        <w:rPr>
          <w:rFonts w:ascii="Calibri" w:hAnsi="Calibri" w:eastAsia="Calibri" w:cs="Calibri"/>
          <w:sz w:val="32"/>
          <w:szCs w:val="32"/>
        </w:rPr>
      </w:pPr>
      <w:r w:rsidRPr="0681DF93">
        <w:rPr>
          <w:rFonts w:ascii="Calibri" w:hAnsi="Calibri" w:eastAsia="Calibri" w:cs="Calibri"/>
          <w:sz w:val="32"/>
          <w:szCs w:val="32"/>
        </w:rPr>
        <w:t xml:space="preserve">An important legal precedent that sheds light on the idea of </w:t>
      </w:r>
      <w:r w:rsidRPr="0681DF93" w:rsidR="16E59D63">
        <w:rPr>
          <w:rFonts w:ascii="Calibri" w:hAnsi="Calibri" w:eastAsia="Calibri" w:cs="Calibri"/>
          <w:sz w:val="32"/>
          <w:szCs w:val="32"/>
        </w:rPr>
        <w:t>intention,</w:t>
      </w:r>
      <w:r w:rsidRPr="0681DF93">
        <w:rPr>
          <w:rFonts w:ascii="Calibri" w:hAnsi="Calibri" w:eastAsia="Calibri" w:cs="Calibri"/>
          <w:sz w:val="32"/>
          <w:szCs w:val="32"/>
        </w:rPr>
        <w:t xml:space="preserve"> particularly indirect or oblique </w:t>
      </w:r>
      <w:r w:rsidRPr="0681DF93" w:rsidR="29479B34">
        <w:rPr>
          <w:rFonts w:ascii="Calibri" w:hAnsi="Calibri" w:eastAsia="Calibri" w:cs="Calibri"/>
          <w:sz w:val="32"/>
          <w:szCs w:val="32"/>
        </w:rPr>
        <w:t xml:space="preserve">intention, </w:t>
      </w:r>
      <w:r w:rsidRPr="0681DF93">
        <w:rPr>
          <w:rFonts w:ascii="Calibri" w:hAnsi="Calibri" w:eastAsia="Calibri" w:cs="Calibri"/>
          <w:sz w:val="32"/>
          <w:szCs w:val="32"/>
        </w:rPr>
        <w:t>is the case of R v. Woolin (1998). In this instance, the defendant hurled his three-month-old infant in the direction of a pram amid a dispute with his spouse. This conduct resulted in the baby's deathly injuries</w:t>
      </w:r>
      <w:r w:rsidRPr="0681DF93" w:rsidR="74572989">
        <w:rPr>
          <w:rFonts w:ascii="Calibri" w:hAnsi="Calibri" w:eastAsia="Calibri" w:cs="Calibri"/>
          <w:sz w:val="32"/>
          <w:szCs w:val="32"/>
        </w:rPr>
        <w:t xml:space="preserve"> (</w:t>
      </w:r>
      <w:r w:rsidRPr="0681DF93" w:rsidR="6B65DCA6">
        <w:rPr>
          <w:rFonts w:ascii="Calibri" w:hAnsi="Calibri" w:eastAsia="Calibri" w:cs="Calibri"/>
          <w:sz w:val="32"/>
          <w:szCs w:val="32"/>
        </w:rPr>
        <w:t>V</w:t>
      </w:r>
      <w:r w:rsidRPr="0681DF93" w:rsidR="74572989">
        <w:rPr>
          <w:rFonts w:ascii="Calibri" w:hAnsi="Calibri" w:eastAsia="Calibri" w:cs="Calibri"/>
          <w:sz w:val="32"/>
          <w:szCs w:val="32"/>
        </w:rPr>
        <w:t xml:space="preserve">oluntary </w:t>
      </w:r>
      <w:r w:rsidRPr="0681DF93" w:rsidR="1DA58E14">
        <w:rPr>
          <w:rFonts w:ascii="Calibri" w:hAnsi="Calibri" w:eastAsia="Calibri" w:cs="Calibri"/>
          <w:sz w:val="32"/>
          <w:szCs w:val="32"/>
        </w:rPr>
        <w:t>I</w:t>
      </w:r>
      <w:r w:rsidRPr="0681DF93" w:rsidR="74572989">
        <w:rPr>
          <w:rFonts w:ascii="Calibri" w:hAnsi="Calibri" w:eastAsia="Calibri" w:cs="Calibri"/>
          <w:sz w:val="32"/>
          <w:szCs w:val="32"/>
        </w:rPr>
        <w:t xml:space="preserve">ntoxication </w:t>
      </w:r>
      <w:r w:rsidRPr="0681DF93" w:rsidR="08BBBC4B">
        <w:rPr>
          <w:rFonts w:ascii="Calibri" w:hAnsi="Calibri" w:eastAsia="Calibri" w:cs="Calibri"/>
          <w:sz w:val="32"/>
          <w:szCs w:val="32"/>
        </w:rPr>
        <w:t>p 150-169</w:t>
      </w:r>
      <w:r w:rsidRPr="0681DF93" w:rsidR="4AB84F3F">
        <w:rPr>
          <w:rFonts w:ascii="Calibri" w:hAnsi="Calibri" w:eastAsia="Calibri" w:cs="Calibri"/>
          <w:sz w:val="32"/>
          <w:szCs w:val="32"/>
        </w:rPr>
        <w:t>, published 2020-2023 accessed on 23/02/2024).</w:t>
      </w:r>
    </w:p>
    <w:p w:rsidR="51E48072" w:rsidP="0681DF93" w:rsidRDefault="51E48072" w14:paraId="28670B06" w14:textId="1EF40B9D">
      <w:pPr>
        <w:jc w:val="both"/>
      </w:pPr>
      <w:r w:rsidRPr="0681DF93">
        <w:rPr>
          <w:rFonts w:ascii="Calibri" w:hAnsi="Calibri" w:eastAsia="Calibri" w:cs="Calibri"/>
          <w:sz w:val="32"/>
          <w:szCs w:val="32"/>
        </w:rPr>
        <w:t>In the Woolin case, the court determined that if the defendant knew the activity would almost certainly result in the banned outcome, they could be presumed to have had an indirect intention. This case demonstrated that a person may still be found criminally responsible if they anticipated negative outcomes and acted despite not having the intent to do harm.</w:t>
      </w:r>
    </w:p>
    <w:p w:rsidR="0681DF93" w:rsidP="0681DF93" w:rsidRDefault="0681DF93" w14:paraId="2774CFDA" w14:textId="3CC5CF2C">
      <w:pPr>
        <w:jc w:val="both"/>
        <w:rPr>
          <w:rFonts w:ascii="Calibri" w:hAnsi="Calibri" w:eastAsia="Calibri" w:cs="Calibri"/>
          <w:sz w:val="32"/>
          <w:szCs w:val="32"/>
        </w:rPr>
      </w:pPr>
    </w:p>
    <w:p w:rsidR="5EBED092" w:rsidP="0681DF93" w:rsidRDefault="5EBED092" w14:paraId="139BD2DC" w14:textId="7A752565">
      <w:pPr>
        <w:jc w:val="both"/>
        <w:rPr>
          <w:rFonts w:ascii="Calibri" w:hAnsi="Calibri" w:eastAsia="Calibri" w:cs="Calibri"/>
          <w:sz w:val="32"/>
          <w:szCs w:val="32"/>
        </w:rPr>
      </w:pPr>
      <w:r w:rsidRPr="0681DF93">
        <w:rPr>
          <w:rFonts w:ascii="Calibri" w:hAnsi="Calibri" w:eastAsia="Calibri" w:cs="Calibri"/>
          <w:sz w:val="32"/>
          <w:szCs w:val="32"/>
        </w:rPr>
        <w:t>Social issues in criminal law</w:t>
      </w:r>
      <w:r w:rsidRPr="0681DF93" w:rsidR="519E865A">
        <w:rPr>
          <w:rFonts w:ascii="Calibri" w:hAnsi="Calibri" w:eastAsia="Calibri" w:cs="Calibri"/>
          <w:sz w:val="32"/>
          <w:szCs w:val="32"/>
        </w:rPr>
        <w:t>,</w:t>
      </w:r>
      <w:r w:rsidRPr="0681DF93">
        <w:rPr>
          <w:rFonts w:ascii="Calibri" w:hAnsi="Calibri" w:eastAsia="Calibri" w:cs="Calibri"/>
          <w:sz w:val="32"/>
          <w:szCs w:val="32"/>
        </w:rPr>
        <w:t xml:space="preserve"> </w:t>
      </w:r>
      <w:r w:rsidRPr="0681DF93" w:rsidR="24AF0DDA">
        <w:rPr>
          <w:rFonts w:ascii="Calibri" w:hAnsi="Calibri" w:eastAsia="Calibri" w:cs="Calibri"/>
          <w:sz w:val="32"/>
          <w:szCs w:val="32"/>
        </w:rPr>
        <w:t>Criminal law is heavily influenced by social issues. What actions are considered illegal is influenced by societal norms, values, and expectations. For instance, shifting societal perceptions about substance usage are reflected in the legalization of several narcotics. Disparities in society can also affect the way criminal laws are applied, which can result in problems with prejudice and unfairness in the legal system.</w:t>
      </w:r>
    </w:p>
    <w:p w:rsidR="27D2A69D" w:rsidP="0681DF93" w:rsidRDefault="27D2A69D" w14:paraId="6F30BAAC" w14:textId="03B16B8C">
      <w:pPr>
        <w:jc w:val="both"/>
        <w:rPr>
          <w:rFonts w:ascii="Calibri" w:hAnsi="Calibri" w:eastAsia="Calibri" w:cs="Calibri"/>
          <w:sz w:val="32"/>
          <w:szCs w:val="32"/>
          <w:u w:val="single"/>
        </w:rPr>
      </w:pPr>
      <w:r w:rsidRPr="0681DF93">
        <w:rPr>
          <w:rFonts w:ascii="Calibri" w:hAnsi="Calibri" w:eastAsia="Calibri" w:cs="Calibri"/>
          <w:sz w:val="32"/>
          <w:szCs w:val="32"/>
        </w:rPr>
        <w:t>Moral considerations in criminal law</w:t>
      </w:r>
      <w:r w:rsidRPr="0681DF93" w:rsidR="30F0F8F3">
        <w:rPr>
          <w:rFonts w:ascii="Calibri" w:hAnsi="Calibri" w:eastAsia="Calibri" w:cs="Calibri"/>
          <w:sz w:val="32"/>
          <w:szCs w:val="32"/>
        </w:rPr>
        <w:t xml:space="preserve">, </w:t>
      </w:r>
      <w:r w:rsidRPr="0681DF93">
        <w:rPr>
          <w:rFonts w:ascii="Calibri" w:hAnsi="Calibri" w:eastAsia="Calibri" w:cs="Calibri"/>
          <w:sz w:val="32"/>
          <w:szCs w:val="32"/>
        </w:rPr>
        <w:t>Criminal law is closely entwined with moral issues. Moral philosophy offers a framework for comprehending the ideas of right and wrong, which serve as the foundation for social regulations. Criminal law raises moral conundrums pertaining to the concept of retribution versus rehabilitation, the morality of punishment, and striking a balance between individual rights and social objectives.</w:t>
      </w:r>
    </w:p>
    <w:p w:rsidR="18819D9D" w:rsidP="0681DF93" w:rsidRDefault="18819D9D" w14:paraId="7BCAB3D4" w14:textId="222241E4">
      <w:pPr>
        <w:jc w:val="both"/>
        <w:rPr>
          <w:rFonts w:ascii="Calibri" w:hAnsi="Calibri" w:eastAsia="Calibri" w:cs="Calibri"/>
          <w:sz w:val="32"/>
          <w:szCs w:val="32"/>
          <w:u w:val="single"/>
        </w:rPr>
      </w:pPr>
      <w:r w:rsidRPr="0681DF93">
        <w:rPr>
          <w:rFonts w:ascii="Calibri" w:hAnsi="Calibri" w:eastAsia="Calibri" w:cs="Calibri"/>
          <w:sz w:val="32"/>
          <w:szCs w:val="32"/>
        </w:rPr>
        <w:t>Ethical dimensions of criminal law</w:t>
      </w:r>
      <w:r w:rsidRPr="0681DF93" w:rsidR="1EBF1FB9">
        <w:rPr>
          <w:rFonts w:ascii="Calibri" w:hAnsi="Calibri" w:eastAsia="Calibri" w:cs="Calibri"/>
          <w:sz w:val="32"/>
          <w:szCs w:val="32"/>
        </w:rPr>
        <w:t xml:space="preserve">, </w:t>
      </w:r>
      <w:r w:rsidRPr="0681DF93">
        <w:rPr>
          <w:rFonts w:ascii="Calibri" w:hAnsi="Calibri" w:eastAsia="Calibri" w:cs="Calibri"/>
          <w:sz w:val="32"/>
          <w:szCs w:val="32"/>
        </w:rPr>
        <w:t>Criminal laws are developed and implemented in accordance with ethical standards. Ideas like justice, equality, and fairness are essential to discussions about ethics in the criminal justice system. The treatment of criminals in the legal system, prosecutorial discretion, and police behavior are all topics that fall within the ethical umbrella.</w:t>
      </w:r>
    </w:p>
    <w:p w:rsidR="7121E9A7" w:rsidP="184B2F8F" w:rsidRDefault="196284DA" w14:paraId="12C38A67" w14:textId="1D3EB692">
      <w:pPr>
        <w:jc w:val="both"/>
        <w:rPr>
          <w:rFonts w:ascii="Calibri" w:hAnsi="Calibri" w:eastAsia="Calibri" w:cs="Calibri"/>
          <w:sz w:val="32"/>
          <w:szCs w:val="32"/>
        </w:rPr>
      </w:pPr>
      <w:r w:rsidRPr="184B2F8F">
        <w:rPr>
          <w:rFonts w:ascii="Calibri" w:hAnsi="Calibri" w:eastAsia="Calibri" w:cs="Calibri"/>
          <w:sz w:val="32"/>
          <w:szCs w:val="32"/>
        </w:rPr>
        <w:t>Philosophical perspectives on criminal law</w:t>
      </w:r>
      <w:r w:rsidRPr="184B2F8F" w:rsidR="1C8C6632">
        <w:rPr>
          <w:rFonts w:ascii="Calibri" w:hAnsi="Calibri" w:eastAsia="Calibri" w:cs="Calibri"/>
          <w:sz w:val="32"/>
          <w:szCs w:val="32"/>
        </w:rPr>
        <w:t xml:space="preserve">, </w:t>
      </w:r>
      <w:r w:rsidRPr="184B2F8F">
        <w:rPr>
          <w:rFonts w:ascii="Calibri" w:hAnsi="Calibri" w:eastAsia="Calibri" w:cs="Calibri"/>
          <w:sz w:val="32"/>
          <w:szCs w:val="32"/>
        </w:rPr>
        <w:t>Philosophical perspectives on the nature and goals of criminal law can be gained from philosophical views. The validity of governmental punishment, the function of deterrence in avoiding crime, and the moral obligation of individuals within a legal framework are among the issues that philosophers have discussed. These philosophical debates offer a more profound comprehension of the fundamental ideas that influence criminal law.</w:t>
      </w:r>
      <w:r w:rsidRPr="184B2F8F" w:rsidR="798FF080">
        <w:rPr>
          <w:rFonts w:ascii="Calibri" w:hAnsi="Calibri" w:eastAsia="Calibri" w:cs="Calibri"/>
          <w:sz w:val="32"/>
          <w:szCs w:val="32"/>
        </w:rPr>
        <w:t xml:space="preserve"> </w:t>
      </w:r>
    </w:p>
    <w:p w:rsidR="7121E9A7" w:rsidP="0681DF93" w:rsidRDefault="7121E9A7" w14:paraId="1B73D26B" w14:textId="4747E785">
      <w:pPr>
        <w:jc w:val="both"/>
        <w:rPr>
          <w:rFonts w:ascii="Calibri" w:hAnsi="Calibri" w:eastAsia="Calibri" w:cs="Calibri"/>
          <w:sz w:val="32"/>
          <w:szCs w:val="32"/>
        </w:rPr>
      </w:pPr>
      <w:r w:rsidRPr="184B2F8F">
        <w:rPr>
          <w:rFonts w:ascii="Calibri" w:hAnsi="Calibri" w:eastAsia="Calibri" w:cs="Calibri"/>
          <w:sz w:val="32"/>
          <w:szCs w:val="32"/>
        </w:rPr>
        <w:t>Understanding the complex interplay between social, moral, ethical, and philosophical factors is essential when debating ethical concerns in criminal law. Talks may Centre on issues like the death penalty, legislation requiring prison terms, restorative justice procedures, or the application of technology in law enforcement. To reach well-informed judgements in these discussions, it is important to consider a variety of viewpoints and opposing ethical principles</w:t>
      </w:r>
      <w:r w:rsidRPr="184B2F8F" w:rsidR="45E94CEC">
        <w:rPr>
          <w:rFonts w:ascii="Calibri" w:hAnsi="Calibri" w:eastAsia="Calibri" w:cs="Calibri"/>
          <w:sz w:val="32"/>
          <w:szCs w:val="32"/>
        </w:rPr>
        <w:t xml:space="preserve"> </w:t>
      </w:r>
      <w:r w:rsidRPr="184B2F8F" w:rsidR="6A473B1A">
        <w:rPr>
          <w:rFonts w:ascii="Calibri" w:hAnsi="Calibri" w:eastAsia="Calibri" w:cs="Calibri"/>
          <w:sz w:val="32"/>
          <w:szCs w:val="32"/>
        </w:rPr>
        <w:t>(monograph – what is criminal intent</w:t>
      </w:r>
      <w:r w:rsidRPr="184B2F8F" w:rsidR="048E321E">
        <w:rPr>
          <w:rFonts w:ascii="Calibri" w:hAnsi="Calibri" w:eastAsia="Calibri" w:cs="Calibri"/>
          <w:sz w:val="32"/>
          <w:szCs w:val="32"/>
        </w:rPr>
        <w:t xml:space="preserve"> – Men's Rea, released 2021, accessed 2</w:t>
      </w:r>
      <w:r w:rsidRPr="184B2F8F" w:rsidR="70419297">
        <w:rPr>
          <w:rFonts w:ascii="Calibri" w:hAnsi="Calibri" w:eastAsia="Calibri" w:cs="Calibri"/>
          <w:sz w:val="32"/>
          <w:szCs w:val="32"/>
        </w:rPr>
        <w:t>3/02/</w:t>
      </w:r>
      <w:r w:rsidRPr="184B2F8F" w:rsidR="048E321E">
        <w:rPr>
          <w:rFonts w:ascii="Calibri" w:hAnsi="Calibri" w:eastAsia="Calibri" w:cs="Calibri"/>
          <w:sz w:val="32"/>
          <w:szCs w:val="32"/>
        </w:rPr>
        <w:t>2024</w:t>
      </w:r>
      <w:r w:rsidRPr="184B2F8F" w:rsidR="5015A958">
        <w:rPr>
          <w:rFonts w:ascii="Calibri" w:hAnsi="Calibri" w:eastAsia="Calibri" w:cs="Calibri"/>
          <w:sz w:val="32"/>
          <w:szCs w:val="32"/>
        </w:rPr>
        <w:t>).</w:t>
      </w:r>
    </w:p>
    <w:p w:rsidR="0681DF93" w:rsidP="0681DF93" w:rsidRDefault="0681DF93" w14:paraId="40D9184F" w14:textId="355C919F">
      <w:pPr>
        <w:jc w:val="both"/>
        <w:rPr>
          <w:rFonts w:ascii="Calibri" w:hAnsi="Calibri" w:eastAsia="Calibri" w:cs="Calibri"/>
          <w:sz w:val="32"/>
          <w:szCs w:val="32"/>
        </w:rPr>
      </w:pPr>
    </w:p>
    <w:p w:rsidR="0681DF93" w:rsidP="0681DF93" w:rsidRDefault="0681DF93" w14:paraId="231A1A62" w14:textId="163DCF39">
      <w:pPr>
        <w:jc w:val="both"/>
        <w:rPr>
          <w:rFonts w:ascii="Calibri" w:hAnsi="Calibri" w:eastAsia="Calibri" w:cs="Calibri"/>
        </w:rPr>
      </w:pPr>
    </w:p>
    <w:p w:rsidR="4189619F" w:rsidP="0681DF93" w:rsidRDefault="388BF070" w14:paraId="1C8149D6" w14:textId="2B0C5391">
      <w:pPr>
        <w:rPr>
          <w:rFonts w:ascii="Calibri" w:hAnsi="Calibri" w:eastAsia="Calibri" w:cs="Calibri"/>
          <w:sz w:val="32"/>
          <w:szCs w:val="32"/>
        </w:rPr>
      </w:pPr>
      <w:r w:rsidRPr="184B2F8F">
        <w:rPr>
          <w:rFonts w:ascii="Calibri" w:hAnsi="Calibri" w:eastAsia="Calibri" w:cs="Calibri"/>
          <w:sz w:val="32"/>
          <w:szCs w:val="32"/>
        </w:rPr>
        <w:t xml:space="preserve">Though they are not without difficulties, the ideas of men's rea and criminal culpability are fundamental to criminal law. It can be challenging to define and </w:t>
      </w:r>
      <w:r w:rsidRPr="6BB77131" w:rsidR="33B63558">
        <w:rPr>
          <w:rFonts w:ascii="Calibri" w:hAnsi="Calibri" w:eastAsia="Calibri" w:cs="Calibri"/>
          <w:sz w:val="32"/>
          <w:szCs w:val="32"/>
        </w:rPr>
        <w:t>prove</w:t>
      </w:r>
      <w:r w:rsidRPr="184B2F8F">
        <w:rPr>
          <w:rFonts w:ascii="Calibri" w:hAnsi="Calibri" w:eastAsia="Calibri" w:cs="Calibri"/>
          <w:sz w:val="32"/>
          <w:szCs w:val="32"/>
        </w:rPr>
        <w:t xml:space="preserve"> the necessary mental state for each offence, and </w:t>
      </w:r>
      <w:r w:rsidRPr="6BB77131" w:rsidR="6D1825F5">
        <w:rPr>
          <w:rFonts w:ascii="Calibri" w:hAnsi="Calibri" w:eastAsia="Calibri" w:cs="Calibri"/>
          <w:sz w:val="32"/>
          <w:szCs w:val="32"/>
        </w:rPr>
        <w:t>deciding</w:t>
      </w:r>
      <w:r w:rsidRPr="184B2F8F">
        <w:rPr>
          <w:rFonts w:ascii="Calibri" w:hAnsi="Calibri" w:eastAsia="Calibri" w:cs="Calibri"/>
          <w:sz w:val="32"/>
          <w:szCs w:val="32"/>
        </w:rPr>
        <w:t xml:space="preserve"> criminal responsibility </w:t>
      </w:r>
      <w:r w:rsidRPr="6BB77131" w:rsidR="454E8FD4">
        <w:rPr>
          <w:rFonts w:ascii="Calibri" w:hAnsi="Calibri" w:eastAsia="Calibri" w:cs="Calibri"/>
          <w:sz w:val="32"/>
          <w:szCs w:val="32"/>
        </w:rPr>
        <w:t>needs</w:t>
      </w:r>
      <w:r w:rsidRPr="184B2F8F">
        <w:rPr>
          <w:rFonts w:ascii="Calibri" w:hAnsi="Calibri" w:eastAsia="Calibri" w:cs="Calibri"/>
          <w:sz w:val="32"/>
          <w:szCs w:val="32"/>
        </w:rPr>
        <w:t xml:space="preserve"> carefully weighing the men's rea and actus reus components. It is imperative to tackle these obstacles to guarantee the </w:t>
      </w:r>
      <w:r w:rsidRPr="6BB77131" w:rsidR="0A09A29A">
        <w:rPr>
          <w:rFonts w:ascii="Calibri" w:hAnsi="Calibri" w:eastAsia="Calibri" w:cs="Calibri"/>
          <w:sz w:val="32"/>
          <w:szCs w:val="32"/>
        </w:rPr>
        <w:t>fair</w:t>
      </w:r>
      <w:r w:rsidRPr="184B2F8F">
        <w:rPr>
          <w:rFonts w:ascii="Calibri" w:hAnsi="Calibri" w:eastAsia="Calibri" w:cs="Calibri"/>
          <w:sz w:val="32"/>
          <w:szCs w:val="32"/>
        </w:rPr>
        <w:t xml:space="preserve"> and uniform application of criminal law.</w:t>
      </w:r>
    </w:p>
    <w:p w:rsidR="184B2F8F" w:rsidP="184B2F8F" w:rsidRDefault="184B2F8F" w14:paraId="65453014" w14:textId="5948B17B">
      <w:pPr>
        <w:rPr>
          <w:rFonts w:ascii="Calibri" w:hAnsi="Calibri" w:eastAsia="Calibri" w:cs="Calibri"/>
          <w:sz w:val="32"/>
          <w:szCs w:val="32"/>
        </w:rPr>
      </w:pPr>
    </w:p>
    <w:p w:rsidR="490CD8F6" w:rsidP="184B2F8F" w:rsidRDefault="490CD8F6" w14:paraId="3AB88BEB" w14:textId="322F409F">
      <w:pPr>
        <w:pStyle w:val="ListParagraph"/>
        <w:numPr>
          <w:ilvl w:val="0"/>
          <w:numId w:val="1"/>
        </w:numPr>
        <w:rPr>
          <w:rFonts w:ascii="Calibri" w:hAnsi="Calibri" w:eastAsia="Calibri" w:cs="Calibri"/>
          <w:sz w:val="32"/>
          <w:szCs w:val="32"/>
        </w:rPr>
      </w:pPr>
      <w:r w:rsidRPr="0A6DFB84" w:rsidR="490CD8F6">
        <w:rPr>
          <w:rFonts w:ascii="Calibri" w:hAnsi="Calibri" w:eastAsia="Calibri" w:cs="Calibri"/>
          <w:sz w:val="32"/>
          <w:szCs w:val="32"/>
        </w:rPr>
        <w:t>Business professor</w:t>
      </w:r>
      <w:r w:rsidRPr="0A6DFB84" w:rsidR="3EA9D3E8">
        <w:rPr>
          <w:rFonts w:ascii="Calibri" w:hAnsi="Calibri" w:eastAsia="Calibri" w:cs="Calibri"/>
          <w:sz w:val="32"/>
          <w:szCs w:val="32"/>
        </w:rPr>
        <w:t>,</w:t>
      </w:r>
      <w:r w:rsidRPr="0A6DFB84" w:rsidR="490CD8F6">
        <w:rPr>
          <w:rFonts w:ascii="Calibri" w:hAnsi="Calibri" w:eastAsia="Calibri" w:cs="Calibri"/>
          <w:sz w:val="32"/>
          <w:szCs w:val="32"/>
        </w:rPr>
        <w:t xml:space="preserve"> (2021).</w:t>
      </w:r>
      <w:r w:rsidRPr="0A6DFB84" w:rsidR="490CD8F6">
        <w:rPr>
          <w:rFonts w:ascii="Calibri" w:hAnsi="Calibri" w:eastAsia="Calibri" w:cs="Calibri"/>
          <w:sz w:val="32"/>
          <w:szCs w:val="32"/>
        </w:rPr>
        <w:t xml:space="preserve"> </w:t>
      </w:r>
      <w:r w:rsidRPr="0A6DFB84" w:rsidR="07B1BE28">
        <w:rPr>
          <w:rFonts w:ascii="Calibri" w:hAnsi="Calibri" w:eastAsia="Calibri" w:cs="Calibri"/>
          <w:sz w:val="32"/>
          <w:szCs w:val="32"/>
        </w:rPr>
        <w:t>W</w:t>
      </w:r>
      <w:r w:rsidRPr="0A6DFB84" w:rsidR="490CD8F6">
        <w:rPr>
          <w:rFonts w:ascii="Calibri" w:hAnsi="Calibri" w:eastAsia="Calibri" w:cs="Calibri"/>
          <w:sz w:val="32"/>
          <w:szCs w:val="32"/>
        </w:rPr>
        <w:t>hat</w:t>
      </w:r>
      <w:r w:rsidRPr="0A6DFB84" w:rsidR="07B1BE28">
        <w:rPr>
          <w:rFonts w:ascii="Calibri" w:hAnsi="Calibri" w:eastAsia="Calibri" w:cs="Calibri"/>
          <w:sz w:val="32"/>
          <w:szCs w:val="32"/>
        </w:rPr>
        <w:t xml:space="preserve"> is Criminal Intent – Men's Rea. (</w:t>
      </w:r>
      <w:r w:rsidRPr="0A6DFB84" w:rsidR="3FF00CF5">
        <w:rPr>
          <w:rFonts w:ascii="Calibri" w:hAnsi="Calibri" w:eastAsia="Calibri" w:cs="Calibri"/>
          <w:sz w:val="32"/>
          <w:szCs w:val="32"/>
        </w:rPr>
        <w:t>video). United States.</w:t>
      </w:r>
      <w:r w:rsidRPr="0A6DFB84" w:rsidR="157A4326">
        <w:rPr>
          <w:rFonts w:ascii="Calibri" w:hAnsi="Calibri" w:eastAsia="Calibri" w:cs="Calibri"/>
          <w:sz w:val="32"/>
          <w:szCs w:val="32"/>
        </w:rPr>
        <w:t xml:space="preserve"> </w:t>
      </w:r>
      <w:r w:rsidRPr="0A6DFB84" w:rsidR="19A7A5B1">
        <w:rPr>
          <w:rFonts w:ascii="Calibri" w:hAnsi="Calibri" w:eastAsia="Calibri" w:cs="Calibri"/>
          <w:sz w:val="32"/>
          <w:szCs w:val="32"/>
        </w:rPr>
        <w:t xml:space="preserve">Accessed </w:t>
      </w:r>
      <w:r w:rsidRPr="0A6DFB84" w:rsidR="157A4326">
        <w:rPr>
          <w:rFonts w:ascii="Calibri" w:hAnsi="Calibri" w:eastAsia="Calibri" w:cs="Calibri"/>
          <w:sz w:val="32"/>
          <w:szCs w:val="32"/>
        </w:rPr>
        <w:t>26/02/2024</w:t>
      </w:r>
    </w:p>
    <w:p w:rsidR="184B2F8F" w:rsidP="6BB77131" w:rsidRDefault="066ECD98" w14:paraId="31E1CC48" w14:textId="0B02006C">
      <w:pPr>
        <w:pStyle w:val="ListParagraph"/>
        <w:numPr>
          <w:ilvl w:val="0"/>
          <w:numId w:val="1"/>
        </w:numPr>
        <w:rPr>
          <w:rFonts w:ascii="Calibri" w:hAnsi="Calibri" w:eastAsia="Calibri" w:cs="Calibri"/>
          <w:sz w:val="32"/>
          <w:szCs w:val="32"/>
        </w:rPr>
      </w:pPr>
      <w:r w:rsidRPr="0A6DFB84" w:rsidR="066ECD98">
        <w:rPr>
          <w:rFonts w:ascii="Calibri" w:hAnsi="Calibri" w:eastAsia="Calibri" w:cs="Calibri"/>
          <w:sz w:val="32"/>
          <w:szCs w:val="32"/>
        </w:rPr>
        <w:t xml:space="preserve">Geert –Jan Alexander </w:t>
      </w:r>
      <w:r w:rsidRPr="0A6DFB84" w:rsidR="7B334C22">
        <w:rPr>
          <w:rFonts w:ascii="Calibri" w:hAnsi="Calibri" w:eastAsia="Calibri" w:cs="Calibri"/>
          <w:sz w:val="32"/>
          <w:szCs w:val="32"/>
        </w:rPr>
        <w:t>Knoops</w:t>
      </w:r>
      <w:r w:rsidRPr="0A6DFB84" w:rsidR="066ECD98">
        <w:rPr>
          <w:rFonts w:ascii="Calibri" w:hAnsi="Calibri" w:eastAsia="Calibri" w:cs="Calibri"/>
          <w:sz w:val="32"/>
          <w:szCs w:val="32"/>
        </w:rPr>
        <w:t>, (2017</w:t>
      </w:r>
      <w:r w:rsidRPr="0A6DFB84" w:rsidR="2825AAB6">
        <w:rPr>
          <w:rFonts w:ascii="Calibri" w:hAnsi="Calibri" w:eastAsia="Calibri" w:cs="Calibri"/>
          <w:sz w:val="32"/>
          <w:szCs w:val="32"/>
        </w:rPr>
        <w:t xml:space="preserve">) </w:t>
      </w:r>
      <w:r w:rsidRPr="0A6DFB84" w:rsidR="594A9E30">
        <w:rPr>
          <w:rFonts w:ascii="Calibri" w:hAnsi="Calibri" w:eastAsia="Calibri" w:cs="Calibri"/>
          <w:sz w:val="32"/>
          <w:szCs w:val="32"/>
        </w:rPr>
        <w:t>Men's</w:t>
      </w:r>
      <w:r w:rsidRPr="0A6DFB84" w:rsidR="2825AAB6">
        <w:rPr>
          <w:rFonts w:ascii="Calibri" w:hAnsi="Calibri" w:eastAsia="Calibri" w:cs="Calibri"/>
          <w:sz w:val="32"/>
          <w:szCs w:val="32"/>
        </w:rPr>
        <w:t xml:space="preserve"> </w:t>
      </w:r>
      <w:r w:rsidRPr="0A6DFB84" w:rsidR="6E938BB8">
        <w:rPr>
          <w:rFonts w:ascii="Calibri" w:hAnsi="Calibri" w:eastAsia="Calibri" w:cs="Calibri"/>
          <w:sz w:val="32"/>
          <w:szCs w:val="32"/>
        </w:rPr>
        <w:t>R</w:t>
      </w:r>
      <w:r w:rsidRPr="0A6DFB84" w:rsidR="2825AAB6">
        <w:rPr>
          <w:rFonts w:ascii="Calibri" w:hAnsi="Calibri" w:eastAsia="Calibri" w:cs="Calibri"/>
          <w:sz w:val="32"/>
          <w:szCs w:val="32"/>
        </w:rPr>
        <w:t xml:space="preserve">ea at the </w:t>
      </w:r>
      <w:r w:rsidRPr="0A6DFB84" w:rsidR="25D09A84">
        <w:rPr>
          <w:rFonts w:ascii="Calibri" w:hAnsi="Calibri" w:eastAsia="Calibri" w:cs="Calibri"/>
          <w:sz w:val="32"/>
          <w:szCs w:val="32"/>
        </w:rPr>
        <w:t>I</w:t>
      </w:r>
      <w:r w:rsidRPr="0A6DFB84" w:rsidR="2825AAB6">
        <w:rPr>
          <w:rFonts w:ascii="Calibri" w:hAnsi="Calibri" w:eastAsia="Calibri" w:cs="Calibri"/>
          <w:sz w:val="32"/>
          <w:szCs w:val="32"/>
        </w:rPr>
        <w:t xml:space="preserve">nternational </w:t>
      </w:r>
      <w:r w:rsidRPr="0A6DFB84" w:rsidR="56405383">
        <w:rPr>
          <w:rFonts w:ascii="Calibri" w:hAnsi="Calibri" w:eastAsia="Calibri" w:cs="Calibri"/>
          <w:sz w:val="32"/>
          <w:szCs w:val="32"/>
        </w:rPr>
        <w:t>C</w:t>
      </w:r>
      <w:r w:rsidRPr="0A6DFB84" w:rsidR="2825AAB6">
        <w:rPr>
          <w:rFonts w:ascii="Calibri" w:hAnsi="Calibri" w:eastAsia="Calibri" w:cs="Calibri"/>
          <w:sz w:val="32"/>
          <w:szCs w:val="32"/>
        </w:rPr>
        <w:t xml:space="preserve">riminal </w:t>
      </w:r>
      <w:r w:rsidRPr="0A6DFB84" w:rsidR="212B0987">
        <w:rPr>
          <w:rFonts w:ascii="Calibri" w:hAnsi="Calibri" w:eastAsia="Calibri" w:cs="Calibri"/>
          <w:sz w:val="32"/>
          <w:szCs w:val="32"/>
        </w:rPr>
        <w:t>C</w:t>
      </w:r>
      <w:r w:rsidRPr="0A6DFB84" w:rsidR="2825AAB6">
        <w:rPr>
          <w:rFonts w:ascii="Calibri" w:hAnsi="Calibri" w:eastAsia="Calibri" w:cs="Calibri"/>
          <w:sz w:val="32"/>
          <w:szCs w:val="32"/>
        </w:rPr>
        <w:t>ourt</w:t>
      </w:r>
      <w:r w:rsidRPr="0A6DFB84" w:rsidR="02F81E7A">
        <w:rPr>
          <w:rFonts w:ascii="Calibri" w:hAnsi="Calibri" w:eastAsia="Calibri" w:cs="Calibri"/>
          <w:sz w:val="32"/>
          <w:szCs w:val="32"/>
        </w:rPr>
        <w:t xml:space="preserve">. </w:t>
      </w:r>
      <w:r w:rsidRPr="0A6DFB84" w:rsidR="37A436A1">
        <w:rPr>
          <w:rFonts w:ascii="Calibri" w:hAnsi="Calibri" w:eastAsia="Calibri" w:cs="Calibri"/>
          <w:sz w:val="32"/>
          <w:szCs w:val="32"/>
        </w:rPr>
        <w:t>Netherland (book) p7-34</w:t>
      </w:r>
      <w:r w:rsidRPr="0A6DFB84" w:rsidR="04CD149A">
        <w:rPr>
          <w:rFonts w:ascii="Calibri" w:hAnsi="Calibri" w:eastAsia="Calibri" w:cs="Calibri"/>
          <w:sz w:val="32"/>
          <w:szCs w:val="32"/>
        </w:rPr>
        <w:t xml:space="preserve"> </w:t>
      </w:r>
      <w:r w:rsidRPr="0A6DFB84" w:rsidR="4810BCB5">
        <w:rPr>
          <w:rFonts w:ascii="Calibri" w:hAnsi="Calibri" w:eastAsia="Calibri" w:cs="Calibri"/>
          <w:sz w:val="32"/>
          <w:szCs w:val="32"/>
        </w:rPr>
        <w:t xml:space="preserve">accessed </w:t>
      </w:r>
      <w:r w:rsidRPr="0A6DFB84" w:rsidR="04CD149A">
        <w:rPr>
          <w:rFonts w:ascii="Calibri" w:hAnsi="Calibri" w:eastAsia="Calibri" w:cs="Calibri"/>
          <w:sz w:val="32"/>
          <w:szCs w:val="32"/>
        </w:rPr>
        <w:t>26/02/2024</w:t>
      </w:r>
      <w:r w:rsidRPr="0A6DFB84" w:rsidR="0BAEE27A">
        <w:rPr>
          <w:rFonts w:ascii="Calibri" w:hAnsi="Calibri" w:eastAsia="Calibri" w:cs="Calibri"/>
          <w:sz w:val="32"/>
          <w:szCs w:val="32"/>
        </w:rPr>
        <w:t>.</w:t>
      </w:r>
    </w:p>
    <w:p w:rsidR="3E3EAEF5" w:rsidP="6BB77131" w:rsidRDefault="3E3EAEF5" w14:paraId="792C892A" w14:textId="418ECE98">
      <w:pPr>
        <w:pStyle w:val="ListParagraph"/>
        <w:numPr>
          <w:ilvl w:val="0"/>
          <w:numId w:val="1"/>
        </w:numPr>
        <w:rPr>
          <w:rFonts w:ascii="Calibri" w:hAnsi="Calibri" w:eastAsia="Calibri" w:cs="Calibri"/>
          <w:sz w:val="32"/>
          <w:szCs w:val="32"/>
        </w:rPr>
      </w:pPr>
      <w:r w:rsidRPr="0A6DFB84" w:rsidR="3E3EAEF5">
        <w:rPr>
          <w:rFonts w:ascii="Calibri" w:hAnsi="Calibri" w:eastAsia="Calibri" w:cs="Calibri"/>
          <w:sz w:val="32"/>
          <w:szCs w:val="32"/>
        </w:rPr>
        <w:t xml:space="preserve">Zacharski, Michal (23 November </w:t>
      </w:r>
      <w:r w:rsidRPr="0A6DFB84" w:rsidR="5885A5F8">
        <w:rPr>
          <w:rFonts w:ascii="Calibri" w:hAnsi="Calibri" w:eastAsia="Calibri" w:cs="Calibri"/>
          <w:sz w:val="32"/>
          <w:szCs w:val="32"/>
        </w:rPr>
        <w:t>2017) Men's Rea, the Achilles heel of criminal law</w:t>
      </w:r>
      <w:r w:rsidRPr="0A6DFB84" w:rsidR="2047572B">
        <w:rPr>
          <w:rFonts w:ascii="Calibri" w:hAnsi="Calibri" w:eastAsia="Calibri" w:cs="Calibri"/>
          <w:sz w:val="32"/>
          <w:szCs w:val="32"/>
        </w:rPr>
        <w:t xml:space="preserve">. </w:t>
      </w:r>
      <w:r w:rsidRPr="0A6DFB84" w:rsidR="61A271F9">
        <w:rPr>
          <w:rFonts w:ascii="Calibri" w:hAnsi="Calibri" w:eastAsia="Calibri" w:cs="Calibri"/>
          <w:sz w:val="32"/>
          <w:szCs w:val="32"/>
        </w:rPr>
        <w:t xml:space="preserve">Abingdon Routledge. </w:t>
      </w:r>
      <w:r w:rsidRPr="0A6DFB84" w:rsidR="55B8F146">
        <w:rPr>
          <w:rFonts w:ascii="Calibri" w:hAnsi="Calibri" w:eastAsia="Calibri" w:cs="Calibri"/>
          <w:sz w:val="32"/>
          <w:szCs w:val="32"/>
        </w:rPr>
        <w:t>P47-59</w:t>
      </w:r>
      <w:r w:rsidRPr="0A6DFB84" w:rsidR="65F8CBAF">
        <w:rPr>
          <w:rFonts w:ascii="Calibri" w:hAnsi="Calibri" w:eastAsia="Calibri" w:cs="Calibri"/>
          <w:sz w:val="32"/>
          <w:szCs w:val="32"/>
        </w:rPr>
        <w:t xml:space="preserve"> accessed 26/02/2024</w:t>
      </w:r>
      <w:r w:rsidRPr="0A6DFB84" w:rsidR="5144A40A">
        <w:rPr>
          <w:rFonts w:ascii="Calibri" w:hAnsi="Calibri" w:eastAsia="Calibri" w:cs="Calibri"/>
          <w:sz w:val="32"/>
          <w:szCs w:val="32"/>
        </w:rPr>
        <w:t>.</w:t>
      </w:r>
    </w:p>
    <w:p w:rsidR="184B2F8F" w:rsidP="0A6DFB84" w:rsidRDefault="16B49222" w14:paraId="5890D939" w14:textId="24F032BF">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0A6DFB84" w:rsidR="16B49222">
        <w:rPr>
          <w:rFonts w:ascii="Calibri" w:hAnsi="Calibri" w:eastAsia="Calibri" w:cs="Calibri"/>
          <w:sz w:val="32"/>
          <w:szCs w:val="32"/>
        </w:rPr>
        <w:t xml:space="preserve">Kneer, Markus </w:t>
      </w:r>
      <w:r w:rsidRPr="0A6DFB84" w:rsidR="4A34BFB7">
        <w:rPr>
          <w:rFonts w:ascii="Calibri" w:hAnsi="Calibri" w:eastAsia="Calibri" w:cs="Calibri"/>
          <w:sz w:val="32"/>
          <w:szCs w:val="32"/>
        </w:rPr>
        <w:t xml:space="preserve">(2017), </w:t>
      </w:r>
      <w:r w:rsidRPr="0A6DFB84" w:rsidR="2EFFD41F">
        <w:rPr>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Men's</w:t>
      </w:r>
      <w:r w:rsidRPr="0A6DFB84" w:rsidR="4A34BFB7">
        <w:rPr>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 xml:space="preserve"> rea ascription, </w:t>
      </w:r>
      <w:r w:rsidRPr="0A6DFB84" w:rsidR="4A34BFB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expertise</w:t>
      </w:r>
      <w:r w:rsidRPr="0A6DFB84" w:rsidR="4A34BFB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and outcome effects: Professional judges surveyed,</w:t>
      </w:r>
      <w:r w:rsidRPr="0A6DFB84" w:rsidR="2EB69C91">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w:t>
      </w:r>
      <w:r w:rsidRPr="0A6DFB84" w:rsidR="2EB69C91">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Netherlands</w:t>
      </w:r>
      <w:r w:rsidRPr="0A6DFB84" w:rsidR="682C1781">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w:t>
      </w:r>
      <w:r w:rsidRPr="0A6DFB84" w:rsidR="682C1781">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p140-145 &amp; 150</w:t>
      </w:r>
      <w:r w:rsidRPr="0A6DFB84" w:rsidR="351D32F5">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accessed 26/02/2024</w:t>
      </w:r>
      <w:r w:rsidRPr="0A6DFB84" w:rsidR="6D015225">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w:t>
      </w:r>
    </w:p>
    <w:p w:rsidR="60520D57" w:rsidP="0A6DFB84" w:rsidRDefault="60520D57" w14:paraId="1A35A1C6" w14:textId="2949023A">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0A6DFB84" w:rsidR="60520D5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MacIntyre</w:t>
      </w:r>
      <w:r w:rsidRPr="0A6DFB84" w:rsidR="60520D5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Michael R.</w:t>
      </w:r>
      <w:r w:rsidRPr="0A6DFB84" w:rsidR="2A3EB949">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(2021),</w:t>
      </w:r>
      <w:r w:rsidRPr="0A6DFB84" w:rsidR="60520D5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w:t>
      </w:r>
      <w:r w:rsidRPr="0A6DFB84" w:rsidR="1EF6F289">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Voluntary intoxication, homicide, and </w:t>
      </w:r>
      <w:r w:rsidRPr="0A6DFB84" w:rsidR="4AEC46B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men's</w:t>
      </w:r>
      <w:r w:rsidRPr="0A6DFB84" w:rsidR="1EF6F289">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rea: Past, present, and future</w:t>
      </w:r>
      <w:r w:rsidRPr="0A6DFB84" w:rsidR="493744F9">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united states, p</w:t>
      </w:r>
      <w:r w:rsidRPr="0A6DFB84" w:rsidR="6F4A34DE">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150 – 155</w:t>
      </w:r>
      <w:r w:rsidRPr="0A6DFB84" w:rsidR="73F819B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26/02/2024.</w:t>
      </w:r>
    </w:p>
    <w:p w:rsidR="07FE81B3" w:rsidP="0A6DFB84" w:rsidRDefault="07FE81B3" w14:paraId="646AAED0" w14:textId="2F7356EA">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0A6DFB84" w:rsidR="07FE81B3">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Baron, Marcia, (2020)</w:t>
      </w:r>
      <w:r w:rsidRPr="0A6DFB84" w:rsidR="0E65181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Negligence, </w:t>
      </w:r>
      <w:r w:rsidRPr="0A6DFB84" w:rsidR="0E65181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Mens</w:t>
      </w:r>
      <w:r w:rsidRPr="0A6DFB84" w:rsidR="0E65181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Rea, and What We Want the Element of </w:t>
      </w:r>
      <w:r w:rsidRPr="0A6DFB84" w:rsidR="0E65181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Mens</w:t>
      </w:r>
      <w:r w:rsidRPr="0A6DFB84" w:rsidR="0E651817">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Rea to Provide, </w:t>
      </w:r>
      <w:r w:rsidRPr="0A6DFB84" w:rsidR="4D09FD4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Dordrecht, p69 – 73, accessed </w:t>
      </w:r>
      <w:r w:rsidRPr="0A6DFB84" w:rsidR="6C49081D">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26/02/2024.</w:t>
      </w:r>
    </w:p>
    <w:p w:rsidR="4718507F" w:rsidP="0A6DFB84" w:rsidRDefault="4718507F" w14:paraId="268C0939" w14:textId="4D6593A0">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0A6DFB84" w:rsidR="4718507F">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M J Allen (Michael John), (</w:t>
      </w:r>
      <w:r w:rsidRPr="0A6DFB84" w:rsidR="2BCCDCD5">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2011), </w:t>
      </w:r>
      <w:r w:rsidRPr="0A6DFB84" w:rsidR="2BCCDCD5">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Textbook on criminal law, </w:t>
      </w:r>
      <w:r w:rsidRPr="0A6DFB84" w:rsidR="1C497A70">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Oxford, p</w:t>
      </w:r>
      <w:r w:rsidRPr="0A6DFB84" w:rsidR="2E5F19C9">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50-60, accessed 26/02/2024.</w:t>
      </w:r>
    </w:p>
    <w:p w:rsidR="009BD615" w:rsidP="0A6DFB84" w:rsidRDefault="009BD615" w14:paraId="2C8C42AA" w14:textId="0ED7749F">
      <w:pPr>
        <w:pStyle w:val="ListParagraph"/>
        <w:numPr>
          <w:ilvl w:val="0"/>
          <w:numId w:val="1"/>
        </w:numPr>
        <w:rPr>
          <w:rFonts w:ascii="Calibri" w:hAnsi="Calibri" w:eastAsia="Calibri" w:cs="Calibri" w:asciiTheme="minorAscii" w:hAnsiTheme="minorAscii" w:eastAsiaTheme="minorAscii" w:cstheme="minorAscii"/>
          <w:color w:val="auto"/>
          <w:sz w:val="32"/>
          <w:szCs w:val="32"/>
        </w:rPr>
      </w:pPr>
      <w:r w:rsidRPr="0A6DFB84" w:rsidR="009BD615">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Child, John, (2001)</w:t>
      </w:r>
      <w:r w:rsidRPr="0A6DFB84" w:rsidR="5DB514D4">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w:t>
      </w:r>
      <w:r w:rsidRPr="0A6DFB84" w:rsidR="009BD615">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w:t>
      </w:r>
      <w:hyperlink r:id="R7ed8b1299c634688">
        <w:r w:rsidRPr="0A6DFB84" w:rsidR="009BD61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32"/>
            <w:szCs w:val="32"/>
            <w:u w:val="none"/>
            <w:lang w:val="en-US"/>
          </w:rPr>
          <w:t>UNDERSTANDING ULTERIOR MENS REA: FUTURE CONDUCT INTENTION IS CONDITIONAL INTENTION</w:t>
        </w:r>
        <w:r w:rsidRPr="0A6DFB84" w:rsidR="72C4BAD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32"/>
            <w:szCs w:val="32"/>
            <w:u w:val="none"/>
            <w:lang w:val="en-US"/>
          </w:rPr>
          <w:t>,</w:t>
        </w:r>
      </w:hyperlink>
      <w:r w:rsidRPr="0A6DFB84" w:rsidR="72C4BADC">
        <w:rPr>
          <w:rFonts w:ascii="Calibri" w:hAnsi="Calibri" w:eastAsia="Calibri" w:cs="Calibri" w:asciiTheme="minorAscii" w:hAnsiTheme="minorAscii" w:eastAsiaTheme="minorAscii" w:cstheme="minorAscii"/>
          <w:color w:val="auto"/>
          <w:sz w:val="32"/>
          <w:szCs w:val="32"/>
        </w:rPr>
        <w:t xml:space="preserve"> United Kingdom, p311</w:t>
      </w:r>
      <w:r w:rsidRPr="0A6DFB84" w:rsidR="124A3339">
        <w:rPr>
          <w:rFonts w:ascii="Calibri" w:hAnsi="Calibri" w:eastAsia="Calibri" w:cs="Calibri" w:asciiTheme="minorAscii" w:hAnsiTheme="minorAscii" w:eastAsiaTheme="minorAscii" w:cstheme="minorAscii"/>
          <w:color w:val="auto"/>
          <w:sz w:val="32"/>
          <w:szCs w:val="32"/>
        </w:rPr>
        <w:t>-316. Accessed 26/02/2024.</w:t>
      </w:r>
    </w:p>
    <w:p w:rsidR="4585CDF2" w:rsidP="0A6DFB84" w:rsidRDefault="4585CDF2" w14:paraId="76B4EE53" w14:textId="63202663">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0A6DFB84" w:rsidR="4585CDF2">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Malle, Bertram F, </w:t>
      </w:r>
      <w:r w:rsidRPr="0A6DFB84" w:rsidR="24D8408B">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(2020),</w:t>
      </w:r>
      <w:r w:rsidRPr="0A6DFB84" w:rsidR="24D8408B">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w:t>
      </w:r>
      <w:hyperlink r:id="R22ca52ce75ed43df">
        <w:r w:rsidRPr="0A6DFB84" w:rsidR="24D8408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32"/>
            <w:szCs w:val="32"/>
            <w:u w:val="none"/>
            <w:lang w:val="en-US"/>
          </w:rPr>
          <w:t>Judging mens rea: the tension between folk concepts and legal concepts of intentionality</w:t>
        </w:r>
        <w:r w:rsidRPr="0A6DFB84" w:rsidR="24D8408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32"/>
            <w:szCs w:val="32"/>
            <w:u w:val="none"/>
            <w:lang w:val="en-US"/>
          </w:rPr>
          <w:t>,</w:t>
        </w:r>
      </w:hyperlink>
      <w:r w:rsidRPr="0A6DFB84" w:rsidR="24D8408B">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w:t>
      </w:r>
      <w:r w:rsidRPr="0A6DFB84" w:rsidR="637D25BC">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Chichester</w:t>
      </w:r>
      <w:r w:rsidRPr="0A6DFB84" w:rsidR="762CB6C6">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p563- 570</w:t>
      </w:r>
      <w:r w:rsidRPr="0A6DFB84" w:rsidR="139FDC6F">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accessed 26/02/2024.</w:t>
      </w:r>
    </w:p>
    <w:p w:rsidR="641BD2DA" w:rsidP="0A6DFB84" w:rsidRDefault="641BD2DA" w14:paraId="77F8D092" w14:textId="616C2536">
      <w:pPr>
        <w:pStyle w:val="ListParagraph"/>
        <w:numPr>
          <w:ilvl w:val="0"/>
          <w:numId w:val="1"/>
        </w:numPr>
        <w:rPr>
          <w:rFonts w:ascii="Calibri" w:hAnsi="Calibri" w:eastAsia="Calibri" w:cs="Calibri" w:asciiTheme="minorAscii" w:hAnsiTheme="minorAscii" w:eastAsiaTheme="minorAscii" w:cstheme="minorAscii"/>
          <w:noProof w:val="0"/>
          <w:color w:val="auto"/>
          <w:sz w:val="32"/>
          <w:szCs w:val="32"/>
          <w:lang w:val="en-US"/>
        </w:rPr>
      </w:pPr>
      <w:r w:rsidRPr="0A6DFB84" w:rsidR="641BD2DA">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Keith, Kirsten M.F, (2001), </w:t>
      </w:r>
      <w:r w:rsidRPr="0A6DFB84" w:rsidR="1C5A21A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The </w:t>
      </w:r>
      <w:r w:rsidRPr="0A6DFB84" w:rsidR="1C5A21A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Mens</w:t>
      </w:r>
      <w:r w:rsidRPr="0A6DFB84" w:rsidR="1C5A21A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Rea</w:t>
      </w:r>
      <w:r w:rsidRPr="0A6DFB84" w:rsidR="1C5A21A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of Superior Responsibility as Developed by ICTY Jurisprudence, United Kingdom, p617-</w:t>
      </w:r>
      <w:r w:rsidRPr="0A6DFB84" w:rsidR="02132AA5">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620, accessed 26/02/2024</w:t>
      </w:r>
    </w:p>
    <w:sectPr w:rsidR="184B2F8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9WkkQsI3iQw8/4" int2:id="90NkWC55">
      <int2:state int2:type="AugLoop_Text_Critique" int2:value="Rejected"/>
    </int2:textHash>
    <int2:textHash int2:hashCode="4sjFgH3sHK93p5" int2:id="pd3ScOxs">
      <int2:state int2:type="AugLoop_Text_Critique" int2:value="Rejected"/>
    </int2:textHash>
    <int2:textHash int2:hashCode="Oqpe4RFXrRYns1" int2:id="qbaA8OtL">
      <int2:state int2:type="AugLoop_Text_Critique" int2:value="Rejected"/>
    </int2:textHash>
    <int2:textHash int2:hashCode="Eg5rYPOk8lGke5" int2:id="wdAanzS4">
      <int2:state int2:type="AugLoop_Text_Critique" int2:value="Rejected"/>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2DFF3"/>
    <w:multiLevelType w:val="hybridMultilevel"/>
    <w:tmpl w:val="FFFFFFFF"/>
    <w:lvl w:ilvl="0" w:tplc="9B64B86E">
      <w:start w:val="1"/>
      <w:numFmt w:val="decimal"/>
      <w:lvlText w:val="%1."/>
      <w:lvlJc w:val="left"/>
      <w:pPr>
        <w:ind w:left="720" w:hanging="360"/>
      </w:pPr>
    </w:lvl>
    <w:lvl w:ilvl="1" w:tplc="09C08C4A">
      <w:start w:val="1"/>
      <w:numFmt w:val="lowerLetter"/>
      <w:lvlText w:val="%2."/>
      <w:lvlJc w:val="left"/>
      <w:pPr>
        <w:ind w:left="1440" w:hanging="360"/>
      </w:pPr>
    </w:lvl>
    <w:lvl w:ilvl="2" w:tplc="7F28C7E8">
      <w:start w:val="1"/>
      <w:numFmt w:val="lowerRoman"/>
      <w:lvlText w:val="%3."/>
      <w:lvlJc w:val="right"/>
      <w:pPr>
        <w:ind w:left="2160" w:hanging="180"/>
      </w:pPr>
    </w:lvl>
    <w:lvl w:ilvl="3" w:tplc="90DA9BA6">
      <w:start w:val="1"/>
      <w:numFmt w:val="decimal"/>
      <w:lvlText w:val="%4."/>
      <w:lvlJc w:val="left"/>
      <w:pPr>
        <w:ind w:left="2880" w:hanging="360"/>
      </w:pPr>
    </w:lvl>
    <w:lvl w:ilvl="4" w:tplc="D6FC3122">
      <w:start w:val="1"/>
      <w:numFmt w:val="lowerLetter"/>
      <w:lvlText w:val="%5."/>
      <w:lvlJc w:val="left"/>
      <w:pPr>
        <w:ind w:left="3600" w:hanging="360"/>
      </w:pPr>
    </w:lvl>
    <w:lvl w:ilvl="5" w:tplc="40AA2D24">
      <w:start w:val="1"/>
      <w:numFmt w:val="lowerRoman"/>
      <w:lvlText w:val="%6."/>
      <w:lvlJc w:val="right"/>
      <w:pPr>
        <w:ind w:left="4320" w:hanging="180"/>
      </w:pPr>
    </w:lvl>
    <w:lvl w:ilvl="6" w:tplc="4628C41C">
      <w:start w:val="1"/>
      <w:numFmt w:val="decimal"/>
      <w:lvlText w:val="%7."/>
      <w:lvlJc w:val="left"/>
      <w:pPr>
        <w:ind w:left="5040" w:hanging="360"/>
      </w:pPr>
    </w:lvl>
    <w:lvl w:ilvl="7" w:tplc="0EA64180">
      <w:start w:val="1"/>
      <w:numFmt w:val="lowerLetter"/>
      <w:lvlText w:val="%8."/>
      <w:lvlJc w:val="left"/>
      <w:pPr>
        <w:ind w:left="5760" w:hanging="360"/>
      </w:pPr>
    </w:lvl>
    <w:lvl w:ilvl="8" w:tplc="4044EB22">
      <w:start w:val="1"/>
      <w:numFmt w:val="lowerRoman"/>
      <w:lvlText w:val="%9."/>
      <w:lvlJc w:val="right"/>
      <w:pPr>
        <w:ind w:left="6480" w:hanging="180"/>
      </w:pPr>
    </w:lvl>
  </w:abstractNum>
  <w:abstractNum w:abstractNumId="1" w15:restartNumberingAfterBreak="0">
    <w:nsid w:val="7B540F04"/>
    <w:multiLevelType w:val="hybridMultilevel"/>
    <w:tmpl w:val="FFFFFFFF"/>
    <w:lvl w:ilvl="0" w:tplc="B30685B2">
      <w:start w:val="1"/>
      <w:numFmt w:val="bullet"/>
      <w:lvlText w:val=""/>
      <w:lvlJc w:val="left"/>
      <w:pPr>
        <w:ind w:left="720" w:hanging="360"/>
      </w:pPr>
      <w:rPr>
        <w:rFonts w:hint="default" w:ascii="Symbol" w:hAnsi="Symbol"/>
      </w:rPr>
    </w:lvl>
    <w:lvl w:ilvl="1" w:tplc="7F821AFA">
      <w:start w:val="1"/>
      <w:numFmt w:val="bullet"/>
      <w:lvlText w:val="o"/>
      <w:lvlJc w:val="left"/>
      <w:pPr>
        <w:ind w:left="1440" w:hanging="360"/>
      </w:pPr>
      <w:rPr>
        <w:rFonts w:hint="default" w:ascii="Courier New" w:hAnsi="Courier New"/>
      </w:rPr>
    </w:lvl>
    <w:lvl w:ilvl="2" w:tplc="6B8E9CFE">
      <w:start w:val="1"/>
      <w:numFmt w:val="bullet"/>
      <w:lvlText w:val=""/>
      <w:lvlJc w:val="left"/>
      <w:pPr>
        <w:ind w:left="2160" w:hanging="360"/>
      </w:pPr>
      <w:rPr>
        <w:rFonts w:hint="default" w:ascii="Wingdings" w:hAnsi="Wingdings"/>
      </w:rPr>
    </w:lvl>
    <w:lvl w:ilvl="3" w:tplc="48ECFED6">
      <w:start w:val="1"/>
      <w:numFmt w:val="bullet"/>
      <w:lvlText w:val=""/>
      <w:lvlJc w:val="left"/>
      <w:pPr>
        <w:ind w:left="2880" w:hanging="360"/>
      </w:pPr>
      <w:rPr>
        <w:rFonts w:hint="default" w:ascii="Symbol" w:hAnsi="Symbol"/>
      </w:rPr>
    </w:lvl>
    <w:lvl w:ilvl="4" w:tplc="032E554A">
      <w:start w:val="1"/>
      <w:numFmt w:val="bullet"/>
      <w:lvlText w:val="o"/>
      <w:lvlJc w:val="left"/>
      <w:pPr>
        <w:ind w:left="3600" w:hanging="360"/>
      </w:pPr>
      <w:rPr>
        <w:rFonts w:hint="default" w:ascii="Courier New" w:hAnsi="Courier New"/>
      </w:rPr>
    </w:lvl>
    <w:lvl w:ilvl="5" w:tplc="6E88C09A">
      <w:start w:val="1"/>
      <w:numFmt w:val="bullet"/>
      <w:lvlText w:val=""/>
      <w:lvlJc w:val="left"/>
      <w:pPr>
        <w:ind w:left="4320" w:hanging="360"/>
      </w:pPr>
      <w:rPr>
        <w:rFonts w:hint="default" w:ascii="Wingdings" w:hAnsi="Wingdings"/>
      </w:rPr>
    </w:lvl>
    <w:lvl w:ilvl="6" w:tplc="66E014FC">
      <w:start w:val="1"/>
      <w:numFmt w:val="bullet"/>
      <w:lvlText w:val=""/>
      <w:lvlJc w:val="left"/>
      <w:pPr>
        <w:ind w:left="5040" w:hanging="360"/>
      </w:pPr>
      <w:rPr>
        <w:rFonts w:hint="default" w:ascii="Symbol" w:hAnsi="Symbol"/>
      </w:rPr>
    </w:lvl>
    <w:lvl w:ilvl="7" w:tplc="8CE013D6">
      <w:start w:val="1"/>
      <w:numFmt w:val="bullet"/>
      <w:lvlText w:val="o"/>
      <w:lvlJc w:val="left"/>
      <w:pPr>
        <w:ind w:left="5760" w:hanging="360"/>
      </w:pPr>
      <w:rPr>
        <w:rFonts w:hint="default" w:ascii="Courier New" w:hAnsi="Courier New"/>
      </w:rPr>
    </w:lvl>
    <w:lvl w:ilvl="8" w:tplc="601227D4">
      <w:start w:val="1"/>
      <w:numFmt w:val="bullet"/>
      <w:lvlText w:val=""/>
      <w:lvlJc w:val="left"/>
      <w:pPr>
        <w:ind w:left="6480" w:hanging="360"/>
      </w:pPr>
      <w:rPr>
        <w:rFonts w:hint="default" w:ascii="Wingdings" w:hAnsi="Wingdings"/>
      </w:rPr>
    </w:lvl>
  </w:abstractNum>
  <w:num w:numId="1" w16cid:durableId="419958289">
    <w:abstractNumId w:val="1"/>
  </w:num>
  <w:num w:numId="2" w16cid:durableId="939066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E50000"/>
    <w:rsid w:val="00731A4C"/>
    <w:rsid w:val="007B688F"/>
    <w:rsid w:val="008673E8"/>
    <w:rsid w:val="009BD615"/>
    <w:rsid w:val="00D023E7"/>
    <w:rsid w:val="00D150A9"/>
    <w:rsid w:val="00DC2DC3"/>
    <w:rsid w:val="00E2129B"/>
    <w:rsid w:val="010302F1"/>
    <w:rsid w:val="0105F9D3"/>
    <w:rsid w:val="01B8860A"/>
    <w:rsid w:val="02132AA5"/>
    <w:rsid w:val="02500E54"/>
    <w:rsid w:val="02E0CC8E"/>
    <w:rsid w:val="02F81E7A"/>
    <w:rsid w:val="03796762"/>
    <w:rsid w:val="03E7032D"/>
    <w:rsid w:val="03FEBA00"/>
    <w:rsid w:val="042D56AC"/>
    <w:rsid w:val="046439F2"/>
    <w:rsid w:val="0471730B"/>
    <w:rsid w:val="04819034"/>
    <w:rsid w:val="048E321E"/>
    <w:rsid w:val="04B52CF7"/>
    <w:rsid w:val="04CD149A"/>
    <w:rsid w:val="053B6FF1"/>
    <w:rsid w:val="06186D50"/>
    <w:rsid w:val="066ECD98"/>
    <w:rsid w:val="0681DF93"/>
    <w:rsid w:val="068BF72D"/>
    <w:rsid w:val="06CDB986"/>
    <w:rsid w:val="06E38474"/>
    <w:rsid w:val="07365AC2"/>
    <w:rsid w:val="07A913CD"/>
    <w:rsid w:val="07B1BE28"/>
    <w:rsid w:val="07FE81B3"/>
    <w:rsid w:val="08847E5B"/>
    <w:rsid w:val="08BBBC4B"/>
    <w:rsid w:val="08D22B23"/>
    <w:rsid w:val="08DE5657"/>
    <w:rsid w:val="093C69EE"/>
    <w:rsid w:val="0944E42E"/>
    <w:rsid w:val="096C9BE0"/>
    <w:rsid w:val="09B98055"/>
    <w:rsid w:val="0A055A48"/>
    <w:rsid w:val="0A09A29A"/>
    <w:rsid w:val="0A204EBC"/>
    <w:rsid w:val="0A5A56EB"/>
    <w:rsid w:val="0A6DFB84"/>
    <w:rsid w:val="0B086C41"/>
    <w:rsid w:val="0B54F41F"/>
    <w:rsid w:val="0B5550B6"/>
    <w:rsid w:val="0BAAB175"/>
    <w:rsid w:val="0BAEE27A"/>
    <w:rsid w:val="0BE0627A"/>
    <w:rsid w:val="0CF0C480"/>
    <w:rsid w:val="0D7C32DB"/>
    <w:rsid w:val="0DB821D0"/>
    <w:rsid w:val="0DDEF7CD"/>
    <w:rsid w:val="0DE80147"/>
    <w:rsid w:val="0E651817"/>
    <w:rsid w:val="0E9B3039"/>
    <w:rsid w:val="0EFE19CB"/>
    <w:rsid w:val="0F0EAB64"/>
    <w:rsid w:val="0F18033C"/>
    <w:rsid w:val="0F3C5D04"/>
    <w:rsid w:val="0FD16170"/>
    <w:rsid w:val="0FDEE65F"/>
    <w:rsid w:val="1037009A"/>
    <w:rsid w:val="1063DC0F"/>
    <w:rsid w:val="109DB3B2"/>
    <w:rsid w:val="10A9F613"/>
    <w:rsid w:val="1116988F"/>
    <w:rsid w:val="11A538B0"/>
    <w:rsid w:val="11D2D0FB"/>
    <w:rsid w:val="124A3339"/>
    <w:rsid w:val="128E81B8"/>
    <w:rsid w:val="12CE739C"/>
    <w:rsid w:val="12DAE7FB"/>
    <w:rsid w:val="12ED484F"/>
    <w:rsid w:val="139FDC6F"/>
    <w:rsid w:val="13EB745F"/>
    <w:rsid w:val="14DCD972"/>
    <w:rsid w:val="157A4326"/>
    <w:rsid w:val="16248EF1"/>
    <w:rsid w:val="1678A9D3"/>
    <w:rsid w:val="16B49222"/>
    <w:rsid w:val="16E59D63"/>
    <w:rsid w:val="16E61DD7"/>
    <w:rsid w:val="1700C5F5"/>
    <w:rsid w:val="17092BB0"/>
    <w:rsid w:val="17EB2734"/>
    <w:rsid w:val="182EE7E0"/>
    <w:rsid w:val="184B2F8F"/>
    <w:rsid w:val="186E094A"/>
    <w:rsid w:val="18819D9D"/>
    <w:rsid w:val="18BE447E"/>
    <w:rsid w:val="196284DA"/>
    <w:rsid w:val="19A7A5B1"/>
    <w:rsid w:val="19BDB008"/>
    <w:rsid w:val="19CDF15A"/>
    <w:rsid w:val="1A048187"/>
    <w:rsid w:val="1A09D9AB"/>
    <w:rsid w:val="1A45BFB7"/>
    <w:rsid w:val="1B00D34D"/>
    <w:rsid w:val="1B3EED3F"/>
    <w:rsid w:val="1C497A70"/>
    <w:rsid w:val="1C4D088D"/>
    <w:rsid w:val="1C5A21A8"/>
    <w:rsid w:val="1C6486BC"/>
    <w:rsid w:val="1C8C6632"/>
    <w:rsid w:val="1D1363ED"/>
    <w:rsid w:val="1DA58E14"/>
    <w:rsid w:val="1DE50000"/>
    <w:rsid w:val="1EBF1FB9"/>
    <w:rsid w:val="1EE1DE55"/>
    <w:rsid w:val="1EF6F289"/>
    <w:rsid w:val="1FCDCE23"/>
    <w:rsid w:val="2047572B"/>
    <w:rsid w:val="20EF4A90"/>
    <w:rsid w:val="212B0987"/>
    <w:rsid w:val="2187B129"/>
    <w:rsid w:val="23BC19E1"/>
    <w:rsid w:val="23BC65D8"/>
    <w:rsid w:val="24657C42"/>
    <w:rsid w:val="24AF0DDA"/>
    <w:rsid w:val="24D8408B"/>
    <w:rsid w:val="24FB45DD"/>
    <w:rsid w:val="25D09A84"/>
    <w:rsid w:val="26014CA3"/>
    <w:rsid w:val="266A1E95"/>
    <w:rsid w:val="266FCCE9"/>
    <w:rsid w:val="26708022"/>
    <w:rsid w:val="271D3C73"/>
    <w:rsid w:val="273EE643"/>
    <w:rsid w:val="274E3A3C"/>
    <w:rsid w:val="279D1D04"/>
    <w:rsid w:val="27C3DBF3"/>
    <w:rsid w:val="27D2A69D"/>
    <w:rsid w:val="280C5083"/>
    <w:rsid w:val="2825AAB6"/>
    <w:rsid w:val="282880F5"/>
    <w:rsid w:val="286023CF"/>
    <w:rsid w:val="28769873"/>
    <w:rsid w:val="2934A62E"/>
    <w:rsid w:val="29479B34"/>
    <w:rsid w:val="29723828"/>
    <w:rsid w:val="29FBF430"/>
    <w:rsid w:val="2A0E356B"/>
    <w:rsid w:val="2A3EB949"/>
    <w:rsid w:val="2AF0D843"/>
    <w:rsid w:val="2B0E0889"/>
    <w:rsid w:val="2B43F145"/>
    <w:rsid w:val="2B67F414"/>
    <w:rsid w:val="2BA73900"/>
    <w:rsid w:val="2BCCDCD5"/>
    <w:rsid w:val="2BF191AD"/>
    <w:rsid w:val="2C3CD956"/>
    <w:rsid w:val="2D800D1B"/>
    <w:rsid w:val="2E5F19C9"/>
    <w:rsid w:val="2E7B9207"/>
    <w:rsid w:val="2E94EC3A"/>
    <w:rsid w:val="2EB69C91"/>
    <w:rsid w:val="2EFFD41F"/>
    <w:rsid w:val="2FA21263"/>
    <w:rsid w:val="2FCE092E"/>
    <w:rsid w:val="30F0F8F3"/>
    <w:rsid w:val="3103F3AC"/>
    <w:rsid w:val="310B255B"/>
    <w:rsid w:val="319A2433"/>
    <w:rsid w:val="3235C6C8"/>
    <w:rsid w:val="32B24C07"/>
    <w:rsid w:val="3387DD19"/>
    <w:rsid w:val="338ABAE9"/>
    <w:rsid w:val="33B63558"/>
    <w:rsid w:val="33F2101C"/>
    <w:rsid w:val="348C43F9"/>
    <w:rsid w:val="34A63FAE"/>
    <w:rsid w:val="351D32F5"/>
    <w:rsid w:val="3793C112"/>
    <w:rsid w:val="37A436A1"/>
    <w:rsid w:val="38807994"/>
    <w:rsid w:val="388BF070"/>
    <w:rsid w:val="38D8E101"/>
    <w:rsid w:val="38FD0EE3"/>
    <w:rsid w:val="391F5DF3"/>
    <w:rsid w:val="3952ABF7"/>
    <w:rsid w:val="3A004C69"/>
    <w:rsid w:val="3A29ABC5"/>
    <w:rsid w:val="3A98DF44"/>
    <w:rsid w:val="3AB62714"/>
    <w:rsid w:val="3B10718F"/>
    <w:rsid w:val="3B750B4F"/>
    <w:rsid w:val="3C414AA6"/>
    <w:rsid w:val="3E3EAEF5"/>
    <w:rsid w:val="3E5D32FA"/>
    <w:rsid w:val="3EA9D3E8"/>
    <w:rsid w:val="3FF00CF5"/>
    <w:rsid w:val="401FB346"/>
    <w:rsid w:val="40A372DD"/>
    <w:rsid w:val="40D85E21"/>
    <w:rsid w:val="41470C95"/>
    <w:rsid w:val="4189619F"/>
    <w:rsid w:val="41D88148"/>
    <w:rsid w:val="41F8BF28"/>
    <w:rsid w:val="427EE481"/>
    <w:rsid w:val="429D8F9C"/>
    <w:rsid w:val="43974103"/>
    <w:rsid w:val="4412BCA2"/>
    <w:rsid w:val="441AB4E2"/>
    <w:rsid w:val="44395FFD"/>
    <w:rsid w:val="454E8FD4"/>
    <w:rsid w:val="4585CDF2"/>
    <w:rsid w:val="45970BBE"/>
    <w:rsid w:val="45D5305E"/>
    <w:rsid w:val="45E94CEC"/>
    <w:rsid w:val="46E23180"/>
    <w:rsid w:val="4718507F"/>
    <w:rsid w:val="475255A4"/>
    <w:rsid w:val="47AE4E95"/>
    <w:rsid w:val="4810BCB5"/>
    <w:rsid w:val="490CD8F6"/>
    <w:rsid w:val="493744F9"/>
    <w:rsid w:val="49B0C72E"/>
    <w:rsid w:val="49C158C7"/>
    <w:rsid w:val="4A34BFB7"/>
    <w:rsid w:val="4A4E3F76"/>
    <w:rsid w:val="4AA8A181"/>
    <w:rsid w:val="4AB84F3F"/>
    <w:rsid w:val="4AE02B8E"/>
    <w:rsid w:val="4AEC46B0"/>
    <w:rsid w:val="4B4C978F"/>
    <w:rsid w:val="4C1B0C22"/>
    <w:rsid w:val="4C795711"/>
    <w:rsid w:val="4C8716DE"/>
    <w:rsid w:val="4D09FD48"/>
    <w:rsid w:val="4E152772"/>
    <w:rsid w:val="4E53388D"/>
    <w:rsid w:val="4FF65F88"/>
    <w:rsid w:val="5015A958"/>
    <w:rsid w:val="509FB705"/>
    <w:rsid w:val="50F37B22"/>
    <w:rsid w:val="5144A40A"/>
    <w:rsid w:val="519E865A"/>
    <w:rsid w:val="51E48072"/>
    <w:rsid w:val="51F2BE2E"/>
    <w:rsid w:val="522F62F0"/>
    <w:rsid w:val="526D2307"/>
    <w:rsid w:val="52839BC3"/>
    <w:rsid w:val="52C20279"/>
    <w:rsid w:val="52F05BEE"/>
    <w:rsid w:val="543602C9"/>
    <w:rsid w:val="544223DC"/>
    <w:rsid w:val="547DC624"/>
    <w:rsid w:val="5489AFA0"/>
    <w:rsid w:val="54F86D1A"/>
    <w:rsid w:val="555EBB05"/>
    <w:rsid w:val="55B8F146"/>
    <w:rsid w:val="55EDF460"/>
    <w:rsid w:val="561C8A93"/>
    <w:rsid w:val="56405383"/>
    <w:rsid w:val="56F28B4C"/>
    <w:rsid w:val="5702D413"/>
    <w:rsid w:val="5795739C"/>
    <w:rsid w:val="57DBD454"/>
    <w:rsid w:val="57F7A6C8"/>
    <w:rsid w:val="580C0939"/>
    <w:rsid w:val="58300DDC"/>
    <w:rsid w:val="5885A5F8"/>
    <w:rsid w:val="58E9ED99"/>
    <w:rsid w:val="594A9E30"/>
    <w:rsid w:val="59AE87FB"/>
    <w:rsid w:val="5A85BDFA"/>
    <w:rsid w:val="5ACD145E"/>
    <w:rsid w:val="5B10B424"/>
    <w:rsid w:val="5C1F8B85"/>
    <w:rsid w:val="5C218E5B"/>
    <w:rsid w:val="5CA5282E"/>
    <w:rsid w:val="5CF361D6"/>
    <w:rsid w:val="5DB514D4"/>
    <w:rsid w:val="5E40F88F"/>
    <w:rsid w:val="5EBED092"/>
    <w:rsid w:val="5EC92B9D"/>
    <w:rsid w:val="5F03CE5E"/>
    <w:rsid w:val="5F592F1D"/>
    <w:rsid w:val="5FA1DC09"/>
    <w:rsid w:val="5FC58CE4"/>
    <w:rsid w:val="60520D57"/>
    <w:rsid w:val="60804535"/>
    <w:rsid w:val="60E0826E"/>
    <w:rsid w:val="61A271F9"/>
    <w:rsid w:val="62C680E4"/>
    <w:rsid w:val="630B2815"/>
    <w:rsid w:val="6353CFF9"/>
    <w:rsid w:val="637D25BC"/>
    <w:rsid w:val="63F2EF6F"/>
    <w:rsid w:val="640A9220"/>
    <w:rsid w:val="641BD2DA"/>
    <w:rsid w:val="654EBB07"/>
    <w:rsid w:val="65AD456E"/>
    <w:rsid w:val="65E43835"/>
    <w:rsid w:val="65F8CBAF"/>
    <w:rsid w:val="65FAC625"/>
    <w:rsid w:val="66E593D3"/>
    <w:rsid w:val="677BD019"/>
    <w:rsid w:val="67C49ADE"/>
    <w:rsid w:val="67CAE7B7"/>
    <w:rsid w:val="682C1781"/>
    <w:rsid w:val="6833CD10"/>
    <w:rsid w:val="684E7D29"/>
    <w:rsid w:val="6917A07A"/>
    <w:rsid w:val="69839BC3"/>
    <w:rsid w:val="69BA665D"/>
    <w:rsid w:val="6A473B1A"/>
    <w:rsid w:val="6A4C4C9E"/>
    <w:rsid w:val="6A588625"/>
    <w:rsid w:val="6A811D54"/>
    <w:rsid w:val="6B65DCA6"/>
    <w:rsid w:val="6B675D13"/>
    <w:rsid w:val="6BB77131"/>
    <w:rsid w:val="6C49081D"/>
    <w:rsid w:val="6C5379B9"/>
    <w:rsid w:val="6C8A5ED4"/>
    <w:rsid w:val="6CD8F51B"/>
    <w:rsid w:val="6D015225"/>
    <w:rsid w:val="6D1825F5"/>
    <w:rsid w:val="6D916ACC"/>
    <w:rsid w:val="6DE8A1F7"/>
    <w:rsid w:val="6E938BB8"/>
    <w:rsid w:val="6EC47D43"/>
    <w:rsid w:val="6EEF11F3"/>
    <w:rsid w:val="6F4A34DE"/>
    <w:rsid w:val="6F660005"/>
    <w:rsid w:val="6F78C9DA"/>
    <w:rsid w:val="6F8B1A7B"/>
    <w:rsid w:val="6FFB8635"/>
    <w:rsid w:val="70419297"/>
    <w:rsid w:val="70509A35"/>
    <w:rsid w:val="70ADD17E"/>
    <w:rsid w:val="711BC0F8"/>
    <w:rsid w:val="7121E9A7"/>
    <w:rsid w:val="71519659"/>
    <w:rsid w:val="71BCE4A4"/>
    <w:rsid w:val="722D5A93"/>
    <w:rsid w:val="724BD293"/>
    <w:rsid w:val="726A7231"/>
    <w:rsid w:val="72C2BB3D"/>
    <w:rsid w:val="72C4BADC"/>
    <w:rsid w:val="732C2D80"/>
    <w:rsid w:val="73E23ED6"/>
    <w:rsid w:val="73F819B7"/>
    <w:rsid w:val="742F865D"/>
    <w:rsid w:val="74572989"/>
    <w:rsid w:val="755E5377"/>
    <w:rsid w:val="757F2EE1"/>
    <w:rsid w:val="75CB56BE"/>
    <w:rsid w:val="75E681F1"/>
    <w:rsid w:val="762CB6C6"/>
    <w:rsid w:val="7659ED03"/>
    <w:rsid w:val="76FA23D8"/>
    <w:rsid w:val="7767271F"/>
    <w:rsid w:val="77D6B39B"/>
    <w:rsid w:val="78A9C385"/>
    <w:rsid w:val="78B996A0"/>
    <w:rsid w:val="78D89935"/>
    <w:rsid w:val="7902F780"/>
    <w:rsid w:val="791022A0"/>
    <w:rsid w:val="793449E1"/>
    <w:rsid w:val="79804D97"/>
    <w:rsid w:val="798FF080"/>
    <w:rsid w:val="7B334C22"/>
    <w:rsid w:val="7BE8C105"/>
    <w:rsid w:val="7C1039F7"/>
    <w:rsid w:val="7C4DF52B"/>
    <w:rsid w:val="7C718B09"/>
    <w:rsid w:val="7CEC3C03"/>
    <w:rsid w:val="7D2C2837"/>
    <w:rsid w:val="7D5E218A"/>
    <w:rsid w:val="7D92BBFB"/>
    <w:rsid w:val="7E444085"/>
    <w:rsid w:val="7F464239"/>
    <w:rsid w:val="7FA92BCB"/>
    <w:rsid w:val="7FAE1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50000"/>
  <w15:chartTrackingRefBased/>
  <w15:docId w15:val="{D184D2A5-280C-6E46-A3B0-6629991B3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librarysearch.uwtsd.ac.uk/discovery/fulldisplay?docid=cdi_proquest_journals_1917819922&amp;context=PC&amp;vid=44WHELF_UWTSD:44WHELF_UWTSD_VU1&amp;lang=en&amp;search_scope=MyInst_and_CI&amp;adaptor=Primo%20Central&amp;tab=Everything&amp;query=any%2Ccontains%2Cmens%20rea%20uk&amp;offset=0" TargetMode="External" Id="R7ed8b1299c634688" /><Relationship Type="http://schemas.openxmlformats.org/officeDocument/2006/relationships/hyperlink" Target="https://librarysearch.uwtsd.ac.uk/discovery/fulldisplay?docid=cdi_openaire_primary_doi_dedup_2325cb871ebef71bbb7116cfc3ec88a7&amp;context=PC&amp;vid=44WHELF_UWTSD:44WHELF_UWTSD_VU1&amp;lang=en&amp;search_scope=MyInst_and_CI&amp;adaptor=Primo%20Central&amp;tab=Everything&amp;query=any%2Ccontains%2Cmens%20rea%20uk&amp;offset=0" TargetMode="External" Id="R22ca52ce75ed43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Jaroslava Biharyova (2316196)</dc:creator>
  <keywords/>
  <dc:description/>
  <lastModifiedBy>Jaroslava Biharyova (2316196)</lastModifiedBy>
  <revision>4</revision>
  <dcterms:created xsi:type="dcterms:W3CDTF">2024-02-15T21:06:00.0000000Z</dcterms:created>
  <dcterms:modified xsi:type="dcterms:W3CDTF">2024-03-15T22:15:20.8724290Z</dcterms:modified>
</coreProperties>
</file>