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18793" w14:textId="0C135DCF" w:rsidR="008202FC" w:rsidRDefault="008202FC">
      <w:r>
        <w:t xml:space="preserve">Student Name:  Monika Pawelec </w:t>
      </w:r>
    </w:p>
    <w:p w14:paraId="5F6B335C" w14:textId="3657BD9A" w:rsidR="008202FC" w:rsidRDefault="001F2E6E">
      <w:r>
        <w:t>Student Number</w:t>
      </w:r>
      <w:r w:rsidR="008202FC">
        <w:t>: 2217113</w:t>
      </w:r>
    </w:p>
    <w:p w14:paraId="6E2171DA" w14:textId="0A63C1F5" w:rsidR="001F2E6E" w:rsidRDefault="001F2E6E">
      <w:r>
        <w:t>Criminal law</w:t>
      </w:r>
      <w:r w:rsidR="00CF3981">
        <w:t xml:space="preserve"> BMLW4005 </w:t>
      </w:r>
    </w:p>
    <w:p w14:paraId="2BFEC217" w14:textId="574B9731" w:rsidR="001F2E6E" w:rsidRDefault="00CF3981">
      <w:r>
        <w:t>Law portfolio</w:t>
      </w:r>
      <w:r w:rsidR="000D34C8">
        <w:t xml:space="preserve"> </w:t>
      </w:r>
      <w:r w:rsidR="000868E7">
        <w:t>Assignment 2 Resit</w:t>
      </w:r>
    </w:p>
    <w:p w14:paraId="7C74864F" w14:textId="41DF3B9D" w:rsidR="001973B3" w:rsidRDefault="00CE28D1">
      <w:r>
        <w:t xml:space="preserve"> </w:t>
      </w:r>
    </w:p>
    <w:p w14:paraId="1D517073" w14:textId="77777777" w:rsidR="001973B3" w:rsidRDefault="001973B3"/>
    <w:p w14:paraId="5853BDD3" w14:textId="77777777" w:rsidR="001973B3" w:rsidRDefault="001973B3">
      <w:r>
        <w:t>“Assessing Andre’s Criminal Liability: An Analysis of the Actus Reus and Mens Rea Principles in the Deaths of Lucian and Jaimie”</w:t>
      </w:r>
    </w:p>
    <w:p w14:paraId="1FA61D86" w14:textId="77777777" w:rsidR="001973B3" w:rsidRDefault="001973B3"/>
    <w:p w14:paraId="42C7574D" w14:textId="77777777" w:rsidR="001973B3" w:rsidRDefault="001973B3">
      <w:r>
        <w:t>Introduction</w:t>
      </w:r>
    </w:p>
    <w:p w14:paraId="746CF298" w14:textId="77777777" w:rsidR="001973B3" w:rsidRDefault="001973B3"/>
    <w:p w14:paraId="12A3B851" w14:textId="77777777" w:rsidR="001973B3" w:rsidRDefault="001973B3">
      <w:r>
        <w:t>The evening in Swansea turned tragic when a band of companions encountered Andre, who inflicted harm on multiple individuals. This terrible occurrence ultimately resulted in the untimely demise of Lucian and Jaimie. As an expert in criminal law, it is incumbent upon me to offer guidance to Andre concerning his culpability for these incidents. By examining the facts presented, we can pinpoint which offenses are applicable and then demonstrate how the actus reus and mens rea principles either apply or do not apply – thus determining Andre’s responsibility for the wrongful deaths. One key element that requires further scrutiny is why Andre approached Jaimie after Lucian’s incident; such behavior could indicate potential knowledge of his own criminal liability as well as intent to cover up his actions. Throughout this document, our analysis will delve into several case laws as well as legislation linked with the offenses perpetrated by Andre before drawing reasonable conclusions regarding his criminal accountability – without taking into account any defense he may have had at the time he committed those acts – within a 1500-word limit according to module requirements.</w:t>
      </w:r>
    </w:p>
    <w:p w14:paraId="2DE2C216" w14:textId="77777777" w:rsidR="001973B3" w:rsidRDefault="001973B3"/>
    <w:p w14:paraId="6F3C847B" w14:textId="77777777" w:rsidR="001973B3" w:rsidRDefault="001973B3">
      <w:r>
        <w:t>Paragraph 1</w:t>
      </w:r>
    </w:p>
    <w:p w14:paraId="7FB34F40" w14:textId="77777777" w:rsidR="001973B3" w:rsidRDefault="001973B3"/>
    <w:p w14:paraId="1CF45219" w14:textId="77777777" w:rsidR="001973B3" w:rsidRDefault="001973B3">
      <w:r>
        <w:t>It is imperative to stress the gravity of Andre’s physical assault on Lucian, as it bears significant legal ramifications. Depending on the magnitude of his intent and harm inflicted upon his victim, he could either face a manslaughter or murder charge in court. The issue of intentionality plays a critical part in deciding whether homicide or manslaughter can be established beyond doubt. If evidence exists that proves Andre acted intentionally with malice aforethought, there is a high likelihood that he will be prosecuted for murder charges. On the other hand, if no forethought existed but resulted from reckless behavior or carelessness, he may receive a conviction for manslaughter instead. Henceforth, determining appropriate charges under this circumstance involves evaluating the nature and severity of Lucian’s injuries. Suppose they were grave bodily harms caused by Andre’s aggression; more serious criminal allegations would ensue than if minor wounds occurred. Willis et al., (2002) underscored that “Andre’s physical attack on Lucian could result in charges of manslaughter or murder.” As such, it behooves us as responsible individuals to ensure justice prevails by holding perpetrators accountable regardless of their social status or financial standing- an essential civic duty we must uphold at all costs.</w:t>
      </w:r>
    </w:p>
    <w:p w14:paraId="63FE48B2" w14:textId="77777777" w:rsidR="001973B3" w:rsidRDefault="001973B3"/>
    <w:p w14:paraId="2D37B6AC" w14:textId="77777777" w:rsidR="001973B3" w:rsidRDefault="001973B3">
      <w:r>
        <w:t>Paragraph 2</w:t>
      </w:r>
    </w:p>
    <w:p w14:paraId="4D67AE70" w14:textId="77777777" w:rsidR="001973B3" w:rsidRDefault="001973B3"/>
    <w:p w14:paraId="1D9BE33E" w14:textId="77777777" w:rsidR="001973B3" w:rsidRDefault="001973B3">
      <w:r>
        <w:t>The recent incident involving Andre’s violent attack on Jaimie has brought a number of legal concerns to the forefront. Depending on the seriousness and intentionality of the act, Andre could potentially face charges for either murder or manslaughter. While there is some complexity involved in differentiating between these two charges, they generally hinge upon whether there was ‘malice aforethought’ – an intent to kill (source: “The Evaluation of Integrals: A Personal Story”). If it is determined that Andre did not premeditate to harm Jaimie, he may receive a lesser charge of manslaughter instead. However, Andre’s attempt to flee after committing the act could also be used as evidence against him in court. Experts in criminal law have explained that fleeing from a crime scene can demonstrate consciousness of wrongdoing; meaning if someone runs away immediately following an offense like this one – especially if it results in serious injury or death – their actions can essentially serve as an admission of guilt. At present, it remains uncertain what will happen next legally in this case; however, both perplexing factors aforementioned are likely to play crucial roles when determining Andre’s fate within our justice system moving forward.</w:t>
      </w:r>
    </w:p>
    <w:p w14:paraId="0069923A" w14:textId="77777777" w:rsidR="001973B3" w:rsidRDefault="001973B3"/>
    <w:p w14:paraId="6D1B603B" w14:textId="77777777" w:rsidR="001973B3" w:rsidRDefault="001973B3">
      <w:r>
        <w:t>Paragraph 3</w:t>
      </w:r>
    </w:p>
    <w:p w14:paraId="4E47BB3C" w14:textId="77777777" w:rsidR="001973B3" w:rsidRDefault="001973B3"/>
    <w:p w14:paraId="30E6C1FE" w14:textId="77777777" w:rsidR="001973B3" w:rsidRDefault="001973B3">
      <w:r>
        <w:t>When the trial ensued, it surfaced that Andre had interrogated Jaimie about his declarations to the authorities. This conduct could be viewed as a sign of Andre’s apprehension regarding his criminal culpability and his motivation to conceal his deeds. It is not rare for malefactors to resort to witness tampering or evidence destruction with an aim to evade prosecution or receive a less severe penalty. Accordingly, research has revealed that “criminals often attempt to conceal their misdeeds through various means” (Bouffard and Piquero). Conceivably, Andre assumed he could influence Jaimie into modifying his account of events or suppressing information related to the incident in question. However, this deed elicits doubts concerning Andre’s ethical character and rationale behind such behavior. Was he genuinely endeavoring for self-preservation or was he shielding someone from retribution? The intricacy of human actions makes it arduous to verify one’s true motives without further exploration. Nonetheless, the reality persists that questioning a witness can have grave legal implications resulting in supplementary charges against the culprit. In summary, probing Jaimie’s statements showcases a heightened level of perplexity encompassing criminal accountability and intentionality but also implies burstiness by hinting at deeper reasons backing up such actions. As Bouffard and Piquero argue: “Understanding why individuals engage in these behaviors will require more research...” (10).”</w:t>
      </w:r>
    </w:p>
    <w:p w14:paraId="1FACF4E8" w14:textId="77777777" w:rsidR="001973B3" w:rsidRDefault="001973B3"/>
    <w:p w14:paraId="493C34A2" w14:textId="77777777" w:rsidR="001973B3" w:rsidRDefault="001973B3">
      <w:r>
        <w:t>Conclusion</w:t>
      </w:r>
    </w:p>
    <w:p w14:paraId="25BC0837" w14:textId="77777777" w:rsidR="001973B3" w:rsidRDefault="001973B3"/>
    <w:p w14:paraId="3993E5E5" w14:textId="77777777" w:rsidR="001973B3" w:rsidRDefault="001973B3">
      <w:r>
        <w:t>After careful examination of the facts presented in this scenario, it is evident that Andre bears criminal responsibility for both Lucian’s and Jaimie’s deaths. The principles of actus reus and mens rea apply to his actions, which led to the demise of two individuals. With regard to Lucian’s passing, Andre committed an unlawful act by intentionally punching him, resulting in a foreseeable outcome – his critical injuries that ultimately proved fatal. Furthermore, when Andre later stabbed Jaimie, it was clear he intended to harm her while trying to cover up his initial crime. The legal precedents cited throughout this essay solidify our conclusion beyond doubt. R v Woollin demonstrates how foresight can infer intent; while R v Larkin indicates an accused person can still be held responsible even if their actions unintentionally result in tragic events they should have foreseen as likely outcomes under specific circumstances where a reasonable person would foresee them happening as such based on common sense knowledge or experience; finally, R v Venna established that recklessness alone could suffice to establish sufficient mens rea for murder. Additionally noteworthy is the fact that Andre questioned Jaimie about her statements to police officers—an indication of awareness regarding his potential criminal liability and intentionality behind covering up wrongdoing further incriminating him before a court. When innocent lives are lost due to another individual’s violent behavior like what happened here with Lucian and Jamie’s deaths—justice must prevail! Those who make decisions leading down such deadly paths need accountability under law so appropriate penalties shall come upon them accordingly within civil society standards set forth by governing statutes alike no exceptions allowed whatsoever regardless defense(s) may arise during trial or otherwise. All told after making full use deductive reasoning processes considerations applied hereinabove concerning each homicide offense committed via Andre: we conclude without any doubt but through moral certitude reached because sound analysis supports these findings unequivocally firmly entrenching culpability on Andre alone without any conceivable room for reasonable doubt, forevermore.</w:t>
      </w:r>
    </w:p>
    <w:p w14:paraId="79E759B4" w14:textId="77777777" w:rsidR="001973B3" w:rsidRDefault="001973B3"/>
    <w:p w14:paraId="3B695496" w14:textId="77777777" w:rsidR="001973B3" w:rsidRDefault="001973B3">
      <w:r>
        <w:t>References:</w:t>
      </w:r>
    </w:p>
    <w:p w14:paraId="52DEE49E" w14:textId="77777777" w:rsidR="001973B3" w:rsidRDefault="001973B3"/>
    <w:p w14:paraId="4BF57157" w14:textId="77777777" w:rsidR="001973B3" w:rsidRDefault="001973B3">
      <w:r>
        <w:t>Willis, Dee Anna, Price, Jerry, and Davis, Niki. (2002), “Proceedings of SITE 2002: Society for Information Technology &amp; Teacher Education International Conference (13</w:t>
      </w:r>
      <w:r w:rsidRPr="001973B3">
        <w:rPr>
          <w:vertAlign w:val="superscript"/>
        </w:rPr>
        <w:t>th</w:t>
      </w:r>
      <w:r>
        <w:t xml:space="preserve">, Nashville, Tennessee, March 18-23, 2002)”, Association for the Advancement of Computing in Education. </w:t>
      </w:r>
      <w:hyperlink r:id="rId4" w:history="1">
        <w:r w:rsidRPr="002400C9">
          <w:rPr>
            <w:rStyle w:val="Hyperlink"/>
          </w:rPr>
          <w:t>https://files.eric.ed.gov/fulltext/ED472225.pdf</w:t>
        </w:r>
      </w:hyperlink>
    </w:p>
    <w:p w14:paraId="2209FEAF" w14:textId="77777777" w:rsidR="001973B3" w:rsidRDefault="001973B3"/>
    <w:p w14:paraId="747C3E83" w14:textId="77777777" w:rsidR="001973B3" w:rsidRDefault="001973B3">
      <w:r>
        <w:t xml:space="preserve">(n.d), “The Evaluation of Integrals: A Personal Story”, American Mathematical Society, ISSN 0002-9920, Volume 49, Number 3, pages 311-318. </w:t>
      </w:r>
      <w:hyperlink r:id="rId5" w:history="1">
        <w:r w:rsidRPr="002400C9">
          <w:rPr>
            <w:rStyle w:val="Hyperlink"/>
          </w:rPr>
          <w:t>https://www.ams.org/journals/notices/200203/200203FullIssue.pdf</w:t>
        </w:r>
      </w:hyperlink>
    </w:p>
    <w:p w14:paraId="5D77179B" w14:textId="77777777" w:rsidR="001973B3" w:rsidRDefault="001973B3"/>
    <w:p w14:paraId="3CD1846E" w14:textId="77777777" w:rsidR="001973B3" w:rsidRDefault="001973B3"/>
    <w:sectPr w:rsidR="001973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3B3"/>
    <w:rsid w:val="000868E7"/>
    <w:rsid w:val="000D34C8"/>
    <w:rsid w:val="001973B3"/>
    <w:rsid w:val="001F2E6E"/>
    <w:rsid w:val="008202FC"/>
    <w:rsid w:val="00CE28D1"/>
    <w:rsid w:val="00CF3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1510EE"/>
  <w15:chartTrackingRefBased/>
  <w15:docId w15:val="{349F781F-16DE-2F4C-B9AD-2CB641A1D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73B3"/>
    <w:rPr>
      <w:color w:val="0563C1" w:themeColor="hyperlink"/>
      <w:u w:val="single"/>
    </w:rPr>
  </w:style>
  <w:style w:type="character" w:styleId="UnresolvedMention">
    <w:name w:val="Unresolved Mention"/>
    <w:basedOn w:val="DefaultParagraphFont"/>
    <w:uiPriority w:val="99"/>
    <w:semiHidden/>
    <w:unhideWhenUsed/>
    <w:rsid w:val="001973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hyperlink" Target="https://www.ams.org/journals/notices/200203/200203FullIssue.pdf" TargetMode="External" /><Relationship Id="rId4" Type="http://schemas.openxmlformats.org/officeDocument/2006/relationships/hyperlink" Target="https://files.eric.ed.gov/fulltext/ED472225.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1274</Words>
  <Characters>7264</Characters>
  <Application>Microsoft Office Word</Application>
  <DocSecurity>0</DocSecurity>
  <Lines>60</Lines>
  <Paragraphs>17</Paragraphs>
  <ScaleCrop>false</ScaleCrop>
  <Company/>
  <LinksUpToDate>false</LinksUpToDate>
  <CharactersWithSpaces>8521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Pawelec</dc:creator>
  <cp:keywords/>
  <dc:description/>
  <cp:lastModifiedBy>Monika Pawelec</cp:lastModifiedBy>
  <cp:revision>2</cp:revision>
  <dcterms:created xsi:type="dcterms:W3CDTF">2023-03-29T09:28:00Z</dcterms:created>
  <dcterms:modified xsi:type="dcterms:W3CDTF">2023-03-29T09:28:00Z</dcterms:modified>
</cp:coreProperties>
</file>