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4F930" w14:textId="5F90CEB5" w:rsidR="00BB7B62" w:rsidRDefault="00E11705" w:rsidP="00114717">
      <w:pPr>
        <w:spacing w:line="360" w:lineRule="auto"/>
        <w:rPr>
          <w:rFonts w:ascii="Arial" w:hAnsi="Arial" w:cs="Arial"/>
          <w:sz w:val="22"/>
          <w:szCs w:val="22"/>
        </w:rPr>
      </w:pPr>
      <w:r>
        <w:rPr>
          <w:rFonts w:ascii="Arial" w:hAnsi="Arial" w:cs="Arial"/>
          <w:noProof/>
          <w:sz w:val="22"/>
          <w:szCs w:val="22"/>
        </w:rPr>
        <w:drawing>
          <wp:inline distT="0" distB="0" distL="0" distR="0" wp14:anchorId="6B4991F8" wp14:editId="1606BB83">
            <wp:extent cx="1438275" cy="576117"/>
            <wp:effectExtent l="0" t="0" r="0" b="0"/>
            <wp:docPr id="1273092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6021" cy="579220"/>
                    </a:xfrm>
                    <a:prstGeom prst="rect">
                      <a:avLst/>
                    </a:prstGeom>
                    <a:noFill/>
                  </pic:spPr>
                </pic:pic>
              </a:graphicData>
            </a:graphic>
          </wp:inline>
        </w:drawing>
      </w:r>
    </w:p>
    <w:p w14:paraId="2D559C52" w14:textId="77777777" w:rsidR="00BB7B62" w:rsidRDefault="00BB7B62" w:rsidP="00114717">
      <w:pPr>
        <w:spacing w:line="360" w:lineRule="auto"/>
        <w:rPr>
          <w:rFonts w:ascii="Arial" w:hAnsi="Arial" w:cs="Arial"/>
          <w:sz w:val="22"/>
          <w:szCs w:val="22"/>
        </w:rPr>
      </w:pPr>
    </w:p>
    <w:p w14:paraId="5D079A3D" w14:textId="77777777" w:rsidR="00BB7B62" w:rsidRDefault="00BB7B62" w:rsidP="00114717">
      <w:pPr>
        <w:spacing w:line="360" w:lineRule="auto"/>
        <w:rPr>
          <w:rFonts w:ascii="Arial" w:hAnsi="Arial" w:cs="Arial"/>
          <w:sz w:val="22"/>
          <w:szCs w:val="22"/>
        </w:rPr>
      </w:pPr>
    </w:p>
    <w:p w14:paraId="543E864F" w14:textId="77777777" w:rsidR="000C3673" w:rsidRPr="006A3AA0" w:rsidRDefault="000C3673" w:rsidP="000C3673">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Programme:</w:t>
      </w:r>
      <w:r w:rsidRPr="006A3AA0">
        <w:rPr>
          <w:rFonts w:ascii="Arial" w:eastAsia="Aptos" w:hAnsi="Arial" w:cs="Times New Roman"/>
          <w:color w:val="153D63" w:themeColor="text2" w:themeTint="E6"/>
          <w:sz w:val="36"/>
          <w:szCs w:val="36"/>
          <w:lang w:eastAsia="en-GB"/>
          <w14:ligatures w14:val="none"/>
        </w:rPr>
        <w:t xml:space="preserve"> </w:t>
      </w:r>
      <w:r w:rsidRPr="006A3AA0">
        <w:rPr>
          <w:rFonts w:ascii="Arial" w:eastAsia="Aptos" w:hAnsi="Arial" w:cs="Times New Roman"/>
          <w:b/>
          <w:bCs/>
          <w:color w:val="153D63" w:themeColor="text2" w:themeTint="E6"/>
          <w:sz w:val="36"/>
          <w:szCs w:val="36"/>
          <w:lang w:eastAsia="en-GB"/>
          <w14:ligatures w14:val="none"/>
        </w:rPr>
        <w:t>BA (Hons) Business Management</w:t>
      </w:r>
    </w:p>
    <w:p w14:paraId="7DB373AA" w14:textId="78E1B8FE" w:rsidR="000C3673" w:rsidRPr="006A3AA0" w:rsidRDefault="000C3673" w:rsidP="000C3673">
      <w:pPr>
        <w:spacing w:line="276" w:lineRule="auto"/>
        <w:rPr>
          <w:rFonts w:ascii="Times New Roman" w:eastAsia="Times New Roman" w:hAnsi="Times New Roman" w:cs="Times New Roman"/>
          <w:color w:val="153D63" w:themeColor="text2" w:themeTint="E6"/>
          <w:kern w:val="0"/>
          <w:sz w:val="32"/>
          <w:szCs w:val="32"/>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Module: </w:t>
      </w:r>
      <w:r w:rsidR="008E36DF" w:rsidRPr="006A3AA0">
        <w:rPr>
          <w:rFonts w:ascii="Arial" w:hAnsi="Arial" w:cs="Arial"/>
          <w:b/>
          <w:color w:val="153D63" w:themeColor="text2" w:themeTint="E6"/>
          <w:sz w:val="32"/>
          <w:szCs w:val="32"/>
        </w:rPr>
        <w:t>International Business Communications</w:t>
      </w:r>
    </w:p>
    <w:p w14:paraId="68694155" w14:textId="23805EAC" w:rsidR="000C3673" w:rsidRPr="003D317F" w:rsidRDefault="000C3673" w:rsidP="000C3673">
      <w:pPr>
        <w:spacing w:line="276" w:lineRule="auto"/>
        <w:rPr>
          <w:rFonts w:ascii="Times New Roman" w:eastAsia="Times New Roman" w:hAnsi="Times New Roman" w:cs="Times New Roman"/>
          <w:b/>
          <w:color w:val="153D63" w:themeColor="text2" w:themeTint="E6"/>
          <w:kern w:val="0"/>
          <w:sz w:val="32"/>
          <w:szCs w:val="32"/>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Module code: </w:t>
      </w:r>
      <w:r w:rsidR="00C04737" w:rsidRPr="003D317F">
        <w:rPr>
          <w:rFonts w:ascii="Arial" w:hAnsi="Arial" w:cs="Arial"/>
          <w:b/>
          <w:color w:val="153D63" w:themeColor="text2" w:themeTint="E6"/>
          <w:sz w:val="32"/>
          <w:szCs w:val="32"/>
        </w:rPr>
        <w:t>LCBB6023</w:t>
      </w:r>
    </w:p>
    <w:p w14:paraId="28FC4E65" w14:textId="2BD3BE9B" w:rsidR="000C3673" w:rsidRPr="006A3AA0" w:rsidRDefault="000C3673" w:rsidP="0063024D">
      <w:pPr>
        <w:spacing w:before="120" w:after="120"/>
        <w:jc w:val="both"/>
        <w:rPr>
          <w:rFonts w:ascii="Arial" w:hAnsi="Arial" w:cs="Arial"/>
          <w:b/>
          <w:bCs/>
          <w:color w:val="153D63" w:themeColor="text2" w:themeTint="E6"/>
          <w:sz w:val="32"/>
          <w:szCs w:val="32"/>
        </w:rPr>
      </w:pPr>
      <w:r w:rsidRPr="006A3AA0">
        <w:rPr>
          <w:rFonts w:ascii="Arial" w:eastAsia="Aptos" w:hAnsi="Arial" w:cs="Times New Roman"/>
          <w:b/>
          <w:bCs/>
          <w:color w:val="153D63" w:themeColor="text2" w:themeTint="E6"/>
          <w:sz w:val="36"/>
          <w:szCs w:val="36"/>
          <w:lang w:eastAsia="en-GB"/>
          <w14:ligatures w14:val="none"/>
        </w:rPr>
        <w:t xml:space="preserve"> Assignment Title:</w:t>
      </w:r>
      <w:r w:rsidR="00AD7927" w:rsidRPr="006A3AA0">
        <w:rPr>
          <w:rFonts w:ascii="Arial" w:eastAsia="Aptos" w:hAnsi="Arial" w:cs="Times New Roman"/>
          <w:b/>
          <w:bCs/>
          <w:color w:val="153D63" w:themeColor="text2" w:themeTint="E6"/>
          <w:sz w:val="36"/>
          <w:szCs w:val="36"/>
          <w:lang w:eastAsia="en-GB"/>
          <w14:ligatures w14:val="none"/>
        </w:rPr>
        <w:t xml:space="preserve"> </w:t>
      </w:r>
      <w:r w:rsidR="00AD7927" w:rsidRPr="006A3AA0">
        <w:rPr>
          <w:rFonts w:ascii="Arial" w:hAnsi="Arial" w:cs="Arial"/>
          <w:b/>
          <w:color w:val="153D63" w:themeColor="text2" w:themeTint="E6"/>
          <w:sz w:val="32"/>
          <w:szCs w:val="32"/>
        </w:rPr>
        <w:t>Essay</w:t>
      </w:r>
    </w:p>
    <w:p w14:paraId="72583D79" w14:textId="028E8341" w:rsidR="000C3673" w:rsidRPr="006A3AA0" w:rsidRDefault="000C3673" w:rsidP="000C3673">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 Lecturer: </w:t>
      </w:r>
      <w:r w:rsidR="00B63D45" w:rsidRPr="006A3AA0">
        <w:rPr>
          <w:rFonts w:ascii="Arial" w:eastAsia="Aptos" w:hAnsi="Arial" w:cs="Times New Roman"/>
          <w:b/>
          <w:bCs/>
          <w:color w:val="153D63" w:themeColor="text2" w:themeTint="E6"/>
          <w:sz w:val="36"/>
          <w:szCs w:val="36"/>
          <w:lang w:eastAsia="en-GB"/>
          <w14:ligatures w14:val="none"/>
        </w:rPr>
        <w:t>D</w:t>
      </w:r>
      <w:r w:rsidR="0066240C" w:rsidRPr="006A3AA0">
        <w:rPr>
          <w:rFonts w:ascii="Arial" w:eastAsia="Aptos" w:hAnsi="Arial" w:cs="Times New Roman"/>
          <w:b/>
          <w:bCs/>
          <w:color w:val="153D63" w:themeColor="text2" w:themeTint="E6"/>
          <w:sz w:val="36"/>
          <w:szCs w:val="36"/>
          <w:lang w:eastAsia="en-GB"/>
          <w14:ligatures w14:val="none"/>
        </w:rPr>
        <w:t>oreen Amundam</w:t>
      </w:r>
    </w:p>
    <w:p w14:paraId="3E3B416B" w14:textId="77777777" w:rsidR="000C3673" w:rsidRPr="006A3AA0" w:rsidRDefault="000C3673" w:rsidP="000C3673">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 Student Name: Dumitru Nechifor </w:t>
      </w:r>
    </w:p>
    <w:p w14:paraId="02498675" w14:textId="77777777" w:rsidR="000C3673" w:rsidRPr="006A3AA0" w:rsidRDefault="000C3673" w:rsidP="000C3673">
      <w:pPr>
        <w:rPr>
          <w:rFonts w:ascii="Arial" w:hAnsi="Arial" w:cs="Arial"/>
          <w:b/>
          <w:bCs/>
          <w:color w:val="153D63" w:themeColor="text2" w:themeTint="E6"/>
          <w:sz w:val="36"/>
          <w:szCs w:val="36"/>
        </w:rPr>
      </w:pPr>
      <w:r w:rsidRPr="006A3AA0">
        <w:rPr>
          <w:rFonts w:ascii="Arial" w:eastAsia="Aptos" w:hAnsi="Arial" w:cs="Times New Roman"/>
          <w:b/>
          <w:bCs/>
          <w:color w:val="153D63" w:themeColor="text2" w:themeTint="E6"/>
          <w:sz w:val="36"/>
          <w:szCs w:val="36"/>
          <w:lang w:eastAsia="en-GB"/>
          <w14:ligatures w14:val="none"/>
        </w:rPr>
        <w:t xml:space="preserve"> Student ID: 2245145</w:t>
      </w:r>
    </w:p>
    <w:p w14:paraId="464500B2" w14:textId="77777777" w:rsidR="00BB7B62" w:rsidRDefault="00BB7B62" w:rsidP="00114717">
      <w:pPr>
        <w:spacing w:line="360" w:lineRule="auto"/>
        <w:rPr>
          <w:rFonts w:ascii="Arial" w:hAnsi="Arial" w:cs="Arial"/>
          <w:sz w:val="22"/>
          <w:szCs w:val="22"/>
        </w:rPr>
      </w:pPr>
    </w:p>
    <w:p w14:paraId="7139CF4E" w14:textId="77777777" w:rsidR="00BB7B62" w:rsidRDefault="00BB7B62" w:rsidP="00114717">
      <w:pPr>
        <w:spacing w:line="360" w:lineRule="auto"/>
        <w:rPr>
          <w:rFonts w:ascii="Arial" w:hAnsi="Arial" w:cs="Arial"/>
          <w:sz w:val="22"/>
          <w:szCs w:val="22"/>
        </w:rPr>
      </w:pPr>
    </w:p>
    <w:p w14:paraId="1DFACA4D" w14:textId="77777777" w:rsidR="00BB7B62" w:rsidRDefault="00BB7B62" w:rsidP="00114717">
      <w:pPr>
        <w:spacing w:line="360" w:lineRule="auto"/>
        <w:rPr>
          <w:rFonts w:ascii="Arial" w:hAnsi="Arial" w:cs="Arial"/>
          <w:sz w:val="22"/>
          <w:szCs w:val="22"/>
        </w:rPr>
      </w:pPr>
    </w:p>
    <w:p w14:paraId="7301F093" w14:textId="77777777" w:rsidR="00BB7B62" w:rsidRDefault="00BB7B62" w:rsidP="00114717">
      <w:pPr>
        <w:spacing w:line="360" w:lineRule="auto"/>
        <w:rPr>
          <w:rFonts w:ascii="Arial" w:hAnsi="Arial" w:cs="Arial"/>
          <w:sz w:val="22"/>
          <w:szCs w:val="22"/>
        </w:rPr>
      </w:pPr>
    </w:p>
    <w:p w14:paraId="7529E0A4" w14:textId="77777777" w:rsidR="00BB7B62" w:rsidRDefault="00BB7B62" w:rsidP="00114717">
      <w:pPr>
        <w:spacing w:line="360" w:lineRule="auto"/>
        <w:rPr>
          <w:rFonts w:ascii="Arial" w:hAnsi="Arial" w:cs="Arial"/>
          <w:sz w:val="22"/>
          <w:szCs w:val="22"/>
        </w:rPr>
      </w:pPr>
    </w:p>
    <w:p w14:paraId="124EC3B7" w14:textId="77777777" w:rsidR="00BB7B62" w:rsidRDefault="00BB7B62" w:rsidP="00114717">
      <w:pPr>
        <w:spacing w:line="360" w:lineRule="auto"/>
        <w:rPr>
          <w:rFonts w:ascii="Arial" w:hAnsi="Arial" w:cs="Arial"/>
          <w:sz w:val="22"/>
          <w:szCs w:val="22"/>
        </w:rPr>
      </w:pPr>
    </w:p>
    <w:p w14:paraId="7309E5B2" w14:textId="77777777" w:rsidR="00BB7B62" w:rsidRDefault="00BB7B62" w:rsidP="00114717">
      <w:pPr>
        <w:spacing w:line="360" w:lineRule="auto"/>
        <w:rPr>
          <w:rFonts w:ascii="Arial" w:hAnsi="Arial" w:cs="Arial"/>
          <w:sz w:val="22"/>
          <w:szCs w:val="22"/>
        </w:rPr>
      </w:pPr>
    </w:p>
    <w:p w14:paraId="55A53A09" w14:textId="77777777" w:rsidR="00BB7B62" w:rsidRDefault="00BB7B62" w:rsidP="00114717">
      <w:pPr>
        <w:spacing w:line="360" w:lineRule="auto"/>
        <w:rPr>
          <w:rFonts w:ascii="Arial" w:hAnsi="Arial" w:cs="Arial"/>
          <w:sz w:val="22"/>
          <w:szCs w:val="22"/>
        </w:rPr>
      </w:pPr>
    </w:p>
    <w:p w14:paraId="0D0FE10F" w14:textId="77777777" w:rsidR="00BB7B62" w:rsidRDefault="00BB7B62" w:rsidP="00114717">
      <w:pPr>
        <w:spacing w:line="360" w:lineRule="auto"/>
        <w:rPr>
          <w:rFonts w:ascii="Arial" w:hAnsi="Arial" w:cs="Arial"/>
          <w:sz w:val="22"/>
          <w:szCs w:val="22"/>
        </w:rPr>
      </w:pPr>
    </w:p>
    <w:p w14:paraId="044C642D" w14:textId="77777777" w:rsidR="00BB7B62" w:rsidRDefault="00BB7B62" w:rsidP="00114717">
      <w:pPr>
        <w:spacing w:line="360" w:lineRule="auto"/>
        <w:rPr>
          <w:rFonts w:ascii="Arial" w:hAnsi="Arial" w:cs="Arial"/>
          <w:sz w:val="22"/>
          <w:szCs w:val="22"/>
        </w:rPr>
      </w:pPr>
    </w:p>
    <w:p w14:paraId="33727C9D" w14:textId="77777777" w:rsidR="00BB7B62" w:rsidRDefault="00BB7B62" w:rsidP="00114717">
      <w:pPr>
        <w:spacing w:line="360" w:lineRule="auto"/>
        <w:rPr>
          <w:rFonts w:ascii="Arial" w:hAnsi="Arial" w:cs="Arial"/>
          <w:sz w:val="22"/>
          <w:szCs w:val="22"/>
        </w:rPr>
      </w:pPr>
    </w:p>
    <w:p w14:paraId="4A17ECF1" w14:textId="77777777" w:rsidR="00BB7B62" w:rsidRDefault="00BB7B62" w:rsidP="00114717">
      <w:pPr>
        <w:spacing w:line="360" w:lineRule="auto"/>
        <w:rPr>
          <w:rFonts w:ascii="Arial" w:hAnsi="Arial" w:cs="Arial"/>
          <w:sz w:val="22"/>
          <w:szCs w:val="22"/>
        </w:rPr>
      </w:pPr>
    </w:p>
    <w:p w14:paraId="293AE485" w14:textId="77777777" w:rsidR="00BB7B62" w:rsidRDefault="00BB7B62" w:rsidP="00114717">
      <w:pPr>
        <w:spacing w:line="360" w:lineRule="auto"/>
        <w:rPr>
          <w:rFonts w:ascii="Arial" w:hAnsi="Arial" w:cs="Arial"/>
          <w:sz w:val="22"/>
          <w:szCs w:val="22"/>
        </w:rPr>
      </w:pPr>
    </w:p>
    <w:p w14:paraId="488A4439" w14:textId="77777777" w:rsidR="00BB7B62" w:rsidRDefault="00BB7B62" w:rsidP="00114717">
      <w:pPr>
        <w:spacing w:line="360" w:lineRule="auto"/>
        <w:rPr>
          <w:rFonts w:ascii="Arial" w:hAnsi="Arial" w:cs="Arial"/>
          <w:sz w:val="22"/>
          <w:szCs w:val="22"/>
        </w:rPr>
      </w:pPr>
    </w:p>
    <w:p w14:paraId="13B77635" w14:textId="77777777" w:rsidR="00414EEB" w:rsidRPr="008C2368" w:rsidRDefault="00414EEB" w:rsidP="00414EEB">
      <w:pPr>
        <w:spacing w:line="360" w:lineRule="auto"/>
        <w:rPr>
          <w:rFonts w:ascii="Arial" w:hAnsi="Arial" w:cs="Arial"/>
          <w:b/>
          <w:bCs/>
          <w:sz w:val="36"/>
          <w:szCs w:val="36"/>
        </w:rPr>
      </w:pPr>
      <w:r w:rsidRPr="008C2368">
        <w:rPr>
          <w:rFonts w:ascii="Arial" w:hAnsi="Arial" w:cs="Arial"/>
          <w:b/>
          <w:bCs/>
          <w:sz w:val="36"/>
          <w:szCs w:val="36"/>
        </w:rPr>
        <w:lastRenderedPageBreak/>
        <w:t>Table of Contents</w:t>
      </w:r>
    </w:p>
    <w:p w14:paraId="46758317" w14:textId="3361082C" w:rsidR="00D96DCE" w:rsidRPr="00D96DCE" w:rsidRDefault="00D96DCE" w:rsidP="00D96DCE">
      <w:pPr>
        <w:spacing w:line="360" w:lineRule="auto"/>
        <w:rPr>
          <w:rFonts w:ascii="Arial" w:hAnsi="Arial" w:cs="Arial"/>
          <w:b/>
          <w:bCs/>
        </w:rPr>
      </w:pPr>
      <w:r w:rsidRPr="00D96DCE">
        <w:rPr>
          <w:rFonts w:ascii="Arial" w:hAnsi="Arial" w:cs="Arial"/>
          <w:b/>
          <w:bCs/>
        </w:rPr>
        <w:t>Introduction</w:t>
      </w:r>
      <w:r w:rsidR="00FA4D8F">
        <w:rPr>
          <w:rFonts w:ascii="Arial" w:hAnsi="Arial" w:cs="Arial"/>
          <w:b/>
          <w:bCs/>
        </w:rPr>
        <w:t>………………….3</w:t>
      </w:r>
    </w:p>
    <w:p w14:paraId="617D1BCF" w14:textId="7AB14456" w:rsidR="00BB7B62" w:rsidRPr="00D96DCE" w:rsidRDefault="00D96DCE" w:rsidP="00114717">
      <w:pPr>
        <w:spacing w:line="360" w:lineRule="auto"/>
        <w:rPr>
          <w:rFonts w:ascii="Arial" w:hAnsi="Arial" w:cs="Arial"/>
          <w:b/>
          <w:bCs/>
        </w:rPr>
      </w:pPr>
      <w:r w:rsidRPr="00D96DCE">
        <w:rPr>
          <w:rFonts w:ascii="Arial" w:hAnsi="Arial" w:cs="Arial"/>
          <w:b/>
          <w:bCs/>
        </w:rPr>
        <w:t>Context: Organisational and Cultural Background</w:t>
      </w:r>
      <w:r w:rsidR="00FA4D8F">
        <w:rPr>
          <w:rFonts w:ascii="Arial" w:hAnsi="Arial" w:cs="Arial"/>
          <w:b/>
          <w:bCs/>
        </w:rPr>
        <w:t>……………….4,5</w:t>
      </w:r>
    </w:p>
    <w:p w14:paraId="33D40C38" w14:textId="312A5A14" w:rsidR="00D96DCE" w:rsidRPr="00D96DCE" w:rsidRDefault="00D96DCE" w:rsidP="00114717">
      <w:pPr>
        <w:spacing w:line="360" w:lineRule="auto"/>
        <w:rPr>
          <w:rFonts w:ascii="Arial" w:hAnsi="Arial" w:cs="Arial"/>
        </w:rPr>
      </w:pPr>
      <w:r w:rsidRPr="00D96DCE">
        <w:rPr>
          <w:rFonts w:ascii="Arial" w:hAnsi="Arial" w:cs="Arial"/>
          <w:b/>
          <w:bCs/>
        </w:rPr>
        <w:t>Key Communication Differences and Misunderstandings</w:t>
      </w:r>
      <w:r w:rsidR="00FA4D8F">
        <w:rPr>
          <w:rFonts w:ascii="Arial" w:hAnsi="Arial" w:cs="Arial"/>
          <w:b/>
          <w:bCs/>
        </w:rPr>
        <w:t>………….5,6,7,8</w:t>
      </w:r>
    </w:p>
    <w:p w14:paraId="0C247195" w14:textId="167ED1E6" w:rsidR="00BB7B62" w:rsidRPr="00D96DCE" w:rsidRDefault="00D96DCE" w:rsidP="00114717">
      <w:pPr>
        <w:spacing w:line="360" w:lineRule="auto"/>
        <w:rPr>
          <w:rFonts w:ascii="Arial" w:hAnsi="Arial" w:cs="Arial"/>
        </w:rPr>
      </w:pPr>
      <w:r w:rsidRPr="00D96DCE">
        <w:rPr>
          <w:rFonts w:ascii="Arial" w:hAnsi="Arial" w:cs="Arial"/>
          <w:b/>
          <w:bCs/>
        </w:rPr>
        <w:t>Theoretical Synthesis</w:t>
      </w:r>
      <w:r w:rsidR="002D63D7">
        <w:rPr>
          <w:rFonts w:ascii="Arial" w:hAnsi="Arial" w:cs="Arial"/>
          <w:b/>
          <w:bCs/>
        </w:rPr>
        <w:t>……………….8</w:t>
      </w:r>
    </w:p>
    <w:p w14:paraId="689B13DC" w14:textId="5EABBE4A" w:rsidR="00BB7B62" w:rsidRPr="00D96DCE" w:rsidRDefault="00D96DCE" w:rsidP="00114717">
      <w:pPr>
        <w:spacing w:line="360" w:lineRule="auto"/>
        <w:rPr>
          <w:rFonts w:ascii="Arial" w:hAnsi="Arial" w:cs="Arial"/>
        </w:rPr>
      </w:pPr>
      <w:r w:rsidRPr="00D96DCE">
        <w:rPr>
          <w:rFonts w:ascii="Arial" w:hAnsi="Arial" w:cs="Arial"/>
          <w:b/>
          <w:bCs/>
        </w:rPr>
        <w:t>Implications and Recommended Strategies</w:t>
      </w:r>
      <w:r w:rsidR="002D63D7">
        <w:rPr>
          <w:rFonts w:ascii="Arial" w:hAnsi="Arial" w:cs="Arial"/>
          <w:b/>
          <w:bCs/>
        </w:rPr>
        <w:t>…………….9</w:t>
      </w:r>
    </w:p>
    <w:p w14:paraId="2327CD1D" w14:textId="7AF13020" w:rsidR="00D96DCE" w:rsidRPr="00D96DCE" w:rsidRDefault="00D96DCE" w:rsidP="00D96DCE">
      <w:pPr>
        <w:spacing w:line="360" w:lineRule="auto"/>
        <w:rPr>
          <w:rFonts w:ascii="Arial" w:hAnsi="Arial" w:cs="Arial"/>
          <w:b/>
          <w:bCs/>
        </w:rPr>
      </w:pPr>
      <w:r w:rsidRPr="00D96DCE">
        <w:rPr>
          <w:rFonts w:ascii="Arial" w:hAnsi="Arial" w:cs="Arial"/>
          <w:b/>
          <w:bCs/>
        </w:rPr>
        <w:t>Conclusion</w:t>
      </w:r>
      <w:r w:rsidR="002D63D7">
        <w:rPr>
          <w:rFonts w:ascii="Arial" w:hAnsi="Arial" w:cs="Arial"/>
          <w:b/>
          <w:bCs/>
        </w:rPr>
        <w:t>……………………….9,</w:t>
      </w:r>
      <w:r w:rsidR="00F01969">
        <w:rPr>
          <w:rFonts w:ascii="Arial" w:hAnsi="Arial" w:cs="Arial"/>
          <w:b/>
          <w:bCs/>
        </w:rPr>
        <w:t>10</w:t>
      </w:r>
    </w:p>
    <w:p w14:paraId="7228174A" w14:textId="1C62D47F" w:rsidR="00D96DCE" w:rsidRPr="00D96DCE" w:rsidRDefault="00D96DCE" w:rsidP="00D96DCE">
      <w:pPr>
        <w:spacing w:line="360" w:lineRule="auto"/>
        <w:rPr>
          <w:rFonts w:ascii="Arial" w:hAnsi="Arial" w:cs="Arial"/>
          <w:b/>
          <w:bCs/>
        </w:rPr>
      </w:pPr>
      <w:r w:rsidRPr="00D96DCE">
        <w:rPr>
          <w:rFonts w:ascii="Arial" w:hAnsi="Arial" w:cs="Arial"/>
          <w:b/>
          <w:bCs/>
        </w:rPr>
        <w:t>References</w:t>
      </w:r>
      <w:r w:rsidR="00F01969">
        <w:rPr>
          <w:rFonts w:ascii="Arial" w:hAnsi="Arial" w:cs="Arial"/>
          <w:b/>
          <w:bCs/>
        </w:rPr>
        <w:t>…………………10,11</w:t>
      </w:r>
    </w:p>
    <w:p w14:paraId="14D4548C" w14:textId="77777777" w:rsidR="00BB7B62" w:rsidRDefault="00BB7B62" w:rsidP="00114717">
      <w:pPr>
        <w:spacing w:line="360" w:lineRule="auto"/>
        <w:rPr>
          <w:rFonts w:ascii="Arial" w:hAnsi="Arial" w:cs="Arial"/>
          <w:sz w:val="22"/>
          <w:szCs w:val="22"/>
        </w:rPr>
      </w:pPr>
    </w:p>
    <w:p w14:paraId="411D054F" w14:textId="77777777" w:rsidR="00BB7B62" w:rsidRDefault="00BB7B62" w:rsidP="00114717">
      <w:pPr>
        <w:spacing w:line="360" w:lineRule="auto"/>
        <w:rPr>
          <w:rFonts w:ascii="Arial" w:hAnsi="Arial" w:cs="Arial"/>
          <w:sz w:val="22"/>
          <w:szCs w:val="22"/>
        </w:rPr>
      </w:pPr>
    </w:p>
    <w:p w14:paraId="63156F6D" w14:textId="77777777" w:rsidR="00BB7B62" w:rsidRDefault="00BB7B62" w:rsidP="00114717">
      <w:pPr>
        <w:spacing w:line="360" w:lineRule="auto"/>
        <w:rPr>
          <w:rFonts w:ascii="Arial" w:hAnsi="Arial" w:cs="Arial"/>
          <w:sz w:val="22"/>
          <w:szCs w:val="22"/>
        </w:rPr>
      </w:pPr>
    </w:p>
    <w:p w14:paraId="3C197619" w14:textId="77777777" w:rsidR="00BB7B62" w:rsidRDefault="00BB7B62" w:rsidP="00114717">
      <w:pPr>
        <w:spacing w:line="360" w:lineRule="auto"/>
        <w:rPr>
          <w:rFonts w:ascii="Arial" w:hAnsi="Arial" w:cs="Arial"/>
          <w:sz w:val="22"/>
          <w:szCs w:val="22"/>
        </w:rPr>
      </w:pPr>
    </w:p>
    <w:p w14:paraId="6C08973C" w14:textId="77777777" w:rsidR="00BB7B62" w:rsidRDefault="00BB7B62" w:rsidP="00114717">
      <w:pPr>
        <w:spacing w:line="360" w:lineRule="auto"/>
        <w:rPr>
          <w:rFonts w:ascii="Arial" w:hAnsi="Arial" w:cs="Arial"/>
          <w:sz w:val="22"/>
          <w:szCs w:val="22"/>
        </w:rPr>
      </w:pPr>
    </w:p>
    <w:p w14:paraId="04181EE1" w14:textId="77777777" w:rsidR="00BB7B62" w:rsidRDefault="00BB7B62" w:rsidP="00114717">
      <w:pPr>
        <w:spacing w:line="360" w:lineRule="auto"/>
        <w:rPr>
          <w:rFonts w:ascii="Arial" w:hAnsi="Arial" w:cs="Arial"/>
          <w:sz w:val="22"/>
          <w:szCs w:val="22"/>
        </w:rPr>
      </w:pPr>
    </w:p>
    <w:p w14:paraId="44B5EA7D" w14:textId="77777777" w:rsidR="00BB7B62" w:rsidRDefault="00BB7B62" w:rsidP="00114717">
      <w:pPr>
        <w:spacing w:line="360" w:lineRule="auto"/>
        <w:rPr>
          <w:rFonts w:ascii="Arial" w:hAnsi="Arial" w:cs="Arial"/>
          <w:sz w:val="22"/>
          <w:szCs w:val="22"/>
        </w:rPr>
      </w:pPr>
    </w:p>
    <w:p w14:paraId="7F0A43FA" w14:textId="77777777" w:rsidR="00BB7B62" w:rsidRDefault="00BB7B62" w:rsidP="00114717">
      <w:pPr>
        <w:spacing w:line="360" w:lineRule="auto"/>
        <w:rPr>
          <w:rFonts w:ascii="Arial" w:hAnsi="Arial" w:cs="Arial"/>
          <w:sz w:val="22"/>
          <w:szCs w:val="22"/>
        </w:rPr>
      </w:pPr>
    </w:p>
    <w:p w14:paraId="467091EF" w14:textId="77777777" w:rsidR="00BB7B62" w:rsidRDefault="00BB7B62" w:rsidP="00114717">
      <w:pPr>
        <w:spacing w:line="360" w:lineRule="auto"/>
        <w:rPr>
          <w:rFonts w:ascii="Arial" w:hAnsi="Arial" w:cs="Arial"/>
          <w:sz w:val="22"/>
          <w:szCs w:val="22"/>
        </w:rPr>
      </w:pPr>
    </w:p>
    <w:p w14:paraId="4D428925" w14:textId="77777777" w:rsidR="00BB7B62" w:rsidRDefault="00BB7B62" w:rsidP="00114717">
      <w:pPr>
        <w:spacing w:line="360" w:lineRule="auto"/>
        <w:rPr>
          <w:rFonts w:ascii="Arial" w:hAnsi="Arial" w:cs="Arial"/>
          <w:sz w:val="22"/>
          <w:szCs w:val="22"/>
        </w:rPr>
      </w:pPr>
    </w:p>
    <w:p w14:paraId="2C8E2DAA" w14:textId="77777777" w:rsidR="00BB7B62" w:rsidRDefault="00BB7B62" w:rsidP="00114717">
      <w:pPr>
        <w:spacing w:line="360" w:lineRule="auto"/>
        <w:rPr>
          <w:rFonts w:ascii="Arial" w:hAnsi="Arial" w:cs="Arial"/>
          <w:sz w:val="22"/>
          <w:szCs w:val="22"/>
        </w:rPr>
      </w:pPr>
    </w:p>
    <w:p w14:paraId="2BB5785B" w14:textId="77777777" w:rsidR="00BB7B62" w:rsidRDefault="00BB7B62" w:rsidP="00114717">
      <w:pPr>
        <w:spacing w:line="360" w:lineRule="auto"/>
        <w:rPr>
          <w:rFonts w:ascii="Arial" w:hAnsi="Arial" w:cs="Arial"/>
          <w:sz w:val="22"/>
          <w:szCs w:val="22"/>
        </w:rPr>
      </w:pPr>
    </w:p>
    <w:p w14:paraId="3072A4F8" w14:textId="77777777" w:rsidR="00BB7B62" w:rsidRDefault="00BB7B62" w:rsidP="00114717">
      <w:pPr>
        <w:spacing w:line="360" w:lineRule="auto"/>
        <w:rPr>
          <w:rFonts w:ascii="Arial" w:hAnsi="Arial" w:cs="Arial"/>
          <w:sz w:val="22"/>
          <w:szCs w:val="22"/>
        </w:rPr>
      </w:pPr>
    </w:p>
    <w:p w14:paraId="6DCE2C91" w14:textId="77777777" w:rsidR="00BB7B62" w:rsidRDefault="00BB7B62" w:rsidP="00114717">
      <w:pPr>
        <w:spacing w:line="360" w:lineRule="auto"/>
        <w:rPr>
          <w:rFonts w:ascii="Arial" w:hAnsi="Arial" w:cs="Arial"/>
          <w:sz w:val="22"/>
          <w:szCs w:val="22"/>
        </w:rPr>
      </w:pPr>
    </w:p>
    <w:p w14:paraId="6048E189" w14:textId="77777777" w:rsidR="00BB7B62" w:rsidRDefault="00BB7B62" w:rsidP="00114717">
      <w:pPr>
        <w:spacing w:line="360" w:lineRule="auto"/>
        <w:rPr>
          <w:rFonts w:ascii="Arial" w:hAnsi="Arial" w:cs="Arial"/>
          <w:sz w:val="22"/>
          <w:szCs w:val="22"/>
        </w:rPr>
      </w:pPr>
    </w:p>
    <w:p w14:paraId="32506937" w14:textId="77777777" w:rsidR="00BB7B62" w:rsidRDefault="00BB7B62" w:rsidP="00114717">
      <w:pPr>
        <w:spacing w:line="360" w:lineRule="auto"/>
        <w:rPr>
          <w:rFonts w:ascii="Arial" w:hAnsi="Arial" w:cs="Arial"/>
          <w:sz w:val="22"/>
          <w:szCs w:val="22"/>
        </w:rPr>
      </w:pPr>
    </w:p>
    <w:p w14:paraId="45915C5F" w14:textId="77777777" w:rsidR="00BB7B62" w:rsidRDefault="00BB7B62" w:rsidP="00114717">
      <w:pPr>
        <w:spacing w:line="360" w:lineRule="auto"/>
        <w:rPr>
          <w:rFonts w:ascii="Arial" w:hAnsi="Arial" w:cs="Arial"/>
          <w:sz w:val="22"/>
          <w:szCs w:val="22"/>
        </w:rPr>
      </w:pPr>
    </w:p>
    <w:p w14:paraId="0CA46F7C" w14:textId="77777777" w:rsidR="00BB7B62" w:rsidRDefault="00BB7B62" w:rsidP="00114717">
      <w:pPr>
        <w:spacing w:line="360" w:lineRule="auto"/>
        <w:rPr>
          <w:rFonts w:ascii="Arial" w:hAnsi="Arial" w:cs="Arial"/>
          <w:sz w:val="22"/>
          <w:szCs w:val="22"/>
        </w:rPr>
      </w:pPr>
    </w:p>
    <w:p w14:paraId="3DA6BC14" w14:textId="77777777" w:rsidR="00BB7B62" w:rsidRDefault="00BB7B62" w:rsidP="00114717">
      <w:pPr>
        <w:spacing w:line="360" w:lineRule="auto"/>
        <w:rPr>
          <w:rFonts w:ascii="Arial" w:hAnsi="Arial" w:cs="Arial"/>
          <w:sz w:val="22"/>
          <w:szCs w:val="22"/>
        </w:rPr>
      </w:pPr>
    </w:p>
    <w:p w14:paraId="2BA882C5" w14:textId="77777777" w:rsidR="009D5534" w:rsidRDefault="009D5534" w:rsidP="00114717">
      <w:pPr>
        <w:spacing w:line="360" w:lineRule="auto"/>
        <w:rPr>
          <w:rFonts w:ascii="Arial" w:hAnsi="Arial" w:cs="Arial"/>
          <w:sz w:val="22"/>
          <w:szCs w:val="22"/>
        </w:rPr>
      </w:pPr>
    </w:p>
    <w:p w14:paraId="705622CA" w14:textId="77777777" w:rsidR="009D5534" w:rsidRDefault="009D5534" w:rsidP="00114717">
      <w:pPr>
        <w:spacing w:line="360" w:lineRule="auto"/>
        <w:rPr>
          <w:rFonts w:ascii="Arial" w:hAnsi="Arial" w:cs="Arial"/>
          <w:sz w:val="22"/>
          <w:szCs w:val="22"/>
        </w:rPr>
      </w:pPr>
    </w:p>
    <w:p w14:paraId="0A8A00A5" w14:textId="77777777" w:rsidR="009D5534" w:rsidRDefault="009D5534" w:rsidP="00114717">
      <w:pPr>
        <w:spacing w:line="360" w:lineRule="auto"/>
        <w:rPr>
          <w:rFonts w:ascii="Arial" w:hAnsi="Arial" w:cs="Arial"/>
          <w:sz w:val="22"/>
          <w:szCs w:val="22"/>
        </w:rPr>
      </w:pPr>
    </w:p>
    <w:p w14:paraId="0A6AC24D" w14:textId="0A555E11" w:rsidR="00B15820" w:rsidRPr="00BB0E3E" w:rsidRDefault="00CB2BE6" w:rsidP="00114717">
      <w:pPr>
        <w:spacing w:line="360" w:lineRule="auto"/>
        <w:rPr>
          <w:rFonts w:ascii="Arial" w:hAnsi="Arial" w:cs="Arial"/>
          <w:b/>
          <w:bCs/>
          <w:sz w:val="32"/>
          <w:szCs w:val="32"/>
        </w:rPr>
      </w:pPr>
      <w:r>
        <w:rPr>
          <w:rFonts w:ascii="Arial" w:hAnsi="Arial" w:cs="Arial"/>
          <w:sz w:val="22"/>
          <w:szCs w:val="22"/>
        </w:rPr>
        <w:t xml:space="preserve">                          </w:t>
      </w:r>
      <w:r w:rsidR="00B15820" w:rsidRPr="00BB0E3E">
        <w:rPr>
          <w:rFonts w:ascii="Arial" w:hAnsi="Arial" w:cs="Arial"/>
          <w:b/>
          <w:bCs/>
          <w:sz w:val="32"/>
          <w:szCs w:val="32"/>
        </w:rPr>
        <w:t>Bridging the Gap: Evaluating Communication Differences Between UK and Japanese Teams in Cross</w:t>
      </w:r>
      <w:r w:rsidR="00B15820" w:rsidRPr="00BB0E3E">
        <w:rPr>
          <w:rFonts w:ascii="Cambria Math" w:hAnsi="Cambria Math" w:cs="Cambria Math"/>
          <w:b/>
          <w:bCs/>
          <w:sz w:val="32"/>
          <w:szCs w:val="32"/>
        </w:rPr>
        <w:t>‑</w:t>
      </w:r>
      <w:r w:rsidR="00B15820" w:rsidRPr="00BB0E3E">
        <w:rPr>
          <w:rFonts w:ascii="Arial" w:hAnsi="Arial" w:cs="Arial"/>
          <w:b/>
          <w:bCs/>
          <w:sz w:val="32"/>
          <w:szCs w:val="32"/>
        </w:rPr>
        <w:t>Border Collaboration</w:t>
      </w:r>
    </w:p>
    <w:p w14:paraId="3CACCC5B" w14:textId="77777777" w:rsidR="00B15820" w:rsidRPr="00114717" w:rsidRDefault="00B15820" w:rsidP="00114717">
      <w:pPr>
        <w:spacing w:line="360" w:lineRule="auto"/>
        <w:rPr>
          <w:rFonts w:ascii="Arial" w:hAnsi="Arial" w:cs="Arial"/>
          <w:sz w:val="22"/>
          <w:szCs w:val="22"/>
        </w:rPr>
      </w:pPr>
    </w:p>
    <w:p w14:paraId="4C28845E"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Author: Country Director, Unilever UK</w:t>
      </w:r>
    </w:p>
    <w:p w14:paraId="496AE4A9"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Strategic Partner: Kao Corporation, Japan</w:t>
      </w:r>
    </w:p>
    <w:p w14:paraId="041ACD93" w14:textId="77777777" w:rsidR="00B15820" w:rsidRPr="002075B7" w:rsidRDefault="00B15820" w:rsidP="00114717">
      <w:pPr>
        <w:spacing w:line="360" w:lineRule="auto"/>
        <w:rPr>
          <w:rFonts w:ascii="Arial" w:hAnsi="Arial" w:cs="Arial"/>
          <w:b/>
          <w:bCs/>
          <w:sz w:val="28"/>
          <w:szCs w:val="28"/>
        </w:rPr>
      </w:pPr>
      <w:r w:rsidRPr="002075B7">
        <w:rPr>
          <w:rFonts w:ascii="Arial" w:hAnsi="Arial" w:cs="Arial"/>
          <w:b/>
          <w:bCs/>
          <w:sz w:val="28"/>
          <w:szCs w:val="28"/>
        </w:rPr>
        <w:t>Introduction</w:t>
      </w:r>
    </w:p>
    <w:p w14:paraId="12AC9D59" w14:textId="2AB94DE6"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In an increasingly globalised consumer goods industry, strategic international alliances enable organisations to combine complementary strengths, access new markets, and accelerate innovation. In 2025, Unilever UK</w:t>
      </w:r>
      <w:r w:rsidR="003F19F4">
        <w:rPr>
          <w:rFonts w:ascii="Arial" w:hAnsi="Arial" w:cs="Arial"/>
          <w:sz w:val="22"/>
          <w:szCs w:val="22"/>
        </w:rPr>
        <w:t xml:space="preserve"> </w:t>
      </w:r>
      <w:r w:rsidRPr="00114717">
        <w:rPr>
          <w:rFonts w:ascii="Arial" w:hAnsi="Arial" w:cs="Arial"/>
          <w:sz w:val="22"/>
          <w:szCs w:val="22"/>
        </w:rPr>
        <w:t>a leading British</w:t>
      </w:r>
      <w:r w:rsidR="00557743">
        <w:rPr>
          <w:rFonts w:ascii="Cambria Math" w:hAnsi="Cambria Math" w:cs="Cambria Math"/>
          <w:sz w:val="22"/>
          <w:szCs w:val="22"/>
        </w:rPr>
        <w:t xml:space="preserve"> </w:t>
      </w:r>
      <w:r w:rsidRPr="00114717">
        <w:rPr>
          <w:rFonts w:ascii="Arial" w:hAnsi="Arial" w:cs="Arial"/>
          <w:sz w:val="22"/>
          <w:szCs w:val="22"/>
        </w:rPr>
        <w:t>headquartered multinational operating across personal care, home care, and nutrition</w:t>
      </w:r>
      <w:r w:rsidR="00557743">
        <w:rPr>
          <w:rFonts w:ascii="Arial" w:hAnsi="Arial" w:cs="Arial"/>
          <w:sz w:val="22"/>
          <w:szCs w:val="22"/>
        </w:rPr>
        <w:t xml:space="preserve"> </w:t>
      </w:r>
      <w:r w:rsidRPr="00114717">
        <w:rPr>
          <w:rFonts w:ascii="Arial" w:hAnsi="Arial" w:cs="Arial"/>
          <w:sz w:val="22"/>
          <w:szCs w:val="22"/>
        </w:rPr>
        <w:t>entered a comprehensive strategic partnership with Japan’s Kao Corporation, one of Asia’s foremost consumer goods manufacturers, to co</w:t>
      </w:r>
      <w:r w:rsidRPr="00114717">
        <w:rPr>
          <w:rFonts w:ascii="Cambria Math" w:hAnsi="Cambria Math" w:cs="Cambria Math"/>
          <w:sz w:val="22"/>
          <w:szCs w:val="22"/>
        </w:rPr>
        <w:t>‑</w:t>
      </w:r>
      <w:r w:rsidRPr="00114717">
        <w:rPr>
          <w:rFonts w:ascii="Arial" w:hAnsi="Arial" w:cs="Arial"/>
          <w:sz w:val="22"/>
          <w:szCs w:val="22"/>
        </w:rPr>
        <w:t>develop and market sustainable, high</w:t>
      </w:r>
      <w:r w:rsidRPr="00114717">
        <w:rPr>
          <w:rFonts w:ascii="Cambria Math" w:hAnsi="Cambria Math" w:cs="Cambria Math"/>
          <w:sz w:val="22"/>
          <w:szCs w:val="22"/>
        </w:rPr>
        <w:t>‑</w:t>
      </w:r>
      <w:r w:rsidRPr="00114717">
        <w:rPr>
          <w:rFonts w:ascii="Arial" w:hAnsi="Arial" w:cs="Arial"/>
          <w:sz w:val="22"/>
          <w:szCs w:val="22"/>
        </w:rPr>
        <w:t>performance products across East Asia and Europe. As Country Director for the UK side and lead of the integrated cross</w:t>
      </w:r>
      <w:r w:rsidRPr="00114717">
        <w:rPr>
          <w:rFonts w:ascii="Cambria Math" w:hAnsi="Cambria Math" w:cs="Cambria Math"/>
          <w:sz w:val="22"/>
          <w:szCs w:val="22"/>
        </w:rPr>
        <w:t>‑</w:t>
      </w:r>
      <w:r w:rsidRPr="00114717">
        <w:rPr>
          <w:rFonts w:ascii="Arial" w:hAnsi="Arial" w:cs="Arial"/>
          <w:sz w:val="22"/>
          <w:szCs w:val="22"/>
        </w:rPr>
        <w:t xml:space="preserve">cultural project team, I recognise that while technical capabilities, market knowledge, and product </w:t>
      </w:r>
      <w:r w:rsidR="000B761B" w:rsidRPr="00114717">
        <w:rPr>
          <w:rFonts w:ascii="Arial" w:hAnsi="Arial" w:cs="Arial"/>
          <w:sz w:val="22"/>
          <w:szCs w:val="22"/>
        </w:rPr>
        <w:t>ability</w:t>
      </w:r>
      <w:r w:rsidRPr="00114717">
        <w:rPr>
          <w:rFonts w:ascii="Arial" w:hAnsi="Arial" w:cs="Arial"/>
          <w:sz w:val="22"/>
          <w:szCs w:val="22"/>
        </w:rPr>
        <w:t xml:space="preserve"> are central to success, effective communication is the critical enabler or barrier to collaboration.</w:t>
      </w:r>
    </w:p>
    <w:p w14:paraId="0BDAB2B9" w14:textId="61C8E3A0"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Communication is never merely the exchange of information; it is deeply embedded in cultural assumptions, values, norms, and expectations. Differences in how meaning is constructed, how status is expressed, how decisions are reached, and how relationships are managed </w:t>
      </w:r>
      <w:r w:rsidR="00F56C5F" w:rsidRPr="00114717">
        <w:rPr>
          <w:rFonts w:ascii="Arial" w:hAnsi="Arial" w:cs="Arial"/>
          <w:sz w:val="22"/>
          <w:szCs w:val="22"/>
        </w:rPr>
        <w:t>often</w:t>
      </w:r>
      <w:r w:rsidRPr="00114717">
        <w:rPr>
          <w:rFonts w:ascii="Arial" w:hAnsi="Arial" w:cs="Arial"/>
          <w:sz w:val="22"/>
          <w:szCs w:val="22"/>
        </w:rPr>
        <w:t xml:space="preserve"> lead to misunderstandings, delays, mistrust, and underperformance</w:t>
      </w:r>
      <w:r w:rsidR="003F19F4">
        <w:rPr>
          <w:rFonts w:ascii="Arial" w:hAnsi="Arial" w:cs="Arial"/>
          <w:sz w:val="22"/>
          <w:szCs w:val="22"/>
        </w:rPr>
        <w:t xml:space="preserve"> </w:t>
      </w:r>
      <w:r w:rsidRPr="00114717">
        <w:rPr>
          <w:rFonts w:ascii="Arial" w:hAnsi="Arial" w:cs="Arial"/>
          <w:sz w:val="22"/>
          <w:szCs w:val="22"/>
        </w:rPr>
        <w:t xml:space="preserve">even when teams share the same formal </w:t>
      </w:r>
      <w:r w:rsidR="00F56C5F" w:rsidRPr="00114717">
        <w:rPr>
          <w:rFonts w:ascii="Arial" w:hAnsi="Arial" w:cs="Arial"/>
          <w:sz w:val="22"/>
          <w:szCs w:val="22"/>
        </w:rPr>
        <w:t>goals</w:t>
      </w:r>
      <w:r w:rsidRPr="00114717">
        <w:rPr>
          <w:rFonts w:ascii="Arial" w:hAnsi="Arial" w:cs="Arial"/>
          <w:sz w:val="22"/>
          <w:szCs w:val="22"/>
        </w:rPr>
        <w:t>. This essay evaluates the key differences in communication styles between Unilever’s UK</w:t>
      </w:r>
      <w:r w:rsidRPr="00114717">
        <w:rPr>
          <w:rFonts w:ascii="Cambria Math" w:hAnsi="Cambria Math" w:cs="Cambria Math"/>
          <w:sz w:val="22"/>
          <w:szCs w:val="22"/>
        </w:rPr>
        <w:t>‑</w:t>
      </w:r>
      <w:r w:rsidRPr="00114717">
        <w:rPr>
          <w:rFonts w:ascii="Arial" w:hAnsi="Arial" w:cs="Arial"/>
          <w:sz w:val="22"/>
          <w:szCs w:val="22"/>
        </w:rPr>
        <w:t>based teams and Kao’s Japanese teams, applying established theoretical frameworks principally Edward T. Hall’s high</w:t>
      </w:r>
      <w:r w:rsidRPr="00114717">
        <w:rPr>
          <w:rFonts w:ascii="Cambria Math" w:hAnsi="Cambria Math" w:cs="Cambria Math"/>
          <w:sz w:val="22"/>
          <w:szCs w:val="22"/>
        </w:rPr>
        <w:t>‑</w:t>
      </w:r>
      <w:r w:rsidRPr="00114717">
        <w:rPr>
          <w:rFonts w:ascii="Arial" w:hAnsi="Arial" w:cs="Arial"/>
          <w:sz w:val="22"/>
          <w:szCs w:val="22"/>
        </w:rPr>
        <w:t>context/low</w:t>
      </w:r>
      <w:r w:rsidRPr="00114717">
        <w:rPr>
          <w:rFonts w:ascii="Cambria Math" w:hAnsi="Cambria Math" w:cs="Cambria Math"/>
          <w:sz w:val="22"/>
          <w:szCs w:val="22"/>
        </w:rPr>
        <w:t>‑</w:t>
      </w:r>
      <w:r w:rsidRPr="00114717">
        <w:rPr>
          <w:rFonts w:ascii="Arial" w:hAnsi="Arial" w:cs="Arial"/>
          <w:sz w:val="22"/>
          <w:szCs w:val="22"/>
        </w:rPr>
        <w:t xml:space="preserve">context communication theory and Geert Hofstede’s cultural dimensions to </w:t>
      </w:r>
      <w:r w:rsidRPr="00114717">
        <w:rPr>
          <w:rFonts w:ascii="Arial" w:hAnsi="Arial" w:cs="Arial"/>
          <w:sz w:val="22"/>
          <w:szCs w:val="22"/>
        </w:rPr>
        <w:lastRenderedPageBreak/>
        <w:t xml:space="preserve">explain underlying causes. It </w:t>
      </w:r>
      <w:r w:rsidR="00F56C5F" w:rsidRPr="00114717">
        <w:rPr>
          <w:rFonts w:ascii="Arial" w:hAnsi="Arial" w:cs="Arial"/>
          <w:sz w:val="22"/>
          <w:szCs w:val="22"/>
        </w:rPr>
        <w:t>sets up</w:t>
      </w:r>
      <w:r w:rsidRPr="00114717">
        <w:rPr>
          <w:rFonts w:ascii="Arial" w:hAnsi="Arial" w:cs="Arial"/>
          <w:sz w:val="22"/>
          <w:szCs w:val="22"/>
        </w:rPr>
        <w:t xml:space="preserve"> the organisational and national cultural contexts, analyses specific patterns of divergence and resulting misunderstandings, synthesises findings through theory, and outlines practical strategies to build effective integration. All analysis is grounded in the real</w:t>
      </w:r>
      <w:r w:rsidR="000B761B" w:rsidRPr="00114717">
        <w:rPr>
          <w:rFonts w:ascii="Arial" w:hAnsi="Arial" w:cs="Arial"/>
          <w:sz w:val="22"/>
          <w:szCs w:val="22"/>
        </w:rPr>
        <w:t xml:space="preserve"> </w:t>
      </w:r>
      <w:r w:rsidRPr="00114717">
        <w:rPr>
          <w:rFonts w:ascii="Arial" w:hAnsi="Arial" w:cs="Arial"/>
          <w:sz w:val="22"/>
          <w:szCs w:val="22"/>
        </w:rPr>
        <w:t>world setting of this partnership, supported by academic and business literature.</w:t>
      </w:r>
    </w:p>
    <w:p w14:paraId="1A0313FE" w14:textId="77777777" w:rsidR="00451C1F" w:rsidRPr="00451C1F" w:rsidRDefault="00B15820" w:rsidP="00114717">
      <w:pPr>
        <w:spacing w:line="360" w:lineRule="auto"/>
        <w:rPr>
          <w:rFonts w:ascii="Arial" w:hAnsi="Arial" w:cs="Arial"/>
          <w:b/>
          <w:bCs/>
          <w:sz w:val="28"/>
          <w:szCs w:val="28"/>
        </w:rPr>
      </w:pPr>
      <w:r w:rsidRPr="00451C1F">
        <w:rPr>
          <w:rFonts w:ascii="Arial" w:hAnsi="Arial" w:cs="Arial"/>
          <w:b/>
          <w:bCs/>
          <w:sz w:val="28"/>
          <w:szCs w:val="28"/>
        </w:rPr>
        <w:t>1. Context: Organisational and Cultural Background</w:t>
      </w:r>
    </w:p>
    <w:p w14:paraId="77BFF60E" w14:textId="7C13ADE5" w:rsidR="00B15820" w:rsidRPr="00451C1F" w:rsidRDefault="00B15820" w:rsidP="00114717">
      <w:pPr>
        <w:spacing w:line="360" w:lineRule="auto"/>
        <w:rPr>
          <w:rFonts w:ascii="Arial" w:hAnsi="Arial" w:cs="Arial"/>
          <w:b/>
          <w:bCs/>
          <w:sz w:val="22"/>
          <w:szCs w:val="22"/>
        </w:rPr>
      </w:pPr>
      <w:r w:rsidRPr="00451C1F">
        <w:rPr>
          <w:rFonts w:ascii="Arial" w:hAnsi="Arial" w:cs="Arial"/>
          <w:b/>
          <w:bCs/>
          <w:sz w:val="22"/>
          <w:szCs w:val="22"/>
        </w:rPr>
        <w:t>1.1 Unilever UK: Profile and Communication Culture</w:t>
      </w:r>
    </w:p>
    <w:p w14:paraId="740DB5BB" w14:textId="0E915A1F"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Unilever traces its modern form to the 1930 merger of Lever Brothers (UK) and Margarine </w:t>
      </w:r>
      <w:r w:rsidR="00663E00" w:rsidRPr="00114717">
        <w:rPr>
          <w:rFonts w:ascii="Arial" w:hAnsi="Arial" w:cs="Arial"/>
          <w:sz w:val="22"/>
          <w:szCs w:val="22"/>
        </w:rPr>
        <w:t xml:space="preserve">Unite </w:t>
      </w:r>
      <w:r w:rsidRPr="00114717">
        <w:rPr>
          <w:rFonts w:ascii="Arial" w:hAnsi="Arial" w:cs="Arial"/>
          <w:sz w:val="22"/>
          <w:szCs w:val="22"/>
        </w:rPr>
        <w:t xml:space="preserve">(Netherlands), with its UK headquarters </w:t>
      </w:r>
      <w:r w:rsidR="00F17FD4" w:rsidRPr="00114717">
        <w:rPr>
          <w:rFonts w:ascii="Arial" w:hAnsi="Arial" w:cs="Arial"/>
          <w:sz w:val="22"/>
          <w:szCs w:val="22"/>
        </w:rPr>
        <w:t>being still</w:t>
      </w:r>
      <w:r w:rsidRPr="00114717">
        <w:rPr>
          <w:rFonts w:ascii="Arial" w:hAnsi="Arial" w:cs="Arial"/>
          <w:sz w:val="22"/>
          <w:szCs w:val="22"/>
        </w:rPr>
        <w:t xml:space="preserve"> a key centre for innovation, brand strategy, governance, and international operations (Unilever, 2025). Its culture reflects broader British societal traits: pragmatic, moderately formal yet adaptable, valuing individual initiative, clear accountability, and open debate. Communication within Unilever is typically explicit, task</w:t>
      </w:r>
      <w:r w:rsidR="00663E00" w:rsidRPr="00114717">
        <w:rPr>
          <w:rFonts w:ascii="Arial" w:hAnsi="Arial" w:cs="Arial"/>
          <w:sz w:val="22"/>
          <w:szCs w:val="22"/>
        </w:rPr>
        <w:t xml:space="preserve"> </w:t>
      </w:r>
      <w:r w:rsidRPr="00114717">
        <w:rPr>
          <w:rFonts w:ascii="Arial" w:hAnsi="Arial" w:cs="Arial"/>
          <w:sz w:val="22"/>
          <w:szCs w:val="22"/>
        </w:rPr>
        <w:t>focused, and documented, with a preference for clarity, transparency, and constructive challenge as a legitimate part of problem</w:t>
      </w:r>
      <w:r w:rsidR="00663E00" w:rsidRPr="00114717">
        <w:rPr>
          <w:rFonts w:ascii="Arial" w:hAnsi="Arial" w:cs="Arial"/>
          <w:sz w:val="22"/>
          <w:szCs w:val="22"/>
        </w:rPr>
        <w:t xml:space="preserve"> </w:t>
      </w:r>
      <w:r w:rsidRPr="00114717">
        <w:rPr>
          <w:rFonts w:ascii="Arial" w:hAnsi="Arial" w:cs="Arial"/>
          <w:sz w:val="22"/>
          <w:szCs w:val="22"/>
        </w:rPr>
        <w:t>solving. Hierarchies exist but are relatively flat; authority is delegated widely, and dialogue across levels and functions is encouraged. Decision</w:t>
      </w:r>
      <w:r w:rsidR="00663E00" w:rsidRPr="00114717">
        <w:rPr>
          <w:rFonts w:ascii="Arial" w:hAnsi="Arial" w:cs="Arial"/>
          <w:sz w:val="22"/>
          <w:szCs w:val="22"/>
        </w:rPr>
        <w:t xml:space="preserve"> </w:t>
      </w:r>
      <w:r w:rsidRPr="00114717">
        <w:rPr>
          <w:rFonts w:ascii="Arial" w:hAnsi="Arial" w:cs="Arial"/>
          <w:sz w:val="22"/>
          <w:szCs w:val="22"/>
        </w:rPr>
        <w:t>making is consultative but relatively rapid, with emphasis on efficiency and measurable outcomes (Spencer</w:t>
      </w:r>
      <w:r w:rsidRPr="00114717">
        <w:rPr>
          <w:rFonts w:ascii="Cambria Math" w:hAnsi="Cambria Math" w:cs="Cambria Math"/>
          <w:sz w:val="22"/>
          <w:szCs w:val="22"/>
        </w:rPr>
        <w:t>‑</w:t>
      </w:r>
      <w:r w:rsidRPr="00114717">
        <w:rPr>
          <w:rFonts w:ascii="Arial" w:hAnsi="Arial" w:cs="Arial"/>
          <w:sz w:val="22"/>
          <w:szCs w:val="22"/>
        </w:rPr>
        <w:t>Oatey, 2018).</w:t>
      </w:r>
    </w:p>
    <w:p w14:paraId="5974EDB3" w14:textId="77777777" w:rsidR="00B15820" w:rsidRPr="00451C1F" w:rsidRDefault="00B15820" w:rsidP="00114717">
      <w:pPr>
        <w:spacing w:line="360" w:lineRule="auto"/>
        <w:rPr>
          <w:rFonts w:ascii="Arial" w:hAnsi="Arial" w:cs="Arial"/>
          <w:b/>
          <w:bCs/>
          <w:sz w:val="22"/>
          <w:szCs w:val="22"/>
        </w:rPr>
      </w:pPr>
      <w:r w:rsidRPr="00451C1F">
        <w:rPr>
          <w:rFonts w:ascii="Arial" w:hAnsi="Arial" w:cs="Arial"/>
          <w:b/>
          <w:bCs/>
          <w:sz w:val="22"/>
          <w:szCs w:val="22"/>
        </w:rPr>
        <w:t>1.2 Kao Corporation: Profile and Communication Culture</w:t>
      </w:r>
    </w:p>
    <w:p w14:paraId="3E14D0C3" w14:textId="3A83B7D6"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Founded in 1887, Kao Corporation has evolved from a domestic soap producer into a diversified global enterprise with deep roots in Japanese business traditions of quality, long</w:t>
      </w:r>
      <w:r w:rsidRPr="00114717">
        <w:rPr>
          <w:rFonts w:ascii="Cambria Math" w:hAnsi="Cambria Math" w:cs="Cambria Math"/>
          <w:sz w:val="22"/>
          <w:szCs w:val="22"/>
        </w:rPr>
        <w:t>‑</w:t>
      </w:r>
      <w:r w:rsidRPr="00114717">
        <w:rPr>
          <w:rFonts w:ascii="Arial" w:hAnsi="Arial" w:cs="Arial"/>
          <w:sz w:val="22"/>
          <w:szCs w:val="22"/>
        </w:rPr>
        <w:t>term commitment, collective responsibility, and harmony (</w:t>
      </w:r>
      <w:r w:rsidR="00663E00" w:rsidRPr="00114717">
        <w:rPr>
          <w:rFonts w:ascii="Arial" w:hAnsi="Arial" w:cs="Arial"/>
          <w:sz w:val="22"/>
          <w:szCs w:val="22"/>
        </w:rPr>
        <w:t>we</w:t>
      </w:r>
      <w:r w:rsidRPr="00114717">
        <w:rPr>
          <w:rFonts w:ascii="Arial" w:hAnsi="Arial" w:cs="Arial"/>
          <w:sz w:val="22"/>
          <w:szCs w:val="22"/>
        </w:rPr>
        <w:t>) (Kao Corporation, 2025). Its organisational culture mirrors national values: strong respect for hierarchy, seniority, and relationships; emphasis on consensus</w:t>
      </w:r>
      <w:r w:rsidRPr="00114717">
        <w:rPr>
          <w:rFonts w:ascii="Cambria Math" w:hAnsi="Cambria Math" w:cs="Cambria Math"/>
          <w:sz w:val="22"/>
          <w:szCs w:val="22"/>
        </w:rPr>
        <w:t>‑</w:t>
      </w:r>
      <w:r w:rsidRPr="00114717">
        <w:rPr>
          <w:rFonts w:ascii="Arial" w:hAnsi="Arial" w:cs="Arial"/>
          <w:sz w:val="22"/>
          <w:szCs w:val="22"/>
        </w:rPr>
        <w:t>building; and careful risk mitigation. Communication is context</w:t>
      </w:r>
      <w:r w:rsidR="00324110" w:rsidRPr="00114717">
        <w:rPr>
          <w:rFonts w:ascii="Arial" w:hAnsi="Arial" w:cs="Arial"/>
          <w:sz w:val="22"/>
          <w:szCs w:val="22"/>
        </w:rPr>
        <w:t xml:space="preserve"> </w:t>
      </w:r>
      <w:r w:rsidRPr="00114717">
        <w:rPr>
          <w:rFonts w:ascii="Arial" w:hAnsi="Arial" w:cs="Arial"/>
          <w:sz w:val="22"/>
          <w:szCs w:val="22"/>
        </w:rPr>
        <w:t>dependent, relationship</w:t>
      </w:r>
      <w:r w:rsidR="00324110" w:rsidRPr="00114717">
        <w:rPr>
          <w:rFonts w:ascii="Arial" w:hAnsi="Arial" w:cs="Arial"/>
          <w:sz w:val="22"/>
          <w:szCs w:val="22"/>
        </w:rPr>
        <w:t xml:space="preserve"> </w:t>
      </w:r>
      <w:r w:rsidRPr="00114717">
        <w:rPr>
          <w:rFonts w:ascii="Arial" w:hAnsi="Arial" w:cs="Arial"/>
          <w:sz w:val="22"/>
          <w:szCs w:val="22"/>
        </w:rPr>
        <w:t xml:space="preserve">oriented, and highly formal, prioritising group cohesion and continuity over rapid exchange or overt disagreement. Decisions </w:t>
      </w:r>
      <w:r w:rsidR="00324110" w:rsidRPr="00114717">
        <w:rPr>
          <w:rFonts w:ascii="Arial" w:hAnsi="Arial" w:cs="Arial"/>
          <w:sz w:val="22"/>
          <w:szCs w:val="22"/>
        </w:rPr>
        <w:t>appear</w:t>
      </w:r>
      <w:r w:rsidRPr="00114717">
        <w:rPr>
          <w:rFonts w:ascii="Arial" w:hAnsi="Arial" w:cs="Arial"/>
          <w:sz w:val="22"/>
          <w:szCs w:val="22"/>
        </w:rPr>
        <w:t xml:space="preserve"> through extensive consultation and alignment processes rather than </w:t>
      </w:r>
      <w:r w:rsidR="00324110" w:rsidRPr="00114717">
        <w:rPr>
          <w:rFonts w:ascii="Arial" w:hAnsi="Arial" w:cs="Arial"/>
          <w:sz w:val="22"/>
          <w:szCs w:val="22"/>
        </w:rPr>
        <w:t>top-down</w:t>
      </w:r>
      <w:r w:rsidRPr="00114717">
        <w:rPr>
          <w:rFonts w:ascii="Arial" w:hAnsi="Arial" w:cs="Arial"/>
          <w:sz w:val="22"/>
          <w:szCs w:val="22"/>
        </w:rPr>
        <w:t xml:space="preserve"> edicts or rapid team</w:t>
      </w:r>
      <w:r w:rsidR="00324110" w:rsidRPr="00114717">
        <w:rPr>
          <w:rFonts w:ascii="Arial" w:hAnsi="Arial" w:cs="Arial"/>
          <w:sz w:val="22"/>
          <w:szCs w:val="22"/>
        </w:rPr>
        <w:t xml:space="preserve"> </w:t>
      </w:r>
      <w:r w:rsidRPr="00114717">
        <w:rPr>
          <w:rFonts w:ascii="Arial" w:hAnsi="Arial" w:cs="Arial"/>
          <w:sz w:val="22"/>
          <w:szCs w:val="22"/>
        </w:rPr>
        <w:t>level resolutions (Ishii, 2019).</w:t>
      </w:r>
    </w:p>
    <w:p w14:paraId="030B8A02" w14:textId="77777777" w:rsidR="00B15820" w:rsidRPr="00451C1F" w:rsidRDefault="00B15820" w:rsidP="00114717">
      <w:pPr>
        <w:spacing w:line="360" w:lineRule="auto"/>
        <w:rPr>
          <w:rFonts w:ascii="Arial" w:hAnsi="Arial" w:cs="Arial"/>
          <w:b/>
          <w:bCs/>
          <w:sz w:val="22"/>
          <w:szCs w:val="22"/>
        </w:rPr>
      </w:pPr>
      <w:r w:rsidRPr="00451C1F">
        <w:rPr>
          <w:rFonts w:ascii="Arial" w:hAnsi="Arial" w:cs="Arial"/>
          <w:b/>
          <w:bCs/>
          <w:sz w:val="22"/>
          <w:szCs w:val="22"/>
        </w:rPr>
        <w:t>1.3 Theoretical Frameworks</w:t>
      </w:r>
    </w:p>
    <w:p w14:paraId="3D0C6790"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Two frameworks provide robust analytical lenses:</w:t>
      </w:r>
    </w:p>
    <w:p w14:paraId="036E364F" w14:textId="2A95C1E9"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Hall’s High</w:t>
      </w:r>
      <w:r w:rsidRPr="00114717">
        <w:rPr>
          <w:rFonts w:ascii="Cambria Math" w:hAnsi="Cambria Math" w:cs="Cambria Math"/>
          <w:sz w:val="22"/>
          <w:szCs w:val="22"/>
        </w:rPr>
        <w:t>‑</w:t>
      </w:r>
      <w:r w:rsidRPr="00114717">
        <w:rPr>
          <w:rFonts w:ascii="Arial" w:hAnsi="Arial" w:cs="Arial"/>
          <w:sz w:val="22"/>
          <w:szCs w:val="22"/>
        </w:rPr>
        <w:t>Context / Low</w:t>
      </w:r>
      <w:r w:rsidRPr="00114717">
        <w:rPr>
          <w:rFonts w:ascii="Cambria Math" w:hAnsi="Cambria Math" w:cs="Cambria Math"/>
          <w:sz w:val="22"/>
          <w:szCs w:val="22"/>
        </w:rPr>
        <w:t>‑</w:t>
      </w:r>
      <w:r w:rsidRPr="00114717">
        <w:rPr>
          <w:rFonts w:ascii="Arial" w:hAnsi="Arial" w:cs="Arial"/>
          <w:sz w:val="22"/>
          <w:szCs w:val="22"/>
        </w:rPr>
        <w:t>Context Theory (Hall, 1976): Cultures are positioned along a continuum. Low</w:t>
      </w:r>
      <w:r w:rsidR="00D057E0" w:rsidRPr="00114717">
        <w:rPr>
          <w:rFonts w:ascii="Arial" w:hAnsi="Arial" w:cs="Arial"/>
          <w:sz w:val="22"/>
          <w:szCs w:val="22"/>
        </w:rPr>
        <w:t xml:space="preserve"> </w:t>
      </w:r>
      <w:r w:rsidRPr="00114717">
        <w:rPr>
          <w:rFonts w:ascii="Arial" w:hAnsi="Arial" w:cs="Arial"/>
          <w:sz w:val="22"/>
          <w:szCs w:val="22"/>
        </w:rPr>
        <w:t xml:space="preserve">context cultures including the UK rely chiefly on explicit, coded information in language and documents; meaning is </w:t>
      </w:r>
      <w:r w:rsidR="00D057E0" w:rsidRPr="00114717">
        <w:rPr>
          <w:rFonts w:ascii="Arial" w:hAnsi="Arial" w:cs="Arial"/>
          <w:sz w:val="22"/>
          <w:szCs w:val="22"/>
        </w:rPr>
        <w:t>said</w:t>
      </w:r>
      <w:r w:rsidRPr="00114717">
        <w:rPr>
          <w:rFonts w:ascii="Arial" w:hAnsi="Arial" w:cs="Arial"/>
          <w:sz w:val="22"/>
          <w:szCs w:val="22"/>
        </w:rPr>
        <w:t xml:space="preserve"> clearly and literally. High</w:t>
      </w:r>
      <w:r w:rsidRPr="00114717">
        <w:rPr>
          <w:rFonts w:ascii="Cambria Math" w:hAnsi="Cambria Math" w:cs="Cambria Math"/>
          <w:sz w:val="22"/>
          <w:szCs w:val="22"/>
        </w:rPr>
        <w:t>‑</w:t>
      </w:r>
      <w:r w:rsidRPr="00114717">
        <w:rPr>
          <w:rFonts w:ascii="Arial" w:hAnsi="Arial" w:cs="Arial"/>
          <w:sz w:val="22"/>
          <w:szCs w:val="22"/>
        </w:rPr>
        <w:t xml:space="preserve">context cultures </w:t>
      </w:r>
      <w:r w:rsidRPr="00114717">
        <w:rPr>
          <w:rFonts w:ascii="Arial" w:hAnsi="Arial" w:cs="Arial"/>
          <w:sz w:val="22"/>
          <w:szCs w:val="22"/>
        </w:rPr>
        <w:lastRenderedPageBreak/>
        <w:t>exemplified strongly by Japan – derive meaning from context, relationships, status, non</w:t>
      </w:r>
      <w:r w:rsidRPr="00114717">
        <w:rPr>
          <w:rFonts w:ascii="Cambria Math" w:hAnsi="Cambria Math" w:cs="Cambria Math"/>
          <w:sz w:val="22"/>
          <w:szCs w:val="22"/>
        </w:rPr>
        <w:t>‑</w:t>
      </w:r>
      <w:r w:rsidRPr="00114717">
        <w:rPr>
          <w:rFonts w:ascii="Arial" w:hAnsi="Arial" w:cs="Arial"/>
          <w:sz w:val="22"/>
          <w:szCs w:val="22"/>
        </w:rPr>
        <w:t>verbal cues, and shared history; direct verbal expression is often minimised or indirect.</w:t>
      </w:r>
    </w:p>
    <w:p w14:paraId="704A9EBE" w14:textId="3193493D" w:rsidR="00B15820" w:rsidRPr="00EE7178" w:rsidRDefault="00B15820" w:rsidP="00EE7178">
      <w:pPr>
        <w:pStyle w:val="ListParagraph"/>
        <w:numPr>
          <w:ilvl w:val="0"/>
          <w:numId w:val="1"/>
        </w:numPr>
        <w:spacing w:line="360" w:lineRule="auto"/>
        <w:rPr>
          <w:rFonts w:ascii="Arial" w:hAnsi="Arial" w:cs="Arial"/>
          <w:sz w:val="22"/>
          <w:szCs w:val="22"/>
        </w:rPr>
      </w:pPr>
      <w:r w:rsidRPr="00EE7178">
        <w:rPr>
          <w:rFonts w:ascii="Arial" w:hAnsi="Arial" w:cs="Arial"/>
          <w:sz w:val="22"/>
          <w:szCs w:val="22"/>
        </w:rPr>
        <w:t>Hofstede’s Cultural Dimensions (Hofstede et al., 2010): Relevant dimensions include:</w:t>
      </w:r>
    </w:p>
    <w:p w14:paraId="41E5E203"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Power Distance Index (PDI): Degree of acceptance of unequal authority distribution – UK: 35 (low); Japan: 54 (moderately high).</w:t>
      </w:r>
    </w:p>
    <w:p w14:paraId="7949E54A"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Individualism vs Collectivism (IDV): UK: 89 (strongly individualist); Japan: 46 (collectivist).</w:t>
      </w:r>
    </w:p>
    <w:p w14:paraId="27B563BF" w14:textId="430586C9"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Uncertainty Avoidance Index (UAI): UK: 35 (low</w:t>
      </w:r>
      <w:r w:rsidR="00615198" w:rsidRPr="00114717">
        <w:rPr>
          <w:rFonts w:ascii="Arial" w:hAnsi="Arial" w:cs="Arial"/>
          <w:sz w:val="22"/>
          <w:szCs w:val="22"/>
        </w:rPr>
        <w:t xml:space="preserve"> </w:t>
      </w:r>
      <w:r w:rsidRPr="00114717">
        <w:rPr>
          <w:rFonts w:ascii="Arial" w:hAnsi="Arial" w:cs="Arial"/>
          <w:sz w:val="22"/>
          <w:szCs w:val="22"/>
        </w:rPr>
        <w:t>comfortable with ambiguity); Japan: 92 (</w:t>
      </w:r>
      <w:r w:rsidR="00615198" w:rsidRPr="00114717">
        <w:rPr>
          <w:rFonts w:ascii="Arial" w:hAnsi="Arial" w:cs="Arial"/>
          <w:sz w:val="22"/>
          <w:szCs w:val="22"/>
        </w:rPr>
        <w:t>extremely high</w:t>
      </w:r>
      <w:r w:rsidRPr="00114717">
        <w:rPr>
          <w:rFonts w:ascii="Arial" w:hAnsi="Arial" w:cs="Arial"/>
          <w:sz w:val="22"/>
          <w:szCs w:val="22"/>
        </w:rPr>
        <w:t xml:space="preserve"> strong need for structure and certainty).</w:t>
      </w:r>
    </w:p>
    <w:p w14:paraId="10658EE2" w14:textId="557ED28B"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Long</w:t>
      </w:r>
      <w:r w:rsidRPr="00114717">
        <w:rPr>
          <w:rFonts w:ascii="Cambria Math" w:hAnsi="Cambria Math" w:cs="Cambria Math"/>
          <w:sz w:val="22"/>
          <w:szCs w:val="22"/>
        </w:rPr>
        <w:t>‑</w:t>
      </w:r>
      <w:r w:rsidRPr="00114717">
        <w:rPr>
          <w:rFonts w:ascii="Arial" w:hAnsi="Arial" w:cs="Arial"/>
          <w:sz w:val="22"/>
          <w:szCs w:val="22"/>
        </w:rPr>
        <w:t>Term vs Short</w:t>
      </w:r>
      <w:r w:rsidR="00615198" w:rsidRPr="00114717">
        <w:rPr>
          <w:rFonts w:ascii="Arial" w:hAnsi="Arial" w:cs="Arial"/>
          <w:sz w:val="22"/>
          <w:szCs w:val="22"/>
        </w:rPr>
        <w:t xml:space="preserve"> </w:t>
      </w:r>
      <w:r w:rsidRPr="00114717">
        <w:rPr>
          <w:rFonts w:ascii="Arial" w:hAnsi="Arial" w:cs="Arial"/>
          <w:sz w:val="22"/>
          <w:szCs w:val="22"/>
        </w:rPr>
        <w:t>Term Orientation (LTO): UK: 51 (intermediate); Japan: 88 (strongly long</w:t>
      </w:r>
      <w:r w:rsidR="00615198" w:rsidRPr="00114717">
        <w:rPr>
          <w:rFonts w:ascii="Arial" w:hAnsi="Arial" w:cs="Arial"/>
          <w:sz w:val="22"/>
          <w:szCs w:val="22"/>
        </w:rPr>
        <w:t xml:space="preserve"> </w:t>
      </w:r>
      <w:r w:rsidRPr="00114717">
        <w:rPr>
          <w:rFonts w:ascii="Arial" w:hAnsi="Arial" w:cs="Arial"/>
          <w:sz w:val="22"/>
          <w:szCs w:val="22"/>
        </w:rPr>
        <w:t>term).</w:t>
      </w:r>
    </w:p>
    <w:p w14:paraId="70323279" w14:textId="77777777" w:rsidR="00615198" w:rsidRPr="00114717" w:rsidRDefault="00B15820" w:rsidP="00114717">
      <w:pPr>
        <w:spacing w:line="360" w:lineRule="auto"/>
        <w:rPr>
          <w:rFonts w:ascii="Arial" w:hAnsi="Arial" w:cs="Arial"/>
          <w:sz w:val="22"/>
          <w:szCs w:val="22"/>
        </w:rPr>
      </w:pPr>
      <w:r w:rsidRPr="00114717">
        <w:rPr>
          <w:rFonts w:ascii="Arial" w:hAnsi="Arial" w:cs="Arial"/>
          <w:sz w:val="22"/>
          <w:szCs w:val="22"/>
        </w:rPr>
        <w:t>These frameworks are not rigid determinants but reliable indicators of prevailing patterns that shape interaction and interpretation.</w:t>
      </w:r>
    </w:p>
    <w:p w14:paraId="56F67B5B" w14:textId="2D6AAB16" w:rsidR="00B15820" w:rsidRPr="00451C1F" w:rsidRDefault="00B15820" w:rsidP="00114717">
      <w:pPr>
        <w:spacing w:line="360" w:lineRule="auto"/>
        <w:rPr>
          <w:rFonts w:ascii="Arial" w:hAnsi="Arial" w:cs="Arial"/>
          <w:b/>
          <w:bCs/>
          <w:sz w:val="28"/>
          <w:szCs w:val="28"/>
        </w:rPr>
      </w:pPr>
      <w:r w:rsidRPr="00451C1F">
        <w:rPr>
          <w:rFonts w:ascii="Arial" w:hAnsi="Arial" w:cs="Arial"/>
          <w:b/>
          <w:bCs/>
          <w:sz w:val="28"/>
          <w:szCs w:val="28"/>
        </w:rPr>
        <w:t>2. Key Communication Differences and Misunderstandings</w:t>
      </w:r>
    </w:p>
    <w:p w14:paraId="69DEED74" w14:textId="50C730BC" w:rsidR="00B15820" w:rsidRPr="001C73A5" w:rsidRDefault="00B15820" w:rsidP="00114717">
      <w:pPr>
        <w:spacing w:line="360" w:lineRule="auto"/>
        <w:rPr>
          <w:rFonts w:ascii="Arial" w:hAnsi="Arial" w:cs="Arial"/>
          <w:b/>
          <w:bCs/>
          <w:sz w:val="22"/>
          <w:szCs w:val="22"/>
        </w:rPr>
      </w:pPr>
      <w:r w:rsidRPr="001C73A5">
        <w:rPr>
          <w:rFonts w:ascii="Arial" w:hAnsi="Arial" w:cs="Arial"/>
          <w:b/>
          <w:bCs/>
          <w:sz w:val="22"/>
          <w:szCs w:val="22"/>
        </w:rPr>
        <w:t>2.1 Directness vs Indirectness: How Meaning Is Conveyed</w:t>
      </w:r>
    </w:p>
    <w:p w14:paraId="7E43A110"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Cultural Basis</w:t>
      </w:r>
    </w:p>
    <w:p w14:paraId="66A09AB7" w14:textId="5243DC26"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The most fundamental divergence lies in how messages are delivered and interpreted. In the UK’s low</w:t>
      </w:r>
      <w:r w:rsidR="00615198" w:rsidRPr="00114717">
        <w:rPr>
          <w:rFonts w:ascii="Arial" w:hAnsi="Arial" w:cs="Arial"/>
          <w:sz w:val="22"/>
          <w:szCs w:val="22"/>
        </w:rPr>
        <w:t xml:space="preserve"> </w:t>
      </w:r>
      <w:r w:rsidRPr="00114717">
        <w:rPr>
          <w:rFonts w:ascii="Arial" w:hAnsi="Arial" w:cs="Arial"/>
          <w:sz w:val="22"/>
          <w:szCs w:val="22"/>
        </w:rPr>
        <w:t>context environment, communication is explicit and verbal</w:t>
      </w:r>
      <w:r w:rsidRPr="00114717">
        <w:rPr>
          <w:rFonts w:ascii="Cambria Math" w:hAnsi="Cambria Math" w:cs="Cambria Math"/>
          <w:sz w:val="22"/>
          <w:szCs w:val="22"/>
        </w:rPr>
        <w:t>‑</w:t>
      </w:r>
      <w:r w:rsidRPr="00114717">
        <w:rPr>
          <w:rFonts w:ascii="Arial" w:hAnsi="Arial" w:cs="Arial"/>
          <w:sz w:val="22"/>
          <w:szCs w:val="22"/>
        </w:rPr>
        <w:t>centric. Even with polite framing or understatement characteristic of British discourse the core message is intended to be clear and literal. Information is expected to be fully articulated and recorded.</w:t>
      </w:r>
    </w:p>
    <w:p w14:paraId="02AC6824" w14:textId="5031BACA"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In Japan’s high</w:t>
      </w:r>
      <w:r w:rsidRPr="00114717">
        <w:rPr>
          <w:rFonts w:ascii="Cambria Math" w:hAnsi="Cambria Math" w:cs="Cambria Math"/>
          <w:sz w:val="22"/>
          <w:szCs w:val="22"/>
        </w:rPr>
        <w:t>‑</w:t>
      </w:r>
      <w:r w:rsidRPr="00114717">
        <w:rPr>
          <w:rFonts w:ascii="Arial" w:hAnsi="Arial" w:cs="Arial"/>
          <w:sz w:val="22"/>
          <w:szCs w:val="22"/>
        </w:rPr>
        <w:t xml:space="preserve">context culture, by contrast, directness is often avoided as potentially harmful to relationships or face. Meaning is conveyed through nuance, tone, phrasing, and situational context. Phrases such as “We will examine this carefully” or “That is somewhat challenging” are </w:t>
      </w:r>
      <w:r w:rsidR="00AB28FF" w:rsidRPr="00114717">
        <w:rPr>
          <w:rFonts w:ascii="Arial" w:hAnsi="Arial" w:cs="Arial"/>
          <w:sz w:val="22"/>
          <w:szCs w:val="22"/>
        </w:rPr>
        <w:t>often</w:t>
      </w:r>
      <w:r w:rsidRPr="00114717">
        <w:rPr>
          <w:rFonts w:ascii="Arial" w:hAnsi="Arial" w:cs="Arial"/>
          <w:sz w:val="22"/>
          <w:szCs w:val="22"/>
        </w:rPr>
        <w:t xml:space="preserve"> polite but unambiguous refusals or expressions of deep concern, rather than genuine offers of further consideration or negotiation space (Gudykunst and Kim, 2017).</w:t>
      </w:r>
    </w:p>
    <w:p w14:paraId="3493E3A3" w14:textId="77777777" w:rsidR="00AB28FF" w:rsidRPr="00114717" w:rsidRDefault="00B15820" w:rsidP="00114717">
      <w:pPr>
        <w:spacing w:line="360" w:lineRule="auto"/>
        <w:rPr>
          <w:rFonts w:ascii="Arial" w:hAnsi="Arial" w:cs="Arial"/>
          <w:sz w:val="22"/>
          <w:szCs w:val="22"/>
        </w:rPr>
      </w:pPr>
      <w:r w:rsidRPr="00114717">
        <w:rPr>
          <w:rFonts w:ascii="Arial" w:hAnsi="Arial" w:cs="Arial"/>
          <w:sz w:val="22"/>
          <w:szCs w:val="22"/>
        </w:rPr>
        <w:t>Misunderstandings in Practice</w:t>
      </w:r>
    </w:p>
    <w:p w14:paraId="791856DF" w14:textId="528F8E8B"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During early joint planning meetings, UK team members </w:t>
      </w:r>
      <w:r w:rsidR="00AB28FF" w:rsidRPr="00114717">
        <w:rPr>
          <w:rFonts w:ascii="Arial" w:hAnsi="Arial" w:cs="Arial"/>
          <w:sz w:val="22"/>
          <w:szCs w:val="22"/>
        </w:rPr>
        <w:t>often</w:t>
      </w:r>
      <w:r w:rsidRPr="00114717">
        <w:rPr>
          <w:rFonts w:ascii="Arial" w:hAnsi="Arial" w:cs="Arial"/>
          <w:sz w:val="22"/>
          <w:szCs w:val="22"/>
        </w:rPr>
        <w:t xml:space="preserve"> interpreted Japanese colleagues’ careful, non</w:t>
      </w:r>
      <w:r w:rsidRPr="00114717">
        <w:rPr>
          <w:rFonts w:ascii="Cambria Math" w:hAnsi="Cambria Math" w:cs="Cambria Math"/>
          <w:sz w:val="22"/>
          <w:szCs w:val="22"/>
        </w:rPr>
        <w:t>‑</w:t>
      </w:r>
      <w:r w:rsidRPr="00114717">
        <w:rPr>
          <w:rFonts w:ascii="Arial" w:hAnsi="Arial" w:cs="Arial"/>
          <w:sz w:val="22"/>
          <w:szCs w:val="22"/>
        </w:rPr>
        <w:t xml:space="preserve">committal or hedged responses as hesitation, lack of clarity, insufficient engagement, or even reluctance to collaborate. They often pressed for more definitive answers or commitments actions that Japanese counterparts perceived as aggressive, disrespectful, or lacking consideration for the relationship and the thoroughness </w:t>
      </w:r>
      <w:r w:rsidR="00AB28FF" w:rsidRPr="00114717">
        <w:rPr>
          <w:rFonts w:ascii="Arial" w:hAnsi="Arial" w:cs="Arial"/>
          <w:sz w:val="22"/>
          <w:szCs w:val="22"/>
        </w:rPr>
        <w:lastRenderedPageBreak/>
        <w:t>needed</w:t>
      </w:r>
      <w:r w:rsidRPr="00114717">
        <w:rPr>
          <w:rFonts w:ascii="Arial" w:hAnsi="Arial" w:cs="Arial"/>
          <w:sz w:val="22"/>
          <w:szCs w:val="22"/>
        </w:rPr>
        <w:t>. Conversely, Japanese staff viewed British directness, open questioning, or critique of proposals as confrontational, rude, or indicative of poor teamwork and disregard for group harmony.</w:t>
      </w:r>
    </w:p>
    <w:p w14:paraId="11E991B3" w14:textId="17FE3848"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For example, when discussing product development timelines, a UK manager’s comment “This schedule is too slow and needs revising” was intended as a factual assessment of operational </w:t>
      </w:r>
      <w:r w:rsidR="0015326C" w:rsidRPr="00114717">
        <w:rPr>
          <w:rFonts w:ascii="Arial" w:hAnsi="Arial" w:cs="Arial"/>
          <w:sz w:val="22"/>
          <w:szCs w:val="22"/>
        </w:rPr>
        <w:t>feasibility but</w:t>
      </w:r>
      <w:r w:rsidRPr="00114717">
        <w:rPr>
          <w:rFonts w:ascii="Arial" w:hAnsi="Arial" w:cs="Arial"/>
          <w:sz w:val="22"/>
          <w:szCs w:val="22"/>
        </w:rPr>
        <w:t xml:space="preserve"> was interpreted by the Japanese team as personal criticism and a threat to constructive cooperation.</w:t>
      </w:r>
    </w:p>
    <w:p w14:paraId="0725BE26" w14:textId="77777777" w:rsidR="00B15820" w:rsidRPr="001C73A5" w:rsidRDefault="00B15820" w:rsidP="00114717">
      <w:pPr>
        <w:spacing w:line="360" w:lineRule="auto"/>
        <w:rPr>
          <w:rFonts w:ascii="Arial" w:hAnsi="Arial" w:cs="Arial"/>
          <w:b/>
          <w:bCs/>
          <w:sz w:val="22"/>
          <w:szCs w:val="22"/>
        </w:rPr>
      </w:pPr>
      <w:r w:rsidRPr="001C73A5">
        <w:rPr>
          <w:rFonts w:ascii="Arial" w:hAnsi="Arial" w:cs="Arial"/>
          <w:b/>
          <w:bCs/>
          <w:sz w:val="22"/>
          <w:szCs w:val="22"/>
        </w:rPr>
        <w:t>2.2 Formality, Hierarchy, and Status Sensitivity</w:t>
      </w:r>
    </w:p>
    <w:p w14:paraId="68DA4D3F"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Cultural Basis</w:t>
      </w:r>
    </w:p>
    <w:p w14:paraId="3690794C" w14:textId="143020B1"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Japanese communication is deeply structured by hierarchy, seniority, and role reflections of moderate</w:t>
      </w:r>
      <w:r w:rsidR="008F2BD1" w:rsidRPr="00114717">
        <w:rPr>
          <w:rFonts w:ascii="Arial" w:hAnsi="Arial" w:cs="Arial"/>
          <w:sz w:val="22"/>
          <w:szCs w:val="22"/>
        </w:rPr>
        <w:t xml:space="preserve"> high-power</w:t>
      </w:r>
      <w:r w:rsidRPr="00114717">
        <w:rPr>
          <w:rFonts w:ascii="Arial" w:hAnsi="Arial" w:cs="Arial"/>
          <w:sz w:val="22"/>
          <w:szCs w:val="22"/>
        </w:rPr>
        <w:t xml:space="preserve"> distance and collectivist values. Language, greetings, seating, turn</w:t>
      </w:r>
      <w:r w:rsidR="008F2BD1" w:rsidRPr="00114717">
        <w:rPr>
          <w:rFonts w:ascii="Arial" w:hAnsi="Arial" w:cs="Arial"/>
          <w:sz w:val="22"/>
          <w:szCs w:val="22"/>
        </w:rPr>
        <w:t xml:space="preserve"> </w:t>
      </w:r>
      <w:r w:rsidRPr="00114717">
        <w:rPr>
          <w:rFonts w:ascii="Arial" w:hAnsi="Arial" w:cs="Arial"/>
          <w:sz w:val="22"/>
          <w:szCs w:val="22"/>
        </w:rPr>
        <w:t>taking, and tone are carefully calibrated through honorific expressions (</w:t>
      </w:r>
      <w:r w:rsidR="008F2BD1" w:rsidRPr="00114717">
        <w:rPr>
          <w:rFonts w:ascii="Arial" w:hAnsi="Arial" w:cs="Arial"/>
          <w:sz w:val="22"/>
          <w:szCs w:val="22"/>
        </w:rPr>
        <w:t>Keigo</w:t>
      </w:r>
      <w:r w:rsidRPr="00114717">
        <w:rPr>
          <w:rFonts w:ascii="Arial" w:hAnsi="Arial" w:cs="Arial"/>
          <w:sz w:val="22"/>
          <w:szCs w:val="22"/>
        </w:rPr>
        <w:t xml:space="preserve">) and protocols to signal respect and </w:t>
      </w:r>
      <w:r w:rsidR="0015326C" w:rsidRPr="00114717">
        <w:rPr>
          <w:rFonts w:ascii="Arial" w:hAnsi="Arial" w:cs="Arial"/>
          <w:sz w:val="22"/>
          <w:szCs w:val="22"/>
        </w:rPr>
        <w:t>support</w:t>
      </w:r>
      <w:r w:rsidRPr="00114717">
        <w:rPr>
          <w:rFonts w:ascii="Arial" w:hAnsi="Arial" w:cs="Arial"/>
          <w:sz w:val="22"/>
          <w:szCs w:val="22"/>
        </w:rPr>
        <w:t xml:space="preserve"> </w:t>
      </w:r>
      <w:r w:rsidR="008F2BD1" w:rsidRPr="00114717">
        <w:rPr>
          <w:rFonts w:ascii="Arial" w:hAnsi="Arial" w:cs="Arial"/>
          <w:sz w:val="22"/>
          <w:szCs w:val="22"/>
        </w:rPr>
        <w:t>right social</w:t>
      </w:r>
      <w:r w:rsidRPr="00114717">
        <w:rPr>
          <w:rFonts w:ascii="Arial" w:hAnsi="Arial" w:cs="Arial"/>
          <w:sz w:val="22"/>
          <w:szCs w:val="22"/>
        </w:rPr>
        <w:t xml:space="preserve"> distance. Deviations risk being seen as disrespectful or unprofessional (Ishii, 2019).</w:t>
      </w:r>
    </w:p>
    <w:p w14:paraId="53B597D6" w14:textId="0FE70F53"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UK communication is moderately formal but flexible and relatively egalitarian. While professional courtesy is </w:t>
      </w:r>
      <w:r w:rsidR="00B10A2B" w:rsidRPr="00114717">
        <w:rPr>
          <w:rFonts w:ascii="Arial" w:hAnsi="Arial" w:cs="Arial"/>
          <w:sz w:val="22"/>
          <w:szCs w:val="22"/>
        </w:rPr>
        <w:t>supported</w:t>
      </w:r>
      <w:r w:rsidRPr="00114717">
        <w:rPr>
          <w:rFonts w:ascii="Arial" w:hAnsi="Arial" w:cs="Arial"/>
          <w:sz w:val="22"/>
          <w:szCs w:val="22"/>
        </w:rPr>
        <w:t>, formality is relaxed quickly, titles are often dropped, and dialogue across levels is encouraged and viewed as healthy and efficient (Spencer</w:t>
      </w:r>
      <w:r w:rsidRPr="00114717">
        <w:rPr>
          <w:rFonts w:ascii="Cambria Math" w:hAnsi="Cambria Math" w:cs="Cambria Math"/>
          <w:sz w:val="22"/>
          <w:szCs w:val="22"/>
        </w:rPr>
        <w:t>‑</w:t>
      </w:r>
      <w:r w:rsidRPr="00114717">
        <w:rPr>
          <w:rFonts w:ascii="Arial" w:hAnsi="Arial" w:cs="Arial"/>
          <w:sz w:val="22"/>
          <w:szCs w:val="22"/>
        </w:rPr>
        <w:t>Oatey, 2018).</w:t>
      </w:r>
    </w:p>
    <w:p w14:paraId="1A2E1F3E" w14:textId="08012014"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Misunderstandings in Practice</w:t>
      </w:r>
    </w:p>
    <w:p w14:paraId="7153349E" w14:textId="5D2E7EF2"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UK team members often inadvertently caused friction by addressing Japanese colleagues especially senior staff by first names without invitation, speaking casually, or bypassing hierarchical channels to seek information or approvals. These actions were interpreted as disrespectful or undermining authority and protocol. Meanwhile, Japanese counterparts sometimes perceived British informality, relaxed approach to rank, or willingness to challenge senior views as immature, unprofessional, or lacking seriousness toward the partnership.</w:t>
      </w:r>
    </w:p>
    <w:p w14:paraId="1C75175A"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In one instance, UK team members were puzzled when Japanese colleagues remained silent or deferred answers to senior representatives; Japanese staff, meanwhile, were uncomfortable with UK team members questioning senior managers openly in plenary sessions.</w:t>
      </w:r>
    </w:p>
    <w:p w14:paraId="0E194751" w14:textId="7CE699E7" w:rsidR="00B15820" w:rsidRPr="001C73A5" w:rsidRDefault="00B15820" w:rsidP="00114717">
      <w:pPr>
        <w:spacing w:line="360" w:lineRule="auto"/>
        <w:rPr>
          <w:rFonts w:ascii="Arial" w:hAnsi="Arial" w:cs="Arial"/>
          <w:b/>
          <w:bCs/>
          <w:sz w:val="22"/>
          <w:szCs w:val="22"/>
        </w:rPr>
      </w:pPr>
      <w:r w:rsidRPr="001C73A5">
        <w:rPr>
          <w:rFonts w:ascii="Arial" w:hAnsi="Arial" w:cs="Arial"/>
          <w:b/>
          <w:bCs/>
          <w:sz w:val="22"/>
          <w:szCs w:val="22"/>
        </w:rPr>
        <w:t>2.3 Non</w:t>
      </w:r>
      <w:r w:rsidRPr="001C73A5">
        <w:rPr>
          <w:rFonts w:ascii="Cambria Math" w:hAnsi="Cambria Math" w:cs="Cambria Math"/>
          <w:b/>
          <w:bCs/>
          <w:sz w:val="22"/>
          <w:szCs w:val="22"/>
        </w:rPr>
        <w:t>‑</w:t>
      </w:r>
      <w:r w:rsidRPr="001C73A5">
        <w:rPr>
          <w:rFonts w:ascii="Arial" w:hAnsi="Arial" w:cs="Arial"/>
          <w:b/>
          <w:bCs/>
          <w:sz w:val="22"/>
          <w:szCs w:val="22"/>
        </w:rPr>
        <w:t xml:space="preserve">Verbal Communication and </w:t>
      </w:r>
      <w:r w:rsidR="00A05EE1" w:rsidRPr="001C73A5">
        <w:rPr>
          <w:rFonts w:ascii="Arial" w:hAnsi="Arial" w:cs="Arial"/>
          <w:b/>
          <w:bCs/>
          <w:sz w:val="22"/>
          <w:szCs w:val="22"/>
        </w:rPr>
        <w:t>Silence Cultural</w:t>
      </w:r>
      <w:r w:rsidRPr="001C73A5">
        <w:rPr>
          <w:rFonts w:ascii="Arial" w:hAnsi="Arial" w:cs="Arial"/>
          <w:b/>
          <w:bCs/>
          <w:sz w:val="22"/>
          <w:szCs w:val="22"/>
        </w:rPr>
        <w:t xml:space="preserve"> Basis</w:t>
      </w:r>
    </w:p>
    <w:p w14:paraId="569BF3D5" w14:textId="7DB91CF5"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lastRenderedPageBreak/>
        <w:t>In high</w:t>
      </w:r>
      <w:r w:rsidR="00A05EE1" w:rsidRPr="00114717">
        <w:rPr>
          <w:rFonts w:ascii="Arial" w:hAnsi="Arial" w:cs="Arial"/>
          <w:sz w:val="22"/>
          <w:szCs w:val="22"/>
        </w:rPr>
        <w:t xml:space="preserve"> </w:t>
      </w:r>
      <w:r w:rsidRPr="00114717">
        <w:rPr>
          <w:rFonts w:ascii="Arial" w:hAnsi="Arial" w:cs="Arial"/>
          <w:sz w:val="22"/>
          <w:szCs w:val="22"/>
        </w:rPr>
        <w:t>context Japan, non</w:t>
      </w:r>
      <w:r w:rsidRPr="00114717">
        <w:rPr>
          <w:rFonts w:ascii="Cambria Math" w:hAnsi="Cambria Math" w:cs="Cambria Math"/>
          <w:sz w:val="22"/>
          <w:szCs w:val="22"/>
        </w:rPr>
        <w:t>‑</w:t>
      </w:r>
      <w:r w:rsidRPr="00114717">
        <w:rPr>
          <w:rFonts w:ascii="Arial" w:hAnsi="Arial" w:cs="Arial"/>
          <w:sz w:val="22"/>
          <w:szCs w:val="22"/>
        </w:rPr>
        <w:t>verbal behaviour including posture, eye contact, facial expression, tone, and notably silence carries great meaning. Silence is respected as a sign of reflection, consideration, or carefully expressed disagreement; body language is restrained, and direct eye contact is kept moderate or indirect. In the UK’s low</w:t>
      </w:r>
      <w:r w:rsidR="000232DF" w:rsidRPr="00114717">
        <w:rPr>
          <w:rFonts w:ascii="Arial" w:hAnsi="Arial" w:cs="Arial"/>
          <w:sz w:val="22"/>
          <w:szCs w:val="22"/>
        </w:rPr>
        <w:t xml:space="preserve"> </w:t>
      </w:r>
      <w:r w:rsidRPr="00114717">
        <w:rPr>
          <w:rFonts w:ascii="Arial" w:hAnsi="Arial" w:cs="Arial"/>
          <w:sz w:val="22"/>
          <w:szCs w:val="22"/>
        </w:rPr>
        <w:t>context style, meaning is primarily verbal; silence is typically interpreted as confusion, lack of understanding, or lack of contribution, while moderate eye contact and open gestures signal engagement and honesty (Hall, 1976; Ting</w:t>
      </w:r>
      <w:r w:rsidRPr="00114717">
        <w:rPr>
          <w:rFonts w:ascii="Cambria Math" w:hAnsi="Cambria Math" w:cs="Cambria Math"/>
          <w:sz w:val="22"/>
          <w:szCs w:val="22"/>
        </w:rPr>
        <w:t>‑</w:t>
      </w:r>
      <w:r w:rsidRPr="00114717">
        <w:rPr>
          <w:rFonts w:ascii="Arial" w:hAnsi="Arial" w:cs="Arial"/>
          <w:sz w:val="22"/>
          <w:szCs w:val="22"/>
        </w:rPr>
        <w:t>Toomey, 2013).</w:t>
      </w:r>
    </w:p>
    <w:p w14:paraId="0F7B1180"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Misunderstandings in Practice</w:t>
      </w:r>
    </w:p>
    <w:p w14:paraId="66907981" w14:textId="70493F13"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Extended pauses or silences in meetings </w:t>
      </w:r>
      <w:r w:rsidR="000232DF" w:rsidRPr="00114717">
        <w:rPr>
          <w:rFonts w:ascii="Arial" w:hAnsi="Arial" w:cs="Arial"/>
          <w:sz w:val="22"/>
          <w:szCs w:val="22"/>
        </w:rPr>
        <w:t>often</w:t>
      </w:r>
      <w:r w:rsidRPr="00114717">
        <w:rPr>
          <w:rFonts w:ascii="Arial" w:hAnsi="Arial" w:cs="Arial"/>
          <w:sz w:val="22"/>
          <w:szCs w:val="22"/>
        </w:rPr>
        <w:t xml:space="preserve"> created confusion: UK staff often filled gaps </w:t>
      </w:r>
      <w:r w:rsidR="000232DF" w:rsidRPr="00114717">
        <w:rPr>
          <w:rFonts w:ascii="Arial" w:hAnsi="Arial" w:cs="Arial"/>
          <w:sz w:val="22"/>
          <w:szCs w:val="22"/>
        </w:rPr>
        <w:t>at once</w:t>
      </w:r>
      <w:r w:rsidRPr="00114717">
        <w:rPr>
          <w:rFonts w:ascii="Arial" w:hAnsi="Arial" w:cs="Arial"/>
          <w:sz w:val="22"/>
          <w:szCs w:val="22"/>
        </w:rPr>
        <w:t xml:space="preserve"> or restated points, believing the Japanese team had no views or had not understood, while Japanese colleagues felt their thoughtful consideration was being interrupted or disregarded. Subtle reservations conveyed through tone, facial expression, or pause were missed entirely by UK members relying only on explicit statements. Conversely, Japanese staff sometimes misinterpreted direct eye contact or animated gestures as aggressive or overly assertive behaviour.</w:t>
      </w:r>
    </w:p>
    <w:p w14:paraId="35F7707A" w14:textId="6248F65B" w:rsidR="00B15820" w:rsidRPr="001C73A5" w:rsidRDefault="00B15820" w:rsidP="00114717">
      <w:pPr>
        <w:spacing w:line="360" w:lineRule="auto"/>
        <w:rPr>
          <w:rFonts w:ascii="Arial" w:hAnsi="Arial" w:cs="Arial"/>
          <w:b/>
          <w:bCs/>
          <w:sz w:val="22"/>
          <w:szCs w:val="22"/>
        </w:rPr>
      </w:pPr>
      <w:r w:rsidRPr="001C73A5">
        <w:rPr>
          <w:rFonts w:ascii="Arial" w:hAnsi="Arial" w:cs="Arial"/>
          <w:b/>
          <w:bCs/>
          <w:sz w:val="22"/>
          <w:szCs w:val="22"/>
        </w:rPr>
        <w:t>2.4 Decision</w:t>
      </w:r>
      <w:r w:rsidR="00481E14" w:rsidRPr="001C73A5">
        <w:rPr>
          <w:rFonts w:ascii="Arial" w:hAnsi="Arial" w:cs="Arial"/>
          <w:b/>
          <w:bCs/>
          <w:sz w:val="22"/>
          <w:szCs w:val="22"/>
        </w:rPr>
        <w:t xml:space="preserve"> </w:t>
      </w:r>
      <w:r w:rsidRPr="001C73A5">
        <w:rPr>
          <w:rFonts w:ascii="Arial" w:hAnsi="Arial" w:cs="Arial"/>
          <w:b/>
          <w:bCs/>
          <w:sz w:val="22"/>
          <w:szCs w:val="22"/>
        </w:rPr>
        <w:t>Making: Consultation, Consensus, and Pace</w:t>
      </w:r>
    </w:p>
    <w:p w14:paraId="2DD329B2"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Cultural Basis</w:t>
      </w:r>
    </w:p>
    <w:p w14:paraId="488ABDEC" w14:textId="7EF4C59D"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These patterns are directly shaped by Hofstede’s dimensions: Japan’s high collectivism, </w:t>
      </w:r>
      <w:r w:rsidR="001F23C5" w:rsidRPr="00114717">
        <w:rPr>
          <w:rFonts w:ascii="Arial" w:hAnsi="Arial" w:cs="Arial"/>
          <w:sz w:val="22"/>
          <w:szCs w:val="22"/>
        </w:rPr>
        <w:t>exceedingly high</w:t>
      </w:r>
      <w:r w:rsidRPr="00114717">
        <w:rPr>
          <w:rFonts w:ascii="Arial" w:hAnsi="Arial" w:cs="Arial"/>
          <w:sz w:val="22"/>
          <w:szCs w:val="22"/>
        </w:rPr>
        <w:t xml:space="preserve"> uncertainty avoidance, and strong long</w:t>
      </w:r>
      <w:r w:rsidRPr="00114717">
        <w:rPr>
          <w:rFonts w:ascii="Cambria Math" w:hAnsi="Cambria Math" w:cs="Cambria Math"/>
          <w:sz w:val="22"/>
          <w:szCs w:val="22"/>
        </w:rPr>
        <w:t>‑</w:t>
      </w:r>
      <w:r w:rsidRPr="00114717">
        <w:rPr>
          <w:rFonts w:ascii="Arial" w:hAnsi="Arial" w:cs="Arial"/>
          <w:sz w:val="22"/>
          <w:szCs w:val="22"/>
        </w:rPr>
        <w:t xml:space="preserve">term orientation underpin the </w:t>
      </w:r>
      <w:r w:rsidR="001F23C5" w:rsidRPr="00114717">
        <w:rPr>
          <w:rFonts w:ascii="Arial" w:hAnsi="Arial" w:cs="Arial"/>
          <w:sz w:val="22"/>
          <w:szCs w:val="22"/>
        </w:rPr>
        <w:t xml:space="preserve">ring </w:t>
      </w:r>
      <w:r w:rsidRPr="00114717">
        <w:rPr>
          <w:rFonts w:ascii="Arial" w:hAnsi="Arial" w:cs="Arial"/>
          <w:sz w:val="22"/>
          <w:szCs w:val="22"/>
        </w:rPr>
        <w:t>sei system a bottom</w:t>
      </w:r>
      <w:r w:rsidR="001F23C5" w:rsidRPr="00114717">
        <w:rPr>
          <w:rFonts w:ascii="Arial" w:hAnsi="Arial" w:cs="Arial"/>
          <w:sz w:val="22"/>
          <w:szCs w:val="22"/>
        </w:rPr>
        <w:t>-</w:t>
      </w:r>
      <w:r w:rsidRPr="00114717">
        <w:rPr>
          <w:rFonts w:ascii="Arial" w:hAnsi="Arial" w:cs="Arial"/>
          <w:sz w:val="22"/>
          <w:szCs w:val="22"/>
        </w:rPr>
        <w:t>up, iterative consensus process requiring consultation and alignment across all relevant levels and stakeholders before decisions are confirmed. Communication is extensive, relationship</w:t>
      </w:r>
      <w:r w:rsidR="001F23C5" w:rsidRPr="00114717">
        <w:rPr>
          <w:rFonts w:ascii="Arial" w:hAnsi="Arial" w:cs="Arial"/>
          <w:sz w:val="22"/>
          <w:szCs w:val="22"/>
        </w:rPr>
        <w:t xml:space="preserve"> </w:t>
      </w:r>
      <w:r w:rsidRPr="00114717">
        <w:rPr>
          <w:rFonts w:ascii="Arial" w:hAnsi="Arial" w:cs="Arial"/>
          <w:sz w:val="22"/>
          <w:szCs w:val="22"/>
        </w:rPr>
        <w:t>focused, and risk</w:t>
      </w:r>
      <w:r w:rsidRPr="00114717">
        <w:rPr>
          <w:rFonts w:ascii="Cambria Math" w:hAnsi="Cambria Math" w:cs="Cambria Math"/>
          <w:sz w:val="22"/>
          <w:szCs w:val="22"/>
        </w:rPr>
        <w:t>‑</w:t>
      </w:r>
      <w:r w:rsidRPr="00114717">
        <w:rPr>
          <w:rFonts w:ascii="Arial" w:hAnsi="Arial" w:cs="Arial"/>
          <w:sz w:val="22"/>
          <w:szCs w:val="22"/>
        </w:rPr>
        <w:t xml:space="preserve">averse, prioritising thoroughness, shared ownership, and </w:t>
      </w:r>
      <w:r w:rsidR="001F23C5" w:rsidRPr="00114717">
        <w:rPr>
          <w:rFonts w:ascii="Arial" w:hAnsi="Arial" w:cs="Arial"/>
          <w:sz w:val="22"/>
          <w:szCs w:val="22"/>
        </w:rPr>
        <w:t>long-term</w:t>
      </w:r>
      <w:r w:rsidRPr="00114717">
        <w:rPr>
          <w:rFonts w:ascii="Arial" w:hAnsi="Arial" w:cs="Arial"/>
          <w:sz w:val="22"/>
          <w:szCs w:val="22"/>
        </w:rPr>
        <w:t xml:space="preserve"> stability.</w:t>
      </w:r>
    </w:p>
    <w:p w14:paraId="084584B8"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The UK’s lower uncertainty avoidance, higher individualism, and intermediate time orientation support more rapid, delegated decision</w:t>
      </w:r>
      <w:r w:rsidRPr="00114717">
        <w:rPr>
          <w:rFonts w:ascii="Cambria Math" w:hAnsi="Cambria Math" w:cs="Cambria Math"/>
          <w:sz w:val="22"/>
          <w:szCs w:val="22"/>
        </w:rPr>
        <w:t>‑</w:t>
      </w:r>
      <w:r w:rsidRPr="00114717">
        <w:rPr>
          <w:rFonts w:ascii="Arial" w:hAnsi="Arial" w:cs="Arial"/>
          <w:sz w:val="22"/>
          <w:szCs w:val="22"/>
        </w:rPr>
        <w:t>making, with communication centred on presenting options, discussing trade</w:t>
      </w:r>
      <w:r w:rsidRPr="00114717">
        <w:rPr>
          <w:rFonts w:ascii="Cambria Math" w:hAnsi="Cambria Math" w:cs="Cambria Math"/>
          <w:sz w:val="22"/>
          <w:szCs w:val="22"/>
        </w:rPr>
        <w:t>‑</w:t>
      </w:r>
      <w:r w:rsidRPr="00114717">
        <w:rPr>
          <w:rFonts w:ascii="Arial" w:hAnsi="Arial" w:cs="Arial"/>
          <w:sz w:val="22"/>
          <w:szCs w:val="22"/>
        </w:rPr>
        <w:t>offs, and reaching conclusions efficiently (Hofstede et al., 2010; Varner and Beamer, 2021).</w:t>
      </w:r>
    </w:p>
    <w:p w14:paraId="3E2D4439"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Misunderstandings in Practice</w:t>
      </w:r>
    </w:p>
    <w:p w14:paraId="16E80B42" w14:textId="1FE99266"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UK teams </w:t>
      </w:r>
      <w:r w:rsidR="00347B44" w:rsidRPr="00114717">
        <w:rPr>
          <w:rFonts w:ascii="Arial" w:hAnsi="Arial" w:cs="Arial"/>
          <w:sz w:val="22"/>
          <w:szCs w:val="22"/>
        </w:rPr>
        <w:t>often</w:t>
      </w:r>
      <w:r w:rsidRPr="00114717">
        <w:rPr>
          <w:rFonts w:ascii="Arial" w:hAnsi="Arial" w:cs="Arial"/>
          <w:sz w:val="22"/>
          <w:szCs w:val="22"/>
        </w:rPr>
        <w:t xml:space="preserve"> expressed frustration at what appeared to be slow, opaque, or overly bureaucratic processes, pressing for faster conclusions and clearer accountability. Japanese teams viewed such pressure as impatient, disrespectful, and risk</w:t>
      </w:r>
      <w:r w:rsidR="00347B44" w:rsidRPr="00114717">
        <w:rPr>
          <w:rFonts w:ascii="Arial" w:hAnsi="Arial" w:cs="Arial"/>
          <w:sz w:val="22"/>
          <w:szCs w:val="22"/>
        </w:rPr>
        <w:t xml:space="preserve"> </w:t>
      </w:r>
      <w:r w:rsidRPr="00114717">
        <w:rPr>
          <w:rFonts w:ascii="Arial" w:hAnsi="Arial" w:cs="Arial"/>
          <w:sz w:val="22"/>
          <w:szCs w:val="22"/>
        </w:rPr>
        <w:t>prone lacking thoroughness and consideration for quality, compliance, and long</w:t>
      </w:r>
      <w:r w:rsidRPr="00114717">
        <w:rPr>
          <w:rFonts w:ascii="Cambria Math" w:hAnsi="Cambria Math" w:cs="Cambria Math"/>
          <w:sz w:val="22"/>
          <w:szCs w:val="22"/>
        </w:rPr>
        <w:t>‑</w:t>
      </w:r>
      <w:r w:rsidRPr="00114717">
        <w:rPr>
          <w:rFonts w:ascii="Arial" w:hAnsi="Arial" w:cs="Arial"/>
          <w:sz w:val="22"/>
          <w:szCs w:val="22"/>
        </w:rPr>
        <w:t xml:space="preserve">term partnership interests. During development of joint product specifications, for example, UK teams expected </w:t>
      </w:r>
      <w:r w:rsidRPr="00114717">
        <w:rPr>
          <w:rFonts w:ascii="Arial" w:hAnsi="Arial" w:cs="Arial"/>
          <w:sz w:val="22"/>
          <w:szCs w:val="22"/>
        </w:rPr>
        <w:lastRenderedPageBreak/>
        <w:t>relatively quick sign</w:t>
      </w:r>
      <w:r w:rsidR="00347B44" w:rsidRPr="00114717">
        <w:rPr>
          <w:rFonts w:ascii="Arial" w:hAnsi="Arial" w:cs="Arial"/>
          <w:sz w:val="22"/>
          <w:szCs w:val="22"/>
        </w:rPr>
        <w:t xml:space="preserve"> </w:t>
      </w:r>
      <w:r w:rsidRPr="00114717">
        <w:rPr>
          <w:rFonts w:ascii="Arial" w:hAnsi="Arial" w:cs="Arial"/>
          <w:sz w:val="22"/>
          <w:szCs w:val="22"/>
        </w:rPr>
        <w:t xml:space="preserve">off, while Japanese teams </w:t>
      </w:r>
      <w:r w:rsidR="00347B44" w:rsidRPr="00114717">
        <w:rPr>
          <w:rFonts w:ascii="Arial" w:hAnsi="Arial" w:cs="Arial"/>
          <w:sz w:val="22"/>
          <w:szCs w:val="22"/>
        </w:rPr>
        <w:t>needed</w:t>
      </w:r>
      <w:r w:rsidRPr="00114717">
        <w:rPr>
          <w:rFonts w:ascii="Arial" w:hAnsi="Arial" w:cs="Arial"/>
          <w:sz w:val="22"/>
          <w:szCs w:val="22"/>
        </w:rPr>
        <w:t xml:space="preserve"> detailed consultations across technical, quality, regulatory, and marketing functions, creating </w:t>
      </w:r>
      <w:r w:rsidR="00347B44" w:rsidRPr="00114717">
        <w:rPr>
          <w:rFonts w:ascii="Arial" w:hAnsi="Arial" w:cs="Arial"/>
          <w:sz w:val="22"/>
          <w:szCs w:val="22"/>
        </w:rPr>
        <w:t>feelings</w:t>
      </w:r>
      <w:r w:rsidRPr="00114717">
        <w:rPr>
          <w:rFonts w:ascii="Arial" w:hAnsi="Arial" w:cs="Arial"/>
          <w:sz w:val="22"/>
          <w:szCs w:val="22"/>
        </w:rPr>
        <w:t xml:space="preserve"> of either inefficiency or recklessness.</w:t>
      </w:r>
    </w:p>
    <w:p w14:paraId="5159CBCA" w14:textId="77777777" w:rsidR="00B15820" w:rsidRPr="001C73A5" w:rsidRDefault="00B15820" w:rsidP="00114717">
      <w:pPr>
        <w:spacing w:line="360" w:lineRule="auto"/>
        <w:rPr>
          <w:rFonts w:ascii="Arial" w:hAnsi="Arial" w:cs="Arial"/>
          <w:b/>
          <w:bCs/>
          <w:sz w:val="22"/>
          <w:szCs w:val="22"/>
        </w:rPr>
      </w:pPr>
      <w:r w:rsidRPr="001C73A5">
        <w:rPr>
          <w:rFonts w:ascii="Arial" w:hAnsi="Arial" w:cs="Arial"/>
          <w:b/>
          <w:bCs/>
          <w:sz w:val="22"/>
          <w:szCs w:val="22"/>
        </w:rPr>
        <w:t>2.5 Conflict and Disagreement: Harmony vs Open Debate</w:t>
      </w:r>
    </w:p>
    <w:p w14:paraId="381BE93E" w14:textId="77777777" w:rsidR="00BD0282" w:rsidRPr="00114717" w:rsidRDefault="00B15820" w:rsidP="00114717">
      <w:pPr>
        <w:spacing w:line="360" w:lineRule="auto"/>
        <w:rPr>
          <w:rFonts w:ascii="Arial" w:hAnsi="Arial" w:cs="Arial"/>
          <w:sz w:val="22"/>
          <w:szCs w:val="22"/>
        </w:rPr>
      </w:pPr>
      <w:r w:rsidRPr="00114717">
        <w:rPr>
          <w:rFonts w:ascii="Arial" w:hAnsi="Arial" w:cs="Arial"/>
          <w:sz w:val="22"/>
          <w:szCs w:val="22"/>
        </w:rPr>
        <w:t>Cultural Basis</w:t>
      </w:r>
    </w:p>
    <w:p w14:paraId="0F6704A3" w14:textId="3194E4D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In Japan, preserving harmony (wa) is paramount; disagreement is expressed indirectly, subtly, or through silence or hints to avoid open confrontation or loss of face. In the UK, constructive debate and challenge are viewed as professional, healthy, and essential to quality; differences are discussed openly, objectively, and separated from personal relationships (Oetzel and Ting</w:t>
      </w:r>
      <w:r w:rsidRPr="00114717">
        <w:rPr>
          <w:rFonts w:ascii="Cambria Math" w:hAnsi="Cambria Math" w:cs="Cambria Math"/>
          <w:sz w:val="22"/>
          <w:szCs w:val="22"/>
        </w:rPr>
        <w:t>‑</w:t>
      </w:r>
      <w:r w:rsidRPr="00114717">
        <w:rPr>
          <w:rFonts w:ascii="Arial" w:hAnsi="Arial" w:cs="Arial"/>
          <w:sz w:val="22"/>
          <w:szCs w:val="22"/>
        </w:rPr>
        <w:t>Toomey, 2013).</w:t>
      </w:r>
    </w:p>
    <w:p w14:paraId="1BCA0105"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Misunderstandings in Practice</w:t>
      </w:r>
    </w:p>
    <w:p w14:paraId="226D1306" w14:textId="3E295C95"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Open discussion of problems or </w:t>
      </w:r>
      <w:r w:rsidR="00BD0282" w:rsidRPr="00114717">
        <w:rPr>
          <w:rFonts w:ascii="Arial" w:hAnsi="Arial" w:cs="Arial"/>
          <w:sz w:val="22"/>
          <w:szCs w:val="22"/>
        </w:rPr>
        <w:t>trade-offs</w:t>
      </w:r>
      <w:r w:rsidRPr="00114717">
        <w:rPr>
          <w:rFonts w:ascii="Arial" w:hAnsi="Arial" w:cs="Arial"/>
          <w:sz w:val="22"/>
          <w:szCs w:val="22"/>
        </w:rPr>
        <w:t xml:space="preserve"> standard practice in UK project reviews was perceived by Japanese colleagues as conflict</w:t>
      </w:r>
      <w:r w:rsidRPr="00114717">
        <w:rPr>
          <w:rFonts w:ascii="Cambria Math" w:hAnsi="Cambria Math" w:cs="Cambria Math"/>
          <w:sz w:val="22"/>
          <w:szCs w:val="22"/>
        </w:rPr>
        <w:t>‑</w:t>
      </w:r>
      <w:r w:rsidRPr="00114717">
        <w:rPr>
          <w:rFonts w:ascii="Arial" w:hAnsi="Arial" w:cs="Arial"/>
          <w:sz w:val="22"/>
          <w:szCs w:val="22"/>
        </w:rPr>
        <w:t>seeking or damaging relationships. Conversely, Japanese avoidance of direct criticism or problem</w:t>
      </w:r>
      <w:r w:rsidR="00BD0282" w:rsidRPr="00114717">
        <w:rPr>
          <w:rFonts w:ascii="Arial" w:hAnsi="Arial" w:cs="Arial"/>
          <w:sz w:val="22"/>
          <w:szCs w:val="22"/>
        </w:rPr>
        <w:t xml:space="preserve"> </w:t>
      </w:r>
      <w:r w:rsidRPr="00114717">
        <w:rPr>
          <w:rFonts w:ascii="Arial" w:hAnsi="Arial" w:cs="Arial"/>
          <w:sz w:val="22"/>
          <w:szCs w:val="22"/>
        </w:rPr>
        <w:t>framing often led UK teams to believe issues were resolved or absent, only to discover later that significant concerns remained unaddressed or had resurfaced.</w:t>
      </w:r>
    </w:p>
    <w:p w14:paraId="4D7F84B3" w14:textId="77777777" w:rsidR="00B15820" w:rsidRPr="001C73A5" w:rsidRDefault="00B15820" w:rsidP="00114717">
      <w:pPr>
        <w:spacing w:line="360" w:lineRule="auto"/>
        <w:rPr>
          <w:rFonts w:ascii="Arial" w:hAnsi="Arial" w:cs="Arial"/>
          <w:b/>
          <w:bCs/>
          <w:sz w:val="32"/>
          <w:szCs w:val="32"/>
        </w:rPr>
      </w:pPr>
      <w:r w:rsidRPr="001C73A5">
        <w:rPr>
          <w:rFonts w:ascii="Arial" w:hAnsi="Arial" w:cs="Arial"/>
          <w:b/>
          <w:bCs/>
          <w:sz w:val="32"/>
          <w:szCs w:val="32"/>
        </w:rPr>
        <w:t>3. Theoretical Synthesis</w:t>
      </w:r>
    </w:p>
    <w:p w14:paraId="591EEEE0"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Observed patterns align consistently with the frameworks:</w:t>
      </w:r>
    </w:p>
    <w:p w14:paraId="411D5DC8" w14:textId="344AFD52"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Hall’s Theory: The UK</w:t>
      </w:r>
      <w:r w:rsidR="00043529" w:rsidRPr="00114717">
        <w:rPr>
          <w:rFonts w:ascii="Arial" w:hAnsi="Arial" w:cs="Arial"/>
          <w:sz w:val="22"/>
          <w:szCs w:val="22"/>
        </w:rPr>
        <w:t>-</w:t>
      </w:r>
      <w:r w:rsidRPr="00114717">
        <w:rPr>
          <w:rFonts w:ascii="Arial" w:hAnsi="Arial" w:cs="Arial"/>
          <w:sz w:val="22"/>
          <w:szCs w:val="22"/>
        </w:rPr>
        <w:t>Japan contrast is a textbook illustration of low</w:t>
      </w:r>
      <w:r w:rsidR="00BD0282" w:rsidRPr="00114717">
        <w:rPr>
          <w:rFonts w:ascii="Arial" w:hAnsi="Arial" w:cs="Arial"/>
          <w:sz w:val="22"/>
          <w:szCs w:val="22"/>
        </w:rPr>
        <w:t xml:space="preserve"> </w:t>
      </w:r>
      <w:r w:rsidRPr="00114717">
        <w:rPr>
          <w:rFonts w:ascii="Arial" w:hAnsi="Arial" w:cs="Arial"/>
          <w:sz w:val="22"/>
          <w:szCs w:val="22"/>
        </w:rPr>
        <w:t>versus high</w:t>
      </w:r>
      <w:r w:rsidRPr="00114717">
        <w:rPr>
          <w:rFonts w:ascii="Cambria Math" w:hAnsi="Cambria Math" w:cs="Cambria Math"/>
          <w:sz w:val="22"/>
          <w:szCs w:val="22"/>
        </w:rPr>
        <w:t>‑</w:t>
      </w:r>
      <w:r w:rsidRPr="00114717">
        <w:rPr>
          <w:rFonts w:ascii="Arial" w:hAnsi="Arial" w:cs="Arial"/>
          <w:sz w:val="22"/>
          <w:szCs w:val="22"/>
        </w:rPr>
        <w:t>context dynamics. UK communication prioritises explicit, documented information; Japanese communication prioritises relationships, context, and shared understanding. This fundamental divergence is the root cause of most misinterpretations.</w:t>
      </w:r>
    </w:p>
    <w:p w14:paraId="0377A0FF"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Hofstede’s Dimensions:</w:t>
      </w:r>
    </w:p>
    <w:p w14:paraId="75C8E729"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Power Distance: Explains differences in formality, hierarchy observance, and communication channels.</w:t>
      </w:r>
    </w:p>
    <w:p w14:paraId="6DA34E12"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Individualism/Collectivism: Underpins openness versus restraint, conflict handling, and focus on personal accountability versus group consensus.</w:t>
      </w:r>
    </w:p>
    <w:p w14:paraId="1C64CF5B" w14:textId="51786A90"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 Uncertainty Avoidance: Accounts for contrasting approaches to thoroughness, risk assessment, and </w:t>
      </w:r>
      <w:r w:rsidR="00043529" w:rsidRPr="00114717">
        <w:rPr>
          <w:rFonts w:ascii="Arial" w:hAnsi="Arial" w:cs="Arial"/>
          <w:sz w:val="22"/>
          <w:szCs w:val="22"/>
        </w:rPr>
        <w:t>decision-making</w:t>
      </w:r>
      <w:r w:rsidRPr="00114717">
        <w:rPr>
          <w:rFonts w:ascii="Arial" w:hAnsi="Arial" w:cs="Arial"/>
          <w:sz w:val="22"/>
          <w:szCs w:val="22"/>
        </w:rPr>
        <w:t xml:space="preserve"> speed.</w:t>
      </w:r>
    </w:p>
    <w:p w14:paraId="08082092" w14:textId="6FCA56DA"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Long</w:t>
      </w:r>
      <w:r w:rsidRPr="00114717">
        <w:rPr>
          <w:rFonts w:ascii="Cambria Math" w:hAnsi="Cambria Math" w:cs="Cambria Math"/>
          <w:sz w:val="22"/>
          <w:szCs w:val="22"/>
        </w:rPr>
        <w:t>‑</w:t>
      </w:r>
      <w:r w:rsidRPr="00114717">
        <w:rPr>
          <w:rFonts w:ascii="Arial" w:hAnsi="Arial" w:cs="Arial"/>
          <w:sz w:val="22"/>
          <w:szCs w:val="22"/>
        </w:rPr>
        <w:t>Term Orientation: Highlights differing priorities rapid project delivery versus sustained quality and partnership stability.</w:t>
      </w:r>
    </w:p>
    <w:p w14:paraId="47A9521D" w14:textId="408E6BCE"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lastRenderedPageBreak/>
        <w:t xml:space="preserve">Crucially, these are general cultural tendencies, not absolute rules; individuals vary by experience, language </w:t>
      </w:r>
      <w:r w:rsidR="00AF5EAF" w:rsidRPr="00114717">
        <w:rPr>
          <w:rFonts w:ascii="Arial" w:hAnsi="Arial" w:cs="Arial"/>
          <w:sz w:val="22"/>
          <w:szCs w:val="22"/>
        </w:rPr>
        <w:t>ability</w:t>
      </w:r>
      <w:r w:rsidRPr="00114717">
        <w:rPr>
          <w:rFonts w:ascii="Arial" w:hAnsi="Arial" w:cs="Arial"/>
          <w:sz w:val="22"/>
          <w:szCs w:val="22"/>
        </w:rPr>
        <w:t xml:space="preserve">, and international exposure. However, as embedded organisational and collective patterns, they </w:t>
      </w:r>
      <w:r w:rsidR="00AF5EAF" w:rsidRPr="00114717">
        <w:rPr>
          <w:rFonts w:ascii="Arial" w:hAnsi="Arial" w:cs="Arial"/>
          <w:sz w:val="22"/>
          <w:szCs w:val="22"/>
        </w:rPr>
        <w:t>are still</w:t>
      </w:r>
      <w:r w:rsidRPr="00114717">
        <w:rPr>
          <w:rFonts w:ascii="Arial" w:hAnsi="Arial" w:cs="Arial"/>
          <w:sz w:val="22"/>
          <w:szCs w:val="22"/>
        </w:rPr>
        <w:t xml:space="preserve"> powerful influences on interaction.</w:t>
      </w:r>
    </w:p>
    <w:p w14:paraId="45C00CC9" w14:textId="77777777" w:rsidR="00B15820" w:rsidRPr="001C73A5" w:rsidRDefault="00B15820" w:rsidP="00114717">
      <w:pPr>
        <w:spacing w:line="360" w:lineRule="auto"/>
        <w:rPr>
          <w:rFonts w:ascii="Arial" w:hAnsi="Arial" w:cs="Arial"/>
          <w:b/>
          <w:bCs/>
          <w:sz w:val="28"/>
          <w:szCs w:val="28"/>
        </w:rPr>
      </w:pPr>
      <w:r w:rsidRPr="001C73A5">
        <w:rPr>
          <w:rFonts w:ascii="Arial" w:hAnsi="Arial" w:cs="Arial"/>
          <w:b/>
          <w:bCs/>
          <w:sz w:val="28"/>
          <w:szCs w:val="28"/>
        </w:rPr>
        <w:t>4. Implications and Recommended Strategies</w:t>
      </w:r>
    </w:p>
    <w:p w14:paraId="58C12A4E"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To bridge these gaps and build effective collaboration, a structured, mutual</w:t>
      </w:r>
      <w:r w:rsidRPr="00114717">
        <w:rPr>
          <w:rFonts w:ascii="Cambria Math" w:hAnsi="Cambria Math" w:cs="Cambria Math"/>
          <w:sz w:val="22"/>
          <w:szCs w:val="22"/>
        </w:rPr>
        <w:t>‑</w:t>
      </w:r>
      <w:r w:rsidRPr="00114717">
        <w:rPr>
          <w:rFonts w:ascii="Arial" w:hAnsi="Arial" w:cs="Arial"/>
          <w:sz w:val="22"/>
          <w:szCs w:val="22"/>
        </w:rPr>
        <w:t>adaptation approach is recommended:</w:t>
      </w:r>
    </w:p>
    <w:p w14:paraId="383436E2" w14:textId="7C8A6D4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1. Build Shared Cultural Competence: Deliver joint training on communication styles, values, and interpretation</w:t>
      </w:r>
      <w:r w:rsidR="00AF5EAF" w:rsidRPr="00114717">
        <w:rPr>
          <w:rFonts w:ascii="Arial" w:hAnsi="Arial" w:cs="Arial"/>
          <w:sz w:val="22"/>
          <w:szCs w:val="22"/>
        </w:rPr>
        <w:t xml:space="preserve"> </w:t>
      </w:r>
      <w:r w:rsidRPr="00114717">
        <w:rPr>
          <w:rFonts w:ascii="Arial" w:hAnsi="Arial" w:cs="Arial"/>
          <w:sz w:val="22"/>
          <w:szCs w:val="22"/>
        </w:rPr>
        <w:t>including meaning of indirect statements, silence, hierarchy, and non</w:t>
      </w:r>
      <w:r w:rsidRPr="00114717">
        <w:rPr>
          <w:rFonts w:ascii="Cambria Math" w:hAnsi="Cambria Math" w:cs="Cambria Math"/>
          <w:sz w:val="22"/>
          <w:szCs w:val="22"/>
        </w:rPr>
        <w:t>‑</w:t>
      </w:r>
      <w:r w:rsidRPr="00114717">
        <w:rPr>
          <w:rFonts w:ascii="Arial" w:hAnsi="Arial" w:cs="Arial"/>
          <w:sz w:val="22"/>
          <w:szCs w:val="22"/>
        </w:rPr>
        <w:t>verbal cues</w:t>
      </w:r>
      <w:r w:rsidR="00AF5EAF" w:rsidRPr="00114717">
        <w:rPr>
          <w:rFonts w:ascii="Arial" w:hAnsi="Arial" w:cs="Arial"/>
          <w:sz w:val="22"/>
          <w:szCs w:val="22"/>
        </w:rPr>
        <w:t xml:space="preserve"> </w:t>
      </w:r>
      <w:r w:rsidRPr="00114717">
        <w:rPr>
          <w:rFonts w:ascii="Arial" w:hAnsi="Arial" w:cs="Arial"/>
          <w:sz w:val="22"/>
          <w:szCs w:val="22"/>
        </w:rPr>
        <w:t>using real partnership examples. This reduces misinterpretation through cultural projection.</w:t>
      </w:r>
    </w:p>
    <w:p w14:paraId="61410F72"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2. Adapt Communication Practices:</w:t>
      </w:r>
    </w:p>
    <w:p w14:paraId="7D921285"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UK teams: Learn to listen for context, interpret nuance, respect hierarchy, allow adequate silence and consultation periods, and avoid premature pressure for conclusions.</w:t>
      </w:r>
    </w:p>
    <w:p w14:paraId="36DE12A2"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Japanese teams: Provide clearer, more explicit written summaries, explain underlying assumptions, and articulate concerns more openly in structured formats.</w:t>
      </w:r>
    </w:p>
    <w:p w14:paraId="6E13109A" w14:textId="60FDF758"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Use structured, documented communication agendas, detailed minutes, confirmed action items, and follow</w:t>
      </w:r>
      <w:r w:rsidRPr="00114717">
        <w:rPr>
          <w:rFonts w:ascii="Cambria Math" w:hAnsi="Cambria Math" w:cs="Cambria Math"/>
          <w:sz w:val="22"/>
          <w:szCs w:val="22"/>
        </w:rPr>
        <w:t>‑</w:t>
      </w:r>
      <w:r w:rsidRPr="00114717">
        <w:rPr>
          <w:rFonts w:ascii="Arial" w:hAnsi="Arial" w:cs="Arial"/>
          <w:sz w:val="22"/>
          <w:szCs w:val="22"/>
        </w:rPr>
        <w:t>up emails to reduce reliance on context alone.</w:t>
      </w:r>
    </w:p>
    <w:p w14:paraId="3A4B99D0" w14:textId="77777777" w:rsidR="00A4212C" w:rsidRPr="00114717" w:rsidRDefault="00B15820" w:rsidP="00114717">
      <w:pPr>
        <w:spacing w:line="360" w:lineRule="auto"/>
        <w:rPr>
          <w:rFonts w:ascii="Arial" w:hAnsi="Arial" w:cs="Arial"/>
          <w:sz w:val="22"/>
          <w:szCs w:val="22"/>
        </w:rPr>
      </w:pPr>
      <w:r w:rsidRPr="00114717">
        <w:rPr>
          <w:rFonts w:ascii="Arial" w:hAnsi="Arial" w:cs="Arial"/>
          <w:sz w:val="22"/>
          <w:szCs w:val="22"/>
        </w:rPr>
        <w:t>3. Align Decision</w:t>
      </w:r>
      <w:r w:rsidRPr="00114717">
        <w:rPr>
          <w:rFonts w:ascii="Cambria Math" w:hAnsi="Cambria Math" w:cs="Cambria Math"/>
          <w:sz w:val="22"/>
          <w:szCs w:val="22"/>
        </w:rPr>
        <w:t>‑</w:t>
      </w:r>
      <w:r w:rsidRPr="00114717">
        <w:rPr>
          <w:rFonts w:ascii="Arial" w:hAnsi="Arial" w:cs="Arial"/>
          <w:sz w:val="22"/>
          <w:szCs w:val="22"/>
        </w:rPr>
        <w:t xml:space="preserve">Making Processes: </w:t>
      </w:r>
      <w:r w:rsidR="00A4212C" w:rsidRPr="00114717">
        <w:rPr>
          <w:rFonts w:ascii="Arial" w:hAnsi="Arial" w:cs="Arial"/>
          <w:sz w:val="22"/>
          <w:szCs w:val="22"/>
        </w:rPr>
        <w:t>Set up</w:t>
      </w:r>
      <w:r w:rsidRPr="00114717">
        <w:rPr>
          <w:rFonts w:ascii="Arial" w:hAnsi="Arial" w:cs="Arial"/>
          <w:sz w:val="22"/>
          <w:szCs w:val="22"/>
        </w:rPr>
        <w:t xml:space="preserve"> hybrid procedures that respect consensus</w:t>
      </w:r>
      <w:r w:rsidR="00A4212C" w:rsidRPr="00114717">
        <w:rPr>
          <w:rFonts w:ascii="Arial" w:hAnsi="Arial" w:cs="Arial"/>
          <w:sz w:val="22"/>
          <w:szCs w:val="22"/>
        </w:rPr>
        <w:t xml:space="preserve"> </w:t>
      </w:r>
      <w:r w:rsidRPr="00114717">
        <w:rPr>
          <w:rFonts w:ascii="Arial" w:hAnsi="Arial" w:cs="Arial"/>
          <w:sz w:val="22"/>
          <w:szCs w:val="22"/>
        </w:rPr>
        <w:t>building while defining clear stages, timelines, and accountabilities. This integrates thoroughness with necessary pace.</w:t>
      </w:r>
    </w:p>
    <w:p w14:paraId="68D1CD45" w14:textId="3F9B2DEB"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4. Prioritise Relationship</w:t>
      </w:r>
      <w:r w:rsidRPr="00114717">
        <w:rPr>
          <w:rFonts w:ascii="Cambria Math" w:hAnsi="Cambria Math" w:cs="Cambria Math"/>
          <w:sz w:val="22"/>
          <w:szCs w:val="22"/>
        </w:rPr>
        <w:t>‑</w:t>
      </w:r>
      <w:r w:rsidRPr="00114717">
        <w:rPr>
          <w:rFonts w:ascii="Arial" w:hAnsi="Arial" w:cs="Arial"/>
          <w:sz w:val="22"/>
          <w:szCs w:val="22"/>
        </w:rPr>
        <w:t>Building: Invest in formal and informal interaction early in the partnership; in high</w:t>
      </w:r>
      <w:r w:rsidR="00A4212C" w:rsidRPr="00114717">
        <w:rPr>
          <w:rFonts w:ascii="Arial" w:hAnsi="Arial" w:cs="Arial"/>
          <w:sz w:val="22"/>
          <w:szCs w:val="22"/>
        </w:rPr>
        <w:t xml:space="preserve"> </w:t>
      </w:r>
      <w:r w:rsidRPr="00114717">
        <w:rPr>
          <w:rFonts w:ascii="Arial" w:hAnsi="Arial" w:cs="Arial"/>
          <w:sz w:val="22"/>
          <w:szCs w:val="22"/>
        </w:rPr>
        <w:t>context cultures, trust and relationships are prerequisites for effective collaboration.</w:t>
      </w:r>
    </w:p>
    <w:p w14:paraId="0DC2766A"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5. Support Language and Clarity: Use professional translation/interpretation where needed, avoid idioms, jargon, or ambiguous phrasing, and ensure documents are accessible and clearly framed.</w:t>
      </w:r>
    </w:p>
    <w:p w14:paraId="3B0AADC5" w14:textId="77777777" w:rsidR="002D4C3F" w:rsidRPr="00991924" w:rsidRDefault="00B15820" w:rsidP="00114717">
      <w:pPr>
        <w:spacing w:line="360" w:lineRule="auto"/>
        <w:rPr>
          <w:rFonts w:ascii="Arial" w:hAnsi="Arial" w:cs="Arial"/>
          <w:b/>
          <w:bCs/>
          <w:sz w:val="28"/>
          <w:szCs w:val="28"/>
        </w:rPr>
      </w:pPr>
      <w:r w:rsidRPr="00991924">
        <w:rPr>
          <w:rFonts w:ascii="Arial" w:hAnsi="Arial" w:cs="Arial"/>
          <w:b/>
          <w:bCs/>
          <w:sz w:val="28"/>
          <w:szCs w:val="28"/>
        </w:rPr>
        <w:t>Conclusion</w:t>
      </w:r>
    </w:p>
    <w:p w14:paraId="0FB53ED3" w14:textId="69CF96D6"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The alliance between Unilever UK and Kao Corporation unites complementary strengths but also deep</w:t>
      </w:r>
      <w:r w:rsidRPr="00114717">
        <w:rPr>
          <w:rFonts w:ascii="Cambria Math" w:hAnsi="Cambria Math" w:cs="Cambria Math"/>
          <w:sz w:val="22"/>
          <w:szCs w:val="22"/>
        </w:rPr>
        <w:t>‑</w:t>
      </w:r>
      <w:r w:rsidRPr="00114717">
        <w:rPr>
          <w:rFonts w:ascii="Arial" w:hAnsi="Arial" w:cs="Arial"/>
          <w:sz w:val="22"/>
          <w:szCs w:val="22"/>
        </w:rPr>
        <w:t>rooted cultural differences in communication shaped fundamentally by the contrast between low</w:t>
      </w:r>
      <w:r w:rsidRPr="00114717">
        <w:rPr>
          <w:rFonts w:ascii="Cambria Math" w:hAnsi="Cambria Math" w:cs="Cambria Math"/>
          <w:sz w:val="22"/>
          <w:szCs w:val="22"/>
        </w:rPr>
        <w:t>‑</w:t>
      </w:r>
      <w:r w:rsidRPr="00114717">
        <w:rPr>
          <w:rFonts w:ascii="Arial" w:hAnsi="Arial" w:cs="Arial"/>
          <w:sz w:val="22"/>
          <w:szCs w:val="22"/>
        </w:rPr>
        <w:t>context, individualist, egalitarian UK norms and high</w:t>
      </w:r>
      <w:r w:rsidR="002D4C3F" w:rsidRPr="00114717">
        <w:rPr>
          <w:rFonts w:ascii="Arial" w:hAnsi="Arial" w:cs="Arial"/>
          <w:sz w:val="22"/>
          <w:szCs w:val="22"/>
        </w:rPr>
        <w:t xml:space="preserve"> </w:t>
      </w:r>
      <w:r w:rsidRPr="00114717">
        <w:rPr>
          <w:rFonts w:ascii="Arial" w:hAnsi="Arial" w:cs="Arial"/>
          <w:sz w:val="22"/>
          <w:szCs w:val="22"/>
        </w:rPr>
        <w:t>context, collectivist, hierarchy</w:t>
      </w:r>
      <w:r w:rsidR="002D4C3F" w:rsidRPr="00114717">
        <w:rPr>
          <w:rFonts w:ascii="Arial" w:hAnsi="Arial" w:cs="Arial"/>
          <w:sz w:val="22"/>
          <w:szCs w:val="22"/>
        </w:rPr>
        <w:t xml:space="preserve"> </w:t>
      </w:r>
      <w:r w:rsidRPr="00114717">
        <w:rPr>
          <w:rFonts w:ascii="Arial" w:hAnsi="Arial" w:cs="Arial"/>
          <w:sz w:val="22"/>
          <w:szCs w:val="22"/>
        </w:rPr>
        <w:t xml:space="preserve">conscious Japanese practice. Misunderstandings arise not from poor </w:t>
      </w:r>
      <w:r w:rsidRPr="00114717">
        <w:rPr>
          <w:rFonts w:ascii="Arial" w:hAnsi="Arial" w:cs="Arial"/>
          <w:sz w:val="22"/>
          <w:szCs w:val="22"/>
        </w:rPr>
        <w:lastRenderedPageBreak/>
        <w:t>intent or capability but from divergent assumptions about meaning, status, decision</w:t>
      </w:r>
      <w:r w:rsidR="002D4C3F" w:rsidRPr="00114717">
        <w:rPr>
          <w:rFonts w:ascii="Arial" w:hAnsi="Arial" w:cs="Arial"/>
          <w:sz w:val="22"/>
          <w:szCs w:val="22"/>
        </w:rPr>
        <w:t xml:space="preserve"> </w:t>
      </w:r>
      <w:r w:rsidRPr="00114717">
        <w:rPr>
          <w:rFonts w:ascii="Arial" w:hAnsi="Arial" w:cs="Arial"/>
          <w:sz w:val="22"/>
          <w:szCs w:val="22"/>
        </w:rPr>
        <w:t>making, and relationships. Theoretical frameworks notably Hall’s and Hofstede’s illuminate these patterns and explain why they persist. Success requires mutual adaptation, cultural awareness, and deliberate process design. When managed well, these differences transform from barriers into competitive strengths combining UK clarity, innovation, and agility with Japanese thoroughness, quality focus, and long</w:t>
      </w:r>
      <w:r w:rsidRPr="00114717">
        <w:rPr>
          <w:rFonts w:ascii="Cambria Math" w:hAnsi="Cambria Math" w:cs="Cambria Math"/>
          <w:sz w:val="22"/>
          <w:szCs w:val="22"/>
        </w:rPr>
        <w:t>‑</w:t>
      </w:r>
      <w:r w:rsidRPr="00114717">
        <w:rPr>
          <w:rFonts w:ascii="Arial" w:hAnsi="Arial" w:cs="Arial"/>
          <w:sz w:val="22"/>
          <w:szCs w:val="22"/>
        </w:rPr>
        <w:t>term partnership commitment.</w:t>
      </w:r>
    </w:p>
    <w:p w14:paraId="3737E4F1" w14:textId="77777777" w:rsidR="00B15820" w:rsidRPr="00991924" w:rsidRDefault="00B15820" w:rsidP="00114717">
      <w:pPr>
        <w:spacing w:line="360" w:lineRule="auto"/>
        <w:rPr>
          <w:rFonts w:ascii="Arial" w:hAnsi="Arial" w:cs="Arial"/>
          <w:b/>
          <w:bCs/>
          <w:sz w:val="32"/>
          <w:szCs w:val="32"/>
        </w:rPr>
      </w:pPr>
      <w:r w:rsidRPr="00991924">
        <w:rPr>
          <w:rFonts w:ascii="Arial" w:hAnsi="Arial" w:cs="Arial"/>
          <w:b/>
          <w:bCs/>
          <w:sz w:val="32"/>
          <w:szCs w:val="32"/>
        </w:rPr>
        <w:t>References</w:t>
      </w:r>
    </w:p>
    <w:p w14:paraId="79E55716"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1. Hall, E.T. (1976) </w:t>
      </w:r>
      <w:r w:rsidRPr="00927B3C">
        <w:rPr>
          <w:rFonts w:ascii="Arial" w:hAnsi="Arial" w:cs="Arial"/>
          <w:i/>
          <w:iCs/>
          <w:sz w:val="22"/>
          <w:szCs w:val="22"/>
        </w:rPr>
        <w:t>Beyond Culture</w:t>
      </w:r>
      <w:r w:rsidRPr="00114717">
        <w:rPr>
          <w:rFonts w:ascii="Arial" w:hAnsi="Arial" w:cs="Arial"/>
          <w:sz w:val="22"/>
          <w:szCs w:val="22"/>
        </w:rPr>
        <w:t>. New York: Doubleday.</w:t>
      </w:r>
    </w:p>
    <w:p w14:paraId="46F0E4D0"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2. Hofstede, G., Hofstede, G.J. and Minkov, M. (2010) </w:t>
      </w:r>
      <w:r w:rsidRPr="008940DC">
        <w:rPr>
          <w:rFonts w:ascii="Arial" w:hAnsi="Arial" w:cs="Arial"/>
          <w:i/>
          <w:iCs/>
          <w:sz w:val="22"/>
          <w:szCs w:val="22"/>
        </w:rPr>
        <w:t>Cultures and Organizations: Software of the Mind</w:t>
      </w:r>
      <w:r w:rsidRPr="00114717">
        <w:rPr>
          <w:rFonts w:ascii="Arial" w:hAnsi="Arial" w:cs="Arial"/>
          <w:sz w:val="22"/>
          <w:szCs w:val="22"/>
        </w:rPr>
        <w:t>. 3rd edn. New York: McGraw</w:t>
      </w:r>
      <w:r w:rsidRPr="00114717">
        <w:rPr>
          <w:rFonts w:ascii="Cambria Math" w:hAnsi="Cambria Math" w:cs="Cambria Math"/>
          <w:sz w:val="22"/>
          <w:szCs w:val="22"/>
        </w:rPr>
        <w:t>‑</w:t>
      </w:r>
      <w:r w:rsidRPr="00114717">
        <w:rPr>
          <w:rFonts w:ascii="Arial" w:hAnsi="Arial" w:cs="Arial"/>
          <w:sz w:val="22"/>
          <w:szCs w:val="22"/>
        </w:rPr>
        <w:t>Hill.</w:t>
      </w:r>
    </w:p>
    <w:p w14:paraId="2A2C97A5"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3. Unilever (2025) </w:t>
      </w:r>
      <w:r w:rsidRPr="008940DC">
        <w:rPr>
          <w:rFonts w:ascii="Arial" w:hAnsi="Arial" w:cs="Arial"/>
          <w:i/>
          <w:iCs/>
          <w:sz w:val="22"/>
          <w:szCs w:val="22"/>
        </w:rPr>
        <w:t>Unilever Annual Report and Accounts 2024/25</w:t>
      </w:r>
      <w:r w:rsidRPr="00114717">
        <w:rPr>
          <w:rFonts w:ascii="Arial" w:hAnsi="Arial" w:cs="Arial"/>
          <w:sz w:val="22"/>
          <w:szCs w:val="22"/>
        </w:rPr>
        <w:t>. London: Unilever Group.</w:t>
      </w:r>
    </w:p>
    <w:p w14:paraId="38F9302E"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4. Kao Corporation (2025) </w:t>
      </w:r>
      <w:r w:rsidRPr="0011069F">
        <w:rPr>
          <w:rFonts w:ascii="Arial" w:hAnsi="Arial" w:cs="Arial"/>
          <w:i/>
          <w:iCs/>
          <w:sz w:val="22"/>
          <w:szCs w:val="22"/>
        </w:rPr>
        <w:t>Corporate Profile and Sustainability Report 2025</w:t>
      </w:r>
      <w:r w:rsidRPr="00114717">
        <w:rPr>
          <w:rFonts w:ascii="Arial" w:hAnsi="Arial" w:cs="Arial"/>
          <w:sz w:val="22"/>
          <w:szCs w:val="22"/>
        </w:rPr>
        <w:t>. Tokyo: Kao Corporation.</w:t>
      </w:r>
    </w:p>
    <w:p w14:paraId="6211BA7B"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5. Gudykunst, W.B. and Kim, Y.Y. (2017) </w:t>
      </w:r>
      <w:r w:rsidRPr="00B26207">
        <w:rPr>
          <w:rFonts w:ascii="Arial" w:hAnsi="Arial" w:cs="Arial"/>
          <w:i/>
          <w:iCs/>
          <w:sz w:val="22"/>
          <w:szCs w:val="22"/>
        </w:rPr>
        <w:t>Communicating with Strangers: An Approach to Intercultural Communication.</w:t>
      </w:r>
      <w:r w:rsidRPr="00114717">
        <w:rPr>
          <w:rFonts w:ascii="Arial" w:hAnsi="Arial" w:cs="Arial"/>
          <w:sz w:val="22"/>
          <w:szCs w:val="22"/>
        </w:rPr>
        <w:t xml:space="preserve"> 6th edn. Cambridge: Cambridge University Press.</w:t>
      </w:r>
    </w:p>
    <w:p w14:paraId="79DAB0C6"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6. Ishii, K. (2019) ‘Business Communication in Japan: Cultural Foundations and Contemporary Practices’, </w:t>
      </w:r>
      <w:r w:rsidRPr="000F01A5">
        <w:rPr>
          <w:rFonts w:ascii="Arial" w:hAnsi="Arial" w:cs="Arial"/>
          <w:i/>
          <w:iCs/>
          <w:sz w:val="22"/>
          <w:szCs w:val="22"/>
        </w:rPr>
        <w:t>Journal of Business Communication</w:t>
      </w:r>
      <w:r w:rsidRPr="00114717">
        <w:rPr>
          <w:rFonts w:ascii="Arial" w:hAnsi="Arial" w:cs="Arial"/>
          <w:sz w:val="22"/>
          <w:szCs w:val="22"/>
        </w:rPr>
        <w:t>, 56(2), pp. 187–206.</w:t>
      </w:r>
    </w:p>
    <w:p w14:paraId="406B0E57"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7. Spencer</w:t>
      </w:r>
      <w:r w:rsidRPr="00114717">
        <w:rPr>
          <w:rFonts w:ascii="Cambria Math" w:hAnsi="Cambria Math" w:cs="Cambria Math"/>
          <w:sz w:val="22"/>
          <w:szCs w:val="22"/>
        </w:rPr>
        <w:t>‑</w:t>
      </w:r>
      <w:r w:rsidRPr="00114717">
        <w:rPr>
          <w:rFonts w:ascii="Arial" w:hAnsi="Arial" w:cs="Arial"/>
          <w:sz w:val="22"/>
          <w:szCs w:val="22"/>
        </w:rPr>
        <w:t xml:space="preserve">Oatey, H. (2018) </w:t>
      </w:r>
      <w:r w:rsidRPr="000032A8">
        <w:rPr>
          <w:rFonts w:ascii="Arial" w:hAnsi="Arial" w:cs="Arial"/>
          <w:i/>
          <w:iCs/>
          <w:sz w:val="22"/>
          <w:szCs w:val="22"/>
        </w:rPr>
        <w:t xml:space="preserve">The Routledge Handbook of Language and Intercultural Communication. </w:t>
      </w:r>
      <w:r w:rsidRPr="00114717">
        <w:rPr>
          <w:rFonts w:ascii="Arial" w:hAnsi="Arial" w:cs="Arial"/>
          <w:sz w:val="22"/>
          <w:szCs w:val="22"/>
        </w:rPr>
        <w:t>London: Routledge.</w:t>
      </w:r>
    </w:p>
    <w:p w14:paraId="04EF3E72" w14:textId="77777777" w:rsidR="00DC3AA2"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8. Varner, I. and Beamer, L. (2021) </w:t>
      </w:r>
      <w:r w:rsidRPr="000032A8">
        <w:rPr>
          <w:rFonts w:ascii="Arial" w:hAnsi="Arial" w:cs="Arial"/>
          <w:i/>
          <w:iCs/>
          <w:sz w:val="22"/>
          <w:szCs w:val="22"/>
        </w:rPr>
        <w:t>Intercultural Communication in the Global Workplace</w:t>
      </w:r>
      <w:r w:rsidRPr="00114717">
        <w:rPr>
          <w:rFonts w:ascii="Arial" w:hAnsi="Arial" w:cs="Arial"/>
          <w:sz w:val="22"/>
          <w:szCs w:val="22"/>
        </w:rPr>
        <w:t>. 7th edn. New York: McGraw</w:t>
      </w:r>
      <w:r w:rsidRPr="00114717">
        <w:rPr>
          <w:rFonts w:ascii="Cambria Math" w:hAnsi="Cambria Math" w:cs="Cambria Math"/>
          <w:sz w:val="22"/>
          <w:szCs w:val="22"/>
        </w:rPr>
        <w:t>‑</w:t>
      </w:r>
      <w:r w:rsidRPr="00114717">
        <w:rPr>
          <w:rFonts w:ascii="Arial" w:hAnsi="Arial" w:cs="Arial"/>
          <w:sz w:val="22"/>
          <w:szCs w:val="22"/>
        </w:rPr>
        <w:t>Hill Education.</w:t>
      </w:r>
    </w:p>
    <w:p w14:paraId="7F55FE3C" w14:textId="6648764C"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9. Oetzel, J.G. and Ting</w:t>
      </w:r>
      <w:r w:rsidRPr="00114717">
        <w:rPr>
          <w:rFonts w:ascii="Cambria Math" w:hAnsi="Cambria Math" w:cs="Cambria Math"/>
          <w:sz w:val="22"/>
          <w:szCs w:val="22"/>
        </w:rPr>
        <w:t>‑</w:t>
      </w:r>
      <w:r w:rsidRPr="00114717">
        <w:rPr>
          <w:rFonts w:ascii="Arial" w:hAnsi="Arial" w:cs="Arial"/>
          <w:sz w:val="22"/>
          <w:szCs w:val="22"/>
        </w:rPr>
        <w:t>Toomey, S. (2013) The SAGE Handbook of Conflict Communication: Integrating Theory, Research, and Practice. London: Sage.</w:t>
      </w:r>
    </w:p>
    <w:p w14:paraId="2C58C1E3"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10. Kim, U. and Triandis, H.C. (eds.) (1994) </w:t>
      </w:r>
      <w:r w:rsidRPr="009D7483">
        <w:rPr>
          <w:rFonts w:ascii="Arial" w:hAnsi="Arial" w:cs="Arial"/>
          <w:i/>
          <w:iCs/>
          <w:sz w:val="22"/>
          <w:szCs w:val="22"/>
        </w:rPr>
        <w:t>Individualism and Collectivism: Theory, Method, and Applications</w:t>
      </w:r>
      <w:r w:rsidRPr="00114717">
        <w:rPr>
          <w:rFonts w:ascii="Arial" w:hAnsi="Arial" w:cs="Arial"/>
          <w:sz w:val="22"/>
          <w:szCs w:val="22"/>
        </w:rPr>
        <w:t>. Thousand Oaks: Sage Publications.</w:t>
      </w:r>
    </w:p>
    <w:p w14:paraId="454E6762"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11. Keio University Research Institute (2024) ‘Context Matters: High</w:t>
      </w:r>
      <w:r w:rsidRPr="00114717">
        <w:rPr>
          <w:rFonts w:ascii="Cambria Math" w:hAnsi="Cambria Math" w:cs="Cambria Math"/>
          <w:sz w:val="22"/>
          <w:szCs w:val="22"/>
        </w:rPr>
        <w:t>‑</w:t>
      </w:r>
      <w:r w:rsidRPr="00114717">
        <w:rPr>
          <w:rFonts w:ascii="Arial" w:hAnsi="Arial" w:cs="Arial"/>
          <w:sz w:val="22"/>
          <w:szCs w:val="22"/>
        </w:rPr>
        <w:t>Low Context Orientation in Japanese</w:t>
      </w:r>
      <w:r w:rsidRPr="00114717">
        <w:rPr>
          <w:rFonts w:ascii="Cambria Math" w:hAnsi="Cambria Math" w:cs="Cambria Math"/>
          <w:sz w:val="22"/>
          <w:szCs w:val="22"/>
        </w:rPr>
        <w:t>‑</w:t>
      </w:r>
      <w:r w:rsidRPr="00114717">
        <w:rPr>
          <w:rFonts w:ascii="Arial" w:hAnsi="Arial" w:cs="Arial"/>
          <w:sz w:val="22"/>
          <w:szCs w:val="22"/>
        </w:rPr>
        <w:t xml:space="preserve">Western Business Interaction’, </w:t>
      </w:r>
      <w:r w:rsidRPr="00AB0D82">
        <w:rPr>
          <w:rFonts w:ascii="Arial" w:hAnsi="Arial" w:cs="Arial"/>
          <w:i/>
          <w:iCs/>
          <w:sz w:val="22"/>
          <w:szCs w:val="22"/>
        </w:rPr>
        <w:t>Keio Research Repository</w:t>
      </w:r>
      <w:r w:rsidRPr="00114717">
        <w:rPr>
          <w:rFonts w:ascii="Arial" w:hAnsi="Arial" w:cs="Arial"/>
          <w:sz w:val="22"/>
          <w:szCs w:val="22"/>
        </w:rPr>
        <w:t>. Available at: https://k</w:t>
      </w:r>
      <w:r w:rsidRPr="00114717">
        <w:rPr>
          <w:rFonts w:ascii="Cambria Math" w:hAnsi="Cambria Math" w:cs="Cambria Math"/>
          <w:sz w:val="22"/>
          <w:szCs w:val="22"/>
        </w:rPr>
        <w:t>‑</w:t>
      </w:r>
      <w:r w:rsidRPr="00114717">
        <w:rPr>
          <w:rFonts w:ascii="Arial" w:hAnsi="Arial" w:cs="Arial"/>
          <w:sz w:val="22"/>
          <w:szCs w:val="22"/>
        </w:rPr>
        <w:t>ris.keio.ac.jp/ (Accessed: 10 July 2026).</w:t>
      </w:r>
    </w:p>
    <w:p w14:paraId="2D98E10C"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12. House of Birch (2026) ‘Cross</w:t>
      </w:r>
      <w:r w:rsidRPr="00114717">
        <w:rPr>
          <w:rFonts w:ascii="Cambria Math" w:hAnsi="Cambria Math" w:cs="Cambria Math"/>
          <w:sz w:val="22"/>
          <w:szCs w:val="22"/>
        </w:rPr>
        <w:t>‑</w:t>
      </w:r>
      <w:r w:rsidRPr="00114717">
        <w:rPr>
          <w:rFonts w:ascii="Arial" w:hAnsi="Arial" w:cs="Arial"/>
          <w:sz w:val="22"/>
          <w:szCs w:val="22"/>
        </w:rPr>
        <w:t>Cultural Negotiation Strategies for High</w:t>
      </w:r>
      <w:r w:rsidRPr="00114717">
        <w:rPr>
          <w:rFonts w:ascii="Cambria Math" w:hAnsi="Cambria Math" w:cs="Cambria Math"/>
          <w:sz w:val="22"/>
          <w:szCs w:val="22"/>
        </w:rPr>
        <w:t>‑</w:t>
      </w:r>
      <w:r w:rsidRPr="00114717">
        <w:rPr>
          <w:rFonts w:ascii="Arial" w:hAnsi="Arial" w:cs="Arial"/>
          <w:sz w:val="22"/>
          <w:szCs w:val="22"/>
        </w:rPr>
        <w:t xml:space="preserve">Stakes International Partnerships’, </w:t>
      </w:r>
      <w:r w:rsidRPr="00AB0D82">
        <w:rPr>
          <w:rFonts w:ascii="Arial" w:hAnsi="Arial" w:cs="Arial"/>
          <w:i/>
          <w:iCs/>
          <w:sz w:val="22"/>
          <w:szCs w:val="22"/>
        </w:rPr>
        <w:t>House of Birch Industry Report</w:t>
      </w:r>
      <w:r w:rsidRPr="00114717">
        <w:rPr>
          <w:rFonts w:ascii="Arial" w:hAnsi="Arial" w:cs="Arial"/>
          <w:sz w:val="22"/>
          <w:szCs w:val="22"/>
        </w:rPr>
        <w:t>. London: House of Birch.</w:t>
      </w:r>
    </w:p>
    <w:p w14:paraId="23678D46"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lastRenderedPageBreak/>
        <w:t xml:space="preserve">13. Fluent at Desk (2026) ‘Workplace Communication Norms: UK vs Japan’, </w:t>
      </w:r>
      <w:r w:rsidRPr="00315C32">
        <w:rPr>
          <w:rFonts w:ascii="Arial" w:hAnsi="Arial" w:cs="Arial"/>
          <w:i/>
          <w:iCs/>
          <w:sz w:val="22"/>
          <w:szCs w:val="22"/>
        </w:rPr>
        <w:t>Fluent at Desk Research Brief.</w:t>
      </w:r>
      <w:r w:rsidRPr="00114717">
        <w:rPr>
          <w:rFonts w:ascii="Arial" w:hAnsi="Arial" w:cs="Arial"/>
          <w:sz w:val="22"/>
          <w:szCs w:val="22"/>
        </w:rPr>
        <w:t xml:space="preserve"> Available at: https://fluentatdesk.com/ (Accessed: 10 July 2026).</w:t>
      </w:r>
    </w:p>
    <w:p w14:paraId="59C0514F"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14. Wikipedia (2026) ‘High</w:t>
      </w:r>
      <w:r w:rsidRPr="00114717">
        <w:rPr>
          <w:rFonts w:ascii="Cambria Math" w:hAnsi="Cambria Math" w:cs="Cambria Math"/>
          <w:sz w:val="22"/>
          <w:szCs w:val="22"/>
        </w:rPr>
        <w:t>‑</w:t>
      </w:r>
      <w:r w:rsidRPr="00114717">
        <w:rPr>
          <w:rFonts w:ascii="Arial" w:hAnsi="Arial" w:cs="Arial"/>
          <w:sz w:val="22"/>
          <w:szCs w:val="22"/>
        </w:rPr>
        <w:t>context and low</w:t>
      </w:r>
      <w:r w:rsidRPr="00114717">
        <w:rPr>
          <w:rFonts w:ascii="Cambria Math" w:hAnsi="Cambria Math" w:cs="Cambria Math"/>
          <w:sz w:val="22"/>
          <w:szCs w:val="22"/>
        </w:rPr>
        <w:t>‑</w:t>
      </w:r>
      <w:r w:rsidRPr="00114717">
        <w:rPr>
          <w:rFonts w:ascii="Arial" w:hAnsi="Arial" w:cs="Arial"/>
          <w:sz w:val="22"/>
          <w:szCs w:val="22"/>
        </w:rPr>
        <w:t xml:space="preserve">context cultures’, </w:t>
      </w:r>
      <w:r w:rsidRPr="00315C32">
        <w:rPr>
          <w:rFonts w:ascii="Arial" w:hAnsi="Arial" w:cs="Arial"/>
          <w:i/>
          <w:iCs/>
          <w:sz w:val="22"/>
          <w:szCs w:val="22"/>
        </w:rPr>
        <w:t>Wikipedia, 21 May.</w:t>
      </w:r>
      <w:r w:rsidRPr="00114717">
        <w:rPr>
          <w:rFonts w:ascii="Arial" w:hAnsi="Arial" w:cs="Arial"/>
          <w:sz w:val="22"/>
          <w:szCs w:val="22"/>
        </w:rPr>
        <w:t xml:space="preserve"> Available at: https://en.wikipedia.org/wiki/High</w:t>
      </w:r>
      <w:r w:rsidRPr="00114717">
        <w:rPr>
          <w:rFonts w:ascii="Cambria Math" w:hAnsi="Cambria Math" w:cs="Cambria Math"/>
          <w:sz w:val="22"/>
          <w:szCs w:val="22"/>
        </w:rPr>
        <w:t>‑</w:t>
      </w:r>
      <w:r w:rsidRPr="00114717">
        <w:rPr>
          <w:rFonts w:ascii="Arial" w:hAnsi="Arial" w:cs="Arial"/>
          <w:sz w:val="22"/>
          <w:szCs w:val="22"/>
        </w:rPr>
        <w:t>context_and_low</w:t>
      </w:r>
      <w:r w:rsidRPr="00114717">
        <w:rPr>
          <w:rFonts w:ascii="Cambria Math" w:hAnsi="Cambria Math" w:cs="Cambria Math"/>
          <w:sz w:val="22"/>
          <w:szCs w:val="22"/>
        </w:rPr>
        <w:t>‑</w:t>
      </w:r>
      <w:r w:rsidRPr="00114717">
        <w:rPr>
          <w:rFonts w:ascii="Arial" w:hAnsi="Arial" w:cs="Arial"/>
          <w:sz w:val="22"/>
          <w:szCs w:val="22"/>
        </w:rPr>
        <w:t>context_cultures (Accessed: 10 July 2026).</w:t>
      </w:r>
    </w:p>
    <w:p w14:paraId="02506E6D" w14:textId="77777777" w:rsidR="00B15820" w:rsidRPr="00114717" w:rsidRDefault="00B15820" w:rsidP="00114717">
      <w:pPr>
        <w:spacing w:line="360" w:lineRule="auto"/>
        <w:rPr>
          <w:rFonts w:ascii="Arial" w:hAnsi="Arial" w:cs="Arial"/>
          <w:sz w:val="22"/>
          <w:szCs w:val="22"/>
        </w:rPr>
      </w:pPr>
      <w:r w:rsidRPr="00114717">
        <w:rPr>
          <w:rFonts w:ascii="Arial" w:hAnsi="Arial" w:cs="Arial"/>
          <w:sz w:val="22"/>
          <w:szCs w:val="22"/>
        </w:rPr>
        <w:t xml:space="preserve">15. SLM MBA (2026) ‘Hofstede’s Dimensions and International Team Dynamics’, </w:t>
      </w:r>
      <w:r w:rsidRPr="00ED7E6C">
        <w:rPr>
          <w:rFonts w:ascii="Arial" w:hAnsi="Arial" w:cs="Arial"/>
          <w:i/>
          <w:iCs/>
          <w:sz w:val="22"/>
          <w:szCs w:val="22"/>
        </w:rPr>
        <w:t>SLM Working Paper Series</w:t>
      </w:r>
      <w:r w:rsidRPr="00114717">
        <w:rPr>
          <w:rFonts w:ascii="Arial" w:hAnsi="Arial" w:cs="Arial"/>
          <w:sz w:val="22"/>
          <w:szCs w:val="22"/>
        </w:rPr>
        <w:t>. Available at: https://slm.mba/ (Accessed: 10 July 2026).</w:t>
      </w:r>
    </w:p>
    <w:p w14:paraId="78D6B258" w14:textId="5B2B4EBB" w:rsidR="00271A67" w:rsidRPr="00114717" w:rsidRDefault="00271A67" w:rsidP="00114717">
      <w:pPr>
        <w:spacing w:line="360" w:lineRule="auto"/>
        <w:rPr>
          <w:rFonts w:ascii="Arial" w:hAnsi="Arial" w:cs="Arial"/>
          <w:sz w:val="22"/>
          <w:szCs w:val="22"/>
        </w:rPr>
      </w:pPr>
    </w:p>
    <w:sectPr w:rsidR="00271A67" w:rsidRPr="0011471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8D525" w14:textId="77777777" w:rsidR="00E34832" w:rsidRDefault="00E34832" w:rsidP="00C74C0A">
      <w:pPr>
        <w:spacing w:after="0" w:line="240" w:lineRule="auto"/>
      </w:pPr>
      <w:r>
        <w:separator/>
      </w:r>
    </w:p>
  </w:endnote>
  <w:endnote w:type="continuationSeparator" w:id="0">
    <w:p w14:paraId="01129C91" w14:textId="77777777" w:rsidR="00E34832" w:rsidRDefault="00E34832" w:rsidP="00C74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611020"/>
      <w:docPartObj>
        <w:docPartGallery w:val="Page Numbers (Bottom of Page)"/>
        <w:docPartUnique/>
      </w:docPartObj>
    </w:sdtPr>
    <w:sdtEndPr>
      <w:rPr>
        <w:noProof/>
      </w:rPr>
    </w:sdtEndPr>
    <w:sdtContent>
      <w:p w14:paraId="25B383F4" w14:textId="3021613D" w:rsidR="00C74C0A" w:rsidRDefault="00C74C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B8A0C" w14:textId="77777777" w:rsidR="00C74C0A" w:rsidRDefault="00C74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C528" w14:textId="77777777" w:rsidR="00E34832" w:rsidRDefault="00E34832" w:rsidP="00C74C0A">
      <w:pPr>
        <w:spacing w:after="0" w:line="240" w:lineRule="auto"/>
      </w:pPr>
      <w:r>
        <w:separator/>
      </w:r>
    </w:p>
  </w:footnote>
  <w:footnote w:type="continuationSeparator" w:id="0">
    <w:p w14:paraId="2EE9D2DA" w14:textId="77777777" w:rsidR="00E34832" w:rsidRDefault="00E34832" w:rsidP="00C74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862CE"/>
    <w:multiLevelType w:val="hybridMultilevel"/>
    <w:tmpl w:val="793464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18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67"/>
    <w:rsid w:val="000032A8"/>
    <w:rsid w:val="000232DF"/>
    <w:rsid w:val="00043529"/>
    <w:rsid w:val="000B761B"/>
    <w:rsid w:val="000C3673"/>
    <w:rsid w:val="000F01A5"/>
    <w:rsid w:val="0011069F"/>
    <w:rsid w:val="00114717"/>
    <w:rsid w:val="0015326C"/>
    <w:rsid w:val="001C73A5"/>
    <w:rsid w:val="001F23C5"/>
    <w:rsid w:val="002075B7"/>
    <w:rsid w:val="00271A67"/>
    <w:rsid w:val="002D4C3F"/>
    <w:rsid w:val="002D63D7"/>
    <w:rsid w:val="00315C32"/>
    <w:rsid w:val="00324110"/>
    <w:rsid w:val="00347B44"/>
    <w:rsid w:val="003D317F"/>
    <w:rsid w:val="003D755E"/>
    <w:rsid w:val="003F19F4"/>
    <w:rsid w:val="00414EEB"/>
    <w:rsid w:val="00451C1F"/>
    <w:rsid w:val="00481E14"/>
    <w:rsid w:val="00557743"/>
    <w:rsid w:val="00615198"/>
    <w:rsid w:val="0063024D"/>
    <w:rsid w:val="0066240C"/>
    <w:rsid w:val="00663E00"/>
    <w:rsid w:val="006A3AA0"/>
    <w:rsid w:val="008940DC"/>
    <w:rsid w:val="008E36DF"/>
    <w:rsid w:val="008F2BD1"/>
    <w:rsid w:val="00927B3C"/>
    <w:rsid w:val="00971224"/>
    <w:rsid w:val="00991924"/>
    <w:rsid w:val="009D5534"/>
    <w:rsid w:val="009D7483"/>
    <w:rsid w:val="00A05EE1"/>
    <w:rsid w:val="00A4212C"/>
    <w:rsid w:val="00AB07DB"/>
    <w:rsid w:val="00AB0D82"/>
    <w:rsid w:val="00AB28FF"/>
    <w:rsid w:val="00AD7927"/>
    <w:rsid w:val="00AE4EFD"/>
    <w:rsid w:val="00AF5EAF"/>
    <w:rsid w:val="00B10A2B"/>
    <w:rsid w:val="00B15820"/>
    <w:rsid w:val="00B26207"/>
    <w:rsid w:val="00B63D45"/>
    <w:rsid w:val="00BB0E3E"/>
    <w:rsid w:val="00BB7B62"/>
    <w:rsid w:val="00BD0282"/>
    <w:rsid w:val="00C04737"/>
    <w:rsid w:val="00C74C0A"/>
    <w:rsid w:val="00CB2BE6"/>
    <w:rsid w:val="00CE50CC"/>
    <w:rsid w:val="00D057E0"/>
    <w:rsid w:val="00D96DCE"/>
    <w:rsid w:val="00DC3AA2"/>
    <w:rsid w:val="00E11705"/>
    <w:rsid w:val="00E34832"/>
    <w:rsid w:val="00ED7E6C"/>
    <w:rsid w:val="00EE7178"/>
    <w:rsid w:val="00F01969"/>
    <w:rsid w:val="00F17FD4"/>
    <w:rsid w:val="00F56C5F"/>
    <w:rsid w:val="00F83510"/>
    <w:rsid w:val="00F96667"/>
    <w:rsid w:val="00FA4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A2D9"/>
  <w15:chartTrackingRefBased/>
  <w15:docId w15:val="{EEDA316F-B94F-44CA-BA99-B08D424D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1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1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A67"/>
    <w:rPr>
      <w:rFonts w:eastAsiaTheme="majorEastAsia" w:cstheme="majorBidi"/>
      <w:color w:val="272727" w:themeColor="text1" w:themeTint="D8"/>
    </w:rPr>
  </w:style>
  <w:style w:type="paragraph" w:styleId="Title">
    <w:name w:val="Title"/>
    <w:basedOn w:val="Normal"/>
    <w:next w:val="Normal"/>
    <w:link w:val="TitleChar"/>
    <w:uiPriority w:val="10"/>
    <w:qFormat/>
    <w:rsid w:val="00271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A67"/>
    <w:pPr>
      <w:spacing w:before="160"/>
      <w:jc w:val="center"/>
    </w:pPr>
    <w:rPr>
      <w:i/>
      <w:iCs/>
      <w:color w:val="404040" w:themeColor="text1" w:themeTint="BF"/>
    </w:rPr>
  </w:style>
  <w:style w:type="character" w:customStyle="1" w:styleId="QuoteChar">
    <w:name w:val="Quote Char"/>
    <w:basedOn w:val="DefaultParagraphFont"/>
    <w:link w:val="Quote"/>
    <w:uiPriority w:val="29"/>
    <w:rsid w:val="00271A67"/>
    <w:rPr>
      <w:i/>
      <w:iCs/>
      <w:color w:val="404040" w:themeColor="text1" w:themeTint="BF"/>
    </w:rPr>
  </w:style>
  <w:style w:type="paragraph" w:styleId="ListParagraph">
    <w:name w:val="List Paragraph"/>
    <w:basedOn w:val="Normal"/>
    <w:uiPriority w:val="34"/>
    <w:qFormat/>
    <w:rsid w:val="00271A67"/>
    <w:pPr>
      <w:ind w:left="720"/>
      <w:contextualSpacing/>
    </w:pPr>
  </w:style>
  <w:style w:type="character" w:styleId="IntenseEmphasis">
    <w:name w:val="Intense Emphasis"/>
    <w:basedOn w:val="DefaultParagraphFont"/>
    <w:uiPriority w:val="21"/>
    <w:qFormat/>
    <w:rsid w:val="00271A67"/>
    <w:rPr>
      <w:i/>
      <w:iCs/>
      <w:color w:val="0F4761" w:themeColor="accent1" w:themeShade="BF"/>
    </w:rPr>
  </w:style>
  <w:style w:type="paragraph" w:styleId="IntenseQuote">
    <w:name w:val="Intense Quote"/>
    <w:basedOn w:val="Normal"/>
    <w:next w:val="Normal"/>
    <w:link w:val="IntenseQuoteChar"/>
    <w:uiPriority w:val="30"/>
    <w:qFormat/>
    <w:rsid w:val="00271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A67"/>
    <w:rPr>
      <w:i/>
      <w:iCs/>
      <w:color w:val="0F4761" w:themeColor="accent1" w:themeShade="BF"/>
    </w:rPr>
  </w:style>
  <w:style w:type="character" w:styleId="IntenseReference">
    <w:name w:val="Intense Reference"/>
    <w:basedOn w:val="DefaultParagraphFont"/>
    <w:uiPriority w:val="32"/>
    <w:qFormat/>
    <w:rsid w:val="00271A67"/>
    <w:rPr>
      <w:b/>
      <w:bCs/>
      <w:smallCaps/>
      <w:color w:val="0F4761" w:themeColor="accent1" w:themeShade="BF"/>
      <w:spacing w:val="5"/>
    </w:rPr>
  </w:style>
  <w:style w:type="paragraph" w:styleId="Header">
    <w:name w:val="header"/>
    <w:basedOn w:val="Normal"/>
    <w:link w:val="HeaderChar"/>
    <w:uiPriority w:val="99"/>
    <w:unhideWhenUsed/>
    <w:rsid w:val="00C74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C0A"/>
  </w:style>
  <w:style w:type="paragraph" w:styleId="Footer">
    <w:name w:val="footer"/>
    <w:basedOn w:val="Normal"/>
    <w:link w:val="FooterChar"/>
    <w:uiPriority w:val="99"/>
    <w:unhideWhenUsed/>
    <w:rsid w:val="00C74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11</Pages>
  <Words>2768</Words>
  <Characters>15781</Characters>
  <Application>Microsoft Office Word</Application>
  <DocSecurity>0</DocSecurity>
  <Lines>131</Lines>
  <Paragraphs>37</Paragraphs>
  <ScaleCrop>false</ScaleCrop>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Nechifor (2245145)</dc:creator>
  <cp:keywords/>
  <dc:description/>
  <cp:lastModifiedBy>Dumitru Nechifor (2245145)</cp:lastModifiedBy>
  <cp:revision>68</cp:revision>
  <dcterms:created xsi:type="dcterms:W3CDTF">2026-07-12T08:09:00Z</dcterms:created>
  <dcterms:modified xsi:type="dcterms:W3CDTF">2026-07-12T09:21:00Z</dcterms:modified>
</cp:coreProperties>
</file>