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5AB116" w14:textId="77777777" w:rsidR="00665D11" w:rsidRPr="00665D11" w:rsidRDefault="00665D11" w:rsidP="00C01AF2">
      <w:pPr>
        <w:jc w:val="center"/>
        <w:rPr>
          <w:b/>
          <w:sz w:val="32"/>
        </w:rPr>
      </w:pPr>
      <w:r w:rsidRPr="00665D11">
        <w:rPr>
          <w:b/>
          <w:sz w:val="32"/>
        </w:rPr>
        <w:t>HPHI6009 Identity and Myth: The Normans and their World</w:t>
      </w:r>
    </w:p>
    <w:p w14:paraId="29489453" w14:textId="77777777" w:rsidR="00665D11" w:rsidRPr="00665D11" w:rsidRDefault="00665D11" w:rsidP="00C01AF2">
      <w:pPr>
        <w:jc w:val="center"/>
        <w:rPr>
          <w:b/>
          <w:sz w:val="32"/>
        </w:rPr>
      </w:pPr>
      <w:r w:rsidRPr="00665D11">
        <w:rPr>
          <w:b/>
          <w:sz w:val="32"/>
        </w:rPr>
        <w:t>Essay</w:t>
      </w:r>
    </w:p>
    <w:p w14:paraId="606F0D3E" w14:textId="77777777" w:rsidR="00963C7E" w:rsidRDefault="00C01AF2" w:rsidP="00C01AF2">
      <w:pPr>
        <w:jc w:val="center"/>
        <w:rPr>
          <w:sz w:val="28"/>
        </w:rPr>
      </w:pPr>
      <w:r w:rsidRPr="00C01AF2">
        <w:rPr>
          <w:sz w:val="28"/>
        </w:rPr>
        <w:t>How useful is the Bayeux Tapestry as a source for the events surrounding the Norman invasion of England?</w:t>
      </w:r>
    </w:p>
    <w:p w14:paraId="1F5BDC3E" w14:textId="77777777" w:rsidR="00D47C79" w:rsidRDefault="00D47C79" w:rsidP="00665D11">
      <w:pPr>
        <w:rPr>
          <w:sz w:val="24"/>
        </w:rPr>
      </w:pPr>
    </w:p>
    <w:p w14:paraId="221CEC66" w14:textId="15EC6B4B" w:rsidR="00665D11" w:rsidRDefault="00D47C79" w:rsidP="00665D11">
      <w:pPr>
        <w:rPr>
          <w:sz w:val="24"/>
        </w:rPr>
      </w:pPr>
      <w:r>
        <w:rPr>
          <w:sz w:val="24"/>
        </w:rPr>
        <w:t xml:space="preserve">Within this essay, it will be discussed the usefulness of the Bayeux Tapestry as a </w:t>
      </w:r>
      <w:r w:rsidR="00AB4CF5">
        <w:rPr>
          <w:sz w:val="24"/>
        </w:rPr>
        <w:t>primary source</w:t>
      </w:r>
      <w:r>
        <w:rPr>
          <w:sz w:val="24"/>
        </w:rPr>
        <w:t xml:space="preserve"> for the events surrounding the Norman invasion of England in 1066. While the tapestry is useful in depicting key events it also has its problems such as very little written on it as well as the purpose of the tapestry</w:t>
      </w:r>
      <w:r w:rsidR="00662EA2">
        <w:rPr>
          <w:sz w:val="24"/>
        </w:rPr>
        <w:t xml:space="preserve"> that is debated</w:t>
      </w:r>
      <w:r>
        <w:rPr>
          <w:sz w:val="24"/>
        </w:rPr>
        <w:t>. Other sources such as William of Malmesbury will be compared to the Tapestry to determine which is the more useful.</w:t>
      </w:r>
    </w:p>
    <w:p w14:paraId="4AA5CF88" w14:textId="77777777" w:rsidR="00F72FA7" w:rsidRDefault="00F72FA7" w:rsidP="00665D11">
      <w:pPr>
        <w:rPr>
          <w:sz w:val="24"/>
        </w:rPr>
      </w:pPr>
    </w:p>
    <w:p w14:paraId="56178360" w14:textId="6040291D" w:rsidR="00D47C79" w:rsidRDefault="00267DEB" w:rsidP="00665D11">
      <w:pPr>
        <w:rPr>
          <w:sz w:val="24"/>
        </w:rPr>
      </w:pPr>
      <w:r w:rsidRPr="00267DEB">
        <w:rPr>
          <w:sz w:val="24"/>
        </w:rPr>
        <w:t xml:space="preserve">The tapestry is useful due </w:t>
      </w:r>
      <w:r>
        <w:rPr>
          <w:sz w:val="24"/>
        </w:rPr>
        <w:t>t</w:t>
      </w:r>
      <w:r w:rsidR="001413A8">
        <w:rPr>
          <w:sz w:val="24"/>
        </w:rPr>
        <w:t xml:space="preserve">o </w:t>
      </w:r>
      <w:r>
        <w:rPr>
          <w:sz w:val="24"/>
        </w:rPr>
        <w:t xml:space="preserve">the fact that it </w:t>
      </w:r>
      <w:r w:rsidR="001413A8">
        <w:rPr>
          <w:sz w:val="24"/>
        </w:rPr>
        <w:t xml:space="preserve">not </w:t>
      </w:r>
      <w:r>
        <w:rPr>
          <w:sz w:val="24"/>
        </w:rPr>
        <w:t>only</w:t>
      </w:r>
      <w:r w:rsidR="001413A8">
        <w:rPr>
          <w:sz w:val="24"/>
        </w:rPr>
        <w:t xml:space="preserve"> depic</w:t>
      </w:r>
      <w:r>
        <w:rPr>
          <w:sz w:val="24"/>
        </w:rPr>
        <w:t>ts</w:t>
      </w:r>
      <w:r w:rsidR="001413A8">
        <w:rPr>
          <w:sz w:val="24"/>
        </w:rPr>
        <w:t xml:space="preserve"> the events of the battle of Hastings where William defeated Harold for the throne of England</w:t>
      </w:r>
      <w:r>
        <w:rPr>
          <w:sz w:val="24"/>
        </w:rPr>
        <w:t>.</w:t>
      </w:r>
      <w:r w:rsidR="009E009F">
        <w:rPr>
          <w:rStyle w:val="FootnoteReference"/>
          <w:sz w:val="24"/>
        </w:rPr>
        <w:footnoteReference w:id="1"/>
      </w:r>
      <w:r>
        <w:rPr>
          <w:sz w:val="24"/>
        </w:rPr>
        <w:t xml:space="preserve"> The tapestry also depicts the events leading up to William’s invasion and gives justification to the invasion. This is done by depicting Harold as subservient to William, due to William awarding Harold arms won from battle and also depicting Harold as swearing an oath to William upon relics.</w:t>
      </w:r>
      <w:r w:rsidR="009E009F">
        <w:rPr>
          <w:rStyle w:val="FootnoteReference"/>
          <w:sz w:val="24"/>
        </w:rPr>
        <w:footnoteReference w:id="2"/>
      </w:r>
      <w:r>
        <w:rPr>
          <w:sz w:val="24"/>
        </w:rPr>
        <w:t xml:space="preserve"> This is believed to be Harold promising to support William’s bid for the English crown. However, t</w:t>
      </w:r>
      <w:r w:rsidR="00D47C79">
        <w:rPr>
          <w:sz w:val="24"/>
        </w:rPr>
        <w:t xml:space="preserve">he tapestry has </w:t>
      </w:r>
      <w:r>
        <w:rPr>
          <w:sz w:val="24"/>
        </w:rPr>
        <w:t xml:space="preserve">its </w:t>
      </w:r>
      <w:r w:rsidR="00D47C79">
        <w:rPr>
          <w:sz w:val="24"/>
        </w:rPr>
        <w:t>problems</w:t>
      </w:r>
      <w:r>
        <w:rPr>
          <w:sz w:val="24"/>
        </w:rPr>
        <w:t xml:space="preserve"> with its usefulness.</w:t>
      </w:r>
      <w:r w:rsidR="00D47C79">
        <w:rPr>
          <w:sz w:val="24"/>
        </w:rPr>
        <w:t xml:space="preserve"> </w:t>
      </w:r>
      <w:r>
        <w:rPr>
          <w:sz w:val="24"/>
        </w:rPr>
        <w:t>Firstly,</w:t>
      </w:r>
      <w:r w:rsidR="00D47C79">
        <w:rPr>
          <w:sz w:val="24"/>
        </w:rPr>
        <w:t xml:space="preserve"> due to it being unknown who commissioned and created it. There are four leading people who are often referenced with having commissioned it</w:t>
      </w:r>
      <w:r w:rsidR="008217A2">
        <w:rPr>
          <w:sz w:val="24"/>
        </w:rPr>
        <w:t>: such as William the Conquer</w:t>
      </w:r>
      <w:r w:rsidR="00662EA2">
        <w:rPr>
          <w:sz w:val="24"/>
        </w:rPr>
        <w:t>or</w:t>
      </w:r>
      <w:r w:rsidR="008217A2">
        <w:rPr>
          <w:sz w:val="24"/>
        </w:rPr>
        <w:t>; his wife Queen Matilda; Bishop Odo of Bayeux, William’s half brother or Edith of Wessex, Harold Godwinson’s sister and widow of Edward the Confessor. It is considered that Odo is the most likely to have commissioned it due to the tapestry being found in Bayeux, which he was the bishop of, historians such as Clanchy and Stenton agree with him being the commissioner</w:t>
      </w:r>
      <w:r w:rsidR="0095492A">
        <w:rPr>
          <w:sz w:val="24"/>
        </w:rPr>
        <w:t>.</w:t>
      </w:r>
      <w:r w:rsidR="0095492A">
        <w:rPr>
          <w:rStyle w:val="FootnoteReference"/>
          <w:sz w:val="24"/>
        </w:rPr>
        <w:footnoteReference w:id="3"/>
      </w:r>
      <w:r w:rsidR="0095492A">
        <w:rPr>
          <w:sz w:val="24"/>
        </w:rPr>
        <w:t xml:space="preserve"> </w:t>
      </w:r>
      <w:r w:rsidR="0095492A">
        <w:rPr>
          <w:rStyle w:val="FootnoteReference"/>
          <w:sz w:val="24"/>
        </w:rPr>
        <w:footnoteReference w:id="4"/>
      </w:r>
      <w:r w:rsidR="008217A2">
        <w:rPr>
          <w:sz w:val="24"/>
        </w:rPr>
        <w:t xml:space="preserve"> Wilson and Coatsworth both believe that Queen Matilda commissioned </w:t>
      </w:r>
      <w:r w:rsidR="0095492A">
        <w:rPr>
          <w:sz w:val="24"/>
        </w:rPr>
        <w:t>the tapestry due to her wanting to commemorate William’s victory.</w:t>
      </w:r>
      <w:r w:rsidR="0095492A">
        <w:rPr>
          <w:rStyle w:val="FootnoteReference"/>
          <w:sz w:val="24"/>
        </w:rPr>
        <w:footnoteReference w:id="5"/>
      </w:r>
      <w:r w:rsidR="00E048ED">
        <w:rPr>
          <w:sz w:val="24"/>
        </w:rPr>
        <w:t xml:space="preserve"> </w:t>
      </w:r>
      <w:r w:rsidR="00E048ED">
        <w:rPr>
          <w:rStyle w:val="FootnoteReference"/>
          <w:sz w:val="24"/>
        </w:rPr>
        <w:footnoteReference w:id="6"/>
      </w:r>
      <w:r w:rsidR="0095492A">
        <w:rPr>
          <w:sz w:val="24"/>
        </w:rPr>
        <w:t xml:space="preserve"> More recently the art historian, Hicks has argued that it was perhaps Edith in an attempt to gain favour in the new Norman court,</w:t>
      </w:r>
      <w:r w:rsidR="0095492A">
        <w:rPr>
          <w:rStyle w:val="FootnoteReference"/>
          <w:sz w:val="24"/>
        </w:rPr>
        <w:footnoteReference w:id="7"/>
      </w:r>
      <w:r w:rsidR="0095492A">
        <w:rPr>
          <w:sz w:val="24"/>
        </w:rPr>
        <w:t xml:space="preserve"> were most of the English aristocracy had been</w:t>
      </w:r>
      <w:r w:rsidR="00662EA2">
        <w:rPr>
          <w:sz w:val="24"/>
        </w:rPr>
        <w:t xml:space="preserve"> previously</w:t>
      </w:r>
      <w:r w:rsidR="0095492A">
        <w:rPr>
          <w:sz w:val="24"/>
        </w:rPr>
        <w:t xml:space="preserve"> decimated.</w:t>
      </w:r>
      <w:r w:rsidR="0095492A">
        <w:rPr>
          <w:rStyle w:val="FootnoteReference"/>
          <w:sz w:val="24"/>
        </w:rPr>
        <w:footnoteReference w:id="8"/>
      </w:r>
      <w:r w:rsidR="0095492A">
        <w:rPr>
          <w:sz w:val="24"/>
        </w:rPr>
        <w:t xml:space="preserve"> Arguably the most likely is Odo due to his followers found in the Doomsday book having been depicted upon the tapestry.</w:t>
      </w:r>
      <w:r w:rsidR="00F36186">
        <w:rPr>
          <w:rStyle w:val="FootnoteReference"/>
          <w:sz w:val="24"/>
        </w:rPr>
        <w:footnoteReference w:id="9"/>
      </w:r>
      <w:r w:rsidR="0095492A">
        <w:rPr>
          <w:sz w:val="24"/>
        </w:rPr>
        <w:t xml:space="preserve"> Also due to it being found in Bayeux Cathedral</w:t>
      </w:r>
      <w:r w:rsidR="00D86DE1">
        <w:rPr>
          <w:sz w:val="24"/>
        </w:rPr>
        <w:t xml:space="preserve">, which attributes to the Tapestry being commissioned in 1070s and eventually completed in 1077, thus it being </w:t>
      </w:r>
      <w:r w:rsidR="00D86DE1">
        <w:rPr>
          <w:sz w:val="24"/>
        </w:rPr>
        <w:lastRenderedPageBreak/>
        <w:t>completed for the dedication of the Cathedral.</w:t>
      </w:r>
      <w:r w:rsidR="00D86DE1">
        <w:rPr>
          <w:rStyle w:val="FootnoteReference"/>
          <w:sz w:val="24"/>
        </w:rPr>
        <w:footnoteReference w:id="10"/>
      </w:r>
      <w:r>
        <w:rPr>
          <w:sz w:val="24"/>
        </w:rPr>
        <w:t xml:space="preserve"> </w:t>
      </w:r>
      <w:r w:rsidR="009E009F">
        <w:rPr>
          <w:sz w:val="24"/>
        </w:rPr>
        <w:t>Bridgeford argues the purpose of the tapestry, he believes that the tapestry was English propaganda, thus used to potentially threaten the Norman rule of England in an attempt to stir rebellion against William and the Normans.</w:t>
      </w:r>
      <w:r w:rsidR="009E009F">
        <w:rPr>
          <w:rStyle w:val="FootnoteReference"/>
          <w:sz w:val="24"/>
        </w:rPr>
        <w:footnoteReference w:id="11"/>
      </w:r>
      <w:r w:rsidR="009E009F">
        <w:rPr>
          <w:sz w:val="24"/>
        </w:rPr>
        <w:t xml:space="preserve">  While this claim has some merit, what he suggests would have been expected more from the Normans rather tha</w:t>
      </w:r>
      <w:r w:rsidR="00662EA2">
        <w:rPr>
          <w:sz w:val="24"/>
        </w:rPr>
        <w:t>n</w:t>
      </w:r>
      <w:r w:rsidR="009E009F">
        <w:rPr>
          <w:sz w:val="24"/>
        </w:rPr>
        <w:t xml:space="preserve"> against</w:t>
      </w:r>
      <w:r w:rsidR="00662EA2">
        <w:rPr>
          <w:sz w:val="24"/>
        </w:rPr>
        <w:t xml:space="preserve"> the</w:t>
      </w:r>
      <w:r w:rsidR="009E009F">
        <w:rPr>
          <w:sz w:val="24"/>
        </w:rPr>
        <w:t xml:space="preserve"> Norman rule due to them using underhand and sneaky tactics in order to gain the upper hand. Such as during the </w:t>
      </w:r>
      <w:r w:rsidR="00662EA2">
        <w:rPr>
          <w:sz w:val="24"/>
        </w:rPr>
        <w:t>B</w:t>
      </w:r>
      <w:r w:rsidR="009E009F">
        <w:rPr>
          <w:sz w:val="24"/>
        </w:rPr>
        <w:t xml:space="preserve">attle of Hastings it appeared that the Normans were retreating but instead were using </w:t>
      </w:r>
      <w:r w:rsidR="00232FE1">
        <w:rPr>
          <w:sz w:val="24"/>
        </w:rPr>
        <w:t>tactics</w:t>
      </w:r>
      <w:r w:rsidR="009E009F">
        <w:rPr>
          <w:sz w:val="24"/>
        </w:rPr>
        <w:t xml:space="preserve"> to break the Anglo-Saxon shield wall</w:t>
      </w:r>
      <w:r w:rsidR="00232FE1">
        <w:rPr>
          <w:sz w:val="24"/>
        </w:rPr>
        <w:t>.</w:t>
      </w:r>
      <w:r w:rsidR="00842E14">
        <w:rPr>
          <w:rStyle w:val="FootnoteReference"/>
          <w:sz w:val="24"/>
        </w:rPr>
        <w:footnoteReference w:id="12"/>
      </w:r>
      <w:r w:rsidR="00166A5C">
        <w:rPr>
          <w:sz w:val="24"/>
        </w:rPr>
        <w:t xml:space="preserve"> While this is a useful source for information regarding the Norman Invasion it was supposedly created by a Norman resulting in it being filled with bias and justification for the validity of Norman rule.</w:t>
      </w:r>
    </w:p>
    <w:p w14:paraId="46C0F403" w14:textId="77777777" w:rsidR="0095492A" w:rsidRDefault="0095492A" w:rsidP="00665D11">
      <w:pPr>
        <w:rPr>
          <w:sz w:val="24"/>
        </w:rPr>
      </w:pPr>
    </w:p>
    <w:p w14:paraId="735DE72F" w14:textId="21BD156E" w:rsidR="006715FD" w:rsidRPr="00166A5C" w:rsidRDefault="00166A5C" w:rsidP="00665D11">
      <w:pPr>
        <w:rPr>
          <w:sz w:val="24"/>
        </w:rPr>
      </w:pPr>
      <w:r>
        <w:rPr>
          <w:sz w:val="24"/>
        </w:rPr>
        <w:t xml:space="preserve">Another source that can be useful regarding the events of the Norman invasion is the </w:t>
      </w:r>
      <w:r w:rsidR="0095492A" w:rsidRPr="00166A5C">
        <w:rPr>
          <w:i/>
          <w:sz w:val="24"/>
        </w:rPr>
        <w:t>Carmen de Hastingae Proelio</w:t>
      </w:r>
      <w:r>
        <w:rPr>
          <w:i/>
          <w:sz w:val="24"/>
        </w:rPr>
        <w:t xml:space="preserve"> </w:t>
      </w:r>
      <w:r>
        <w:rPr>
          <w:sz w:val="24"/>
        </w:rPr>
        <w:t>which translates into the Song of the Battle of Hastings</w:t>
      </w:r>
      <w:r w:rsidR="00FE4D1F">
        <w:rPr>
          <w:sz w:val="24"/>
        </w:rPr>
        <w:t>.</w:t>
      </w:r>
      <w:r w:rsidR="00C661B9">
        <w:rPr>
          <w:rStyle w:val="FootnoteReference"/>
          <w:sz w:val="24"/>
        </w:rPr>
        <w:footnoteReference w:id="13"/>
      </w:r>
      <w:r w:rsidR="00FE4D1F">
        <w:rPr>
          <w:sz w:val="24"/>
        </w:rPr>
        <w:t xml:space="preserve"> Its authorship is attributed to Guy, the Bishop of Amiens who was a part of William’s court and Orderic Vitalis writes of him composing a poem on the Battle of Hastings though none is known of.</w:t>
      </w:r>
      <w:r w:rsidR="00C661B9">
        <w:rPr>
          <w:rStyle w:val="FootnoteReference"/>
          <w:sz w:val="24"/>
        </w:rPr>
        <w:footnoteReference w:id="14"/>
      </w:r>
      <w:r w:rsidR="00FE4D1F">
        <w:rPr>
          <w:sz w:val="24"/>
        </w:rPr>
        <w:t xml:space="preserve"> It is believed</w:t>
      </w:r>
      <w:r w:rsidR="00662EA2">
        <w:rPr>
          <w:sz w:val="24"/>
        </w:rPr>
        <w:t xml:space="preserve"> to have</w:t>
      </w:r>
      <w:r w:rsidR="00FE4D1F">
        <w:rPr>
          <w:sz w:val="24"/>
        </w:rPr>
        <w:t xml:space="preserve"> been completed sometime between March 1067 and May 1068. These dates are argued due to Guy accompanying Matilda to England in 1068, but due to the sympathetic angle towards Eustace, the Count of Boulogne it suggests the earlier date of 1067</w:t>
      </w:r>
      <w:r w:rsidR="00662EA2">
        <w:rPr>
          <w:sz w:val="24"/>
        </w:rPr>
        <w:t>. As</w:t>
      </w:r>
      <w:r w:rsidR="0043309A">
        <w:rPr>
          <w:sz w:val="24"/>
        </w:rPr>
        <w:t xml:space="preserve"> to around six months after the battle, Eustace fell from favour due to an attempt to invade Kent, causing estrangement from William.</w:t>
      </w:r>
      <w:r w:rsidR="00C661B9">
        <w:rPr>
          <w:rStyle w:val="FootnoteReference"/>
          <w:sz w:val="24"/>
        </w:rPr>
        <w:footnoteReference w:id="15"/>
      </w:r>
      <w:r w:rsidR="0043309A">
        <w:rPr>
          <w:sz w:val="24"/>
        </w:rPr>
        <w:t xml:space="preserve"> If these dates are to be believed, it would predate all other works on the battle such as William of </w:t>
      </w:r>
      <w:r w:rsidR="0043309A" w:rsidRPr="0043309A">
        <w:rPr>
          <w:sz w:val="24"/>
        </w:rPr>
        <w:t>Jumièges</w:t>
      </w:r>
      <w:r w:rsidR="0043309A">
        <w:rPr>
          <w:sz w:val="24"/>
        </w:rPr>
        <w:t xml:space="preserve"> and William of Poitiers whose works dates between five and ten years after the events took place. The account differentiates from William of Poitiers</w:t>
      </w:r>
      <w:r w:rsidR="006715FD">
        <w:rPr>
          <w:sz w:val="24"/>
        </w:rPr>
        <w:t xml:space="preserve"> account for example, if William loses two horses in battle in the Carmen, in William of Poitiers account would say that William the Conquer</w:t>
      </w:r>
      <w:r w:rsidR="00EC5093">
        <w:rPr>
          <w:sz w:val="24"/>
        </w:rPr>
        <w:t>or</w:t>
      </w:r>
      <w:r w:rsidR="006715FD">
        <w:rPr>
          <w:sz w:val="24"/>
        </w:rPr>
        <w:t xml:space="preserve"> had lost three.</w:t>
      </w:r>
      <w:r w:rsidR="00C661B9">
        <w:rPr>
          <w:rStyle w:val="FootnoteReference"/>
          <w:sz w:val="24"/>
        </w:rPr>
        <w:footnoteReference w:id="16"/>
      </w:r>
      <w:r w:rsidR="006715FD">
        <w:rPr>
          <w:sz w:val="24"/>
        </w:rPr>
        <w:t xml:space="preserve"> If the Carmen depended on William’s account it would not make sense for the Carmen to downplay the duke’s conquest due to him stating that he wants ‘to preserve the memory of his achievements throughout the ages’, which leaves the belief that that William of Poitiers draws from the Carmen </w:t>
      </w:r>
      <w:r w:rsidR="00EA1561">
        <w:rPr>
          <w:sz w:val="24"/>
        </w:rPr>
        <w:t>as a possible source. The Carmen is useful</w:t>
      </w:r>
      <w:r w:rsidR="0038361F">
        <w:rPr>
          <w:sz w:val="24"/>
        </w:rPr>
        <w:t xml:space="preserve"> due to it being the only account that explains how Harold managed to gain possession of Battle Hill allowing for the tactical advantage for the Anglo – Saxons. It also describes the death of Harold stating that his death was not from the arrow which blinded him as depicted in the Bayeux tapestry, but instead dismember</w:t>
      </w:r>
      <w:r w:rsidR="00EC5093">
        <w:rPr>
          <w:sz w:val="24"/>
        </w:rPr>
        <w:t>ment</w:t>
      </w:r>
      <w:r w:rsidR="0038361F">
        <w:rPr>
          <w:sz w:val="24"/>
        </w:rPr>
        <w:t>.</w:t>
      </w:r>
      <w:r w:rsidR="00C661B9">
        <w:rPr>
          <w:rStyle w:val="FootnoteReference"/>
          <w:sz w:val="24"/>
        </w:rPr>
        <w:footnoteReference w:id="17"/>
      </w:r>
      <w:r w:rsidR="0038361F">
        <w:rPr>
          <w:sz w:val="24"/>
        </w:rPr>
        <w:t xml:space="preserve"> Harold’s mother offers a ransom of his bod</w:t>
      </w:r>
      <w:r w:rsidR="00AE3229">
        <w:rPr>
          <w:sz w:val="24"/>
        </w:rPr>
        <w:t xml:space="preserve">y’s weight in gold, the Carmen states that </w:t>
      </w:r>
      <w:r w:rsidR="00EC5093">
        <w:rPr>
          <w:sz w:val="24"/>
        </w:rPr>
        <w:t>Duke William</w:t>
      </w:r>
      <w:r w:rsidR="00AE3229">
        <w:rPr>
          <w:sz w:val="24"/>
        </w:rPr>
        <w:t xml:space="preserve"> </w:t>
      </w:r>
      <w:r w:rsidR="00AE3229">
        <w:rPr>
          <w:sz w:val="24"/>
        </w:rPr>
        <w:lastRenderedPageBreak/>
        <w:t>refused and commanded that Harold’s corpse be buried on the summit of a cliff after being wrapped in purple linen which was considered a pagan practise.</w:t>
      </w:r>
      <w:r w:rsidR="00C661B9">
        <w:rPr>
          <w:rStyle w:val="FootnoteReference"/>
          <w:sz w:val="24"/>
        </w:rPr>
        <w:footnoteReference w:id="18"/>
      </w:r>
      <w:r w:rsidR="00AE3229">
        <w:rPr>
          <w:sz w:val="24"/>
        </w:rPr>
        <w:t xml:space="preserve"> The problems with the Carmen are that the only copy of the manuscript dates from 1100 and was left undiscovered until 1826.</w:t>
      </w:r>
      <w:r w:rsidR="00C661B9">
        <w:rPr>
          <w:rStyle w:val="FootnoteReference"/>
          <w:sz w:val="24"/>
        </w:rPr>
        <w:footnoteReference w:id="19"/>
      </w:r>
      <w:r w:rsidR="00AE3229">
        <w:rPr>
          <w:sz w:val="24"/>
        </w:rPr>
        <w:t xml:space="preserve">  There is only one copy that has been found</w:t>
      </w:r>
      <w:r w:rsidR="00C661B9">
        <w:rPr>
          <w:sz w:val="24"/>
        </w:rPr>
        <w:t xml:space="preserve"> and most accounts of the </w:t>
      </w:r>
      <w:r w:rsidR="00EC5093">
        <w:rPr>
          <w:sz w:val="24"/>
        </w:rPr>
        <w:t>B</w:t>
      </w:r>
      <w:r w:rsidR="00C661B9">
        <w:rPr>
          <w:sz w:val="24"/>
        </w:rPr>
        <w:t xml:space="preserve">attle of Hastings come from William of Poitiers </w:t>
      </w:r>
      <w:r w:rsidR="00EC5093">
        <w:rPr>
          <w:sz w:val="24"/>
        </w:rPr>
        <w:t>account</w:t>
      </w:r>
      <w:r w:rsidR="00C661B9">
        <w:rPr>
          <w:sz w:val="24"/>
        </w:rPr>
        <w:t>.</w:t>
      </w:r>
      <w:r w:rsidR="00071BDC">
        <w:rPr>
          <w:sz w:val="24"/>
        </w:rPr>
        <w:t xml:space="preserve"> </w:t>
      </w:r>
      <w:r w:rsidR="007726D2">
        <w:rPr>
          <w:sz w:val="24"/>
        </w:rPr>
        <w:t xml:space="preserve">While the source is useful in viewing a different account of the Norman invasion, due to it possibly dating months after the </w:t>
      </w:r>
      <w:r w:rsidR="00EC5093">
        <w:rPr>
          <w:sz w:val="24"/>
        </w:rPr>
        <w:t>B</w:t>
      </w:r>
      <w:r w:rsidR="007726D2">
        <w:rPr>
          <w:sz w:val="24"/>
        </w:rPr>
        <w:t>attle of Hastings, it also has its problems due to there being only one copy in existence.</w:t>
      </w:r>
    </w:p>
    <w:p w14:paraId="747AFCF1" w14:textId="77777777" w:rsidR="00F72FA7" w:rsidRDefault="00F72FA7" w:rsidP="00665D11">
      <w:pPr>
        <w:rPr>
          <w:sz w:val="24"/>
        </w:rPr>
      </w:pPr>
    </w:p>
    <w:p w14:paraId="2D46A7F5" w14:textId="4F021675" w:rsidR="00F72FA7" w:rsidRDefault="00662468" w:rsidP="00D8295C">
      <w:pPr>
        <w:rPr>
          <w:sz w:val="24"/>
        </w:rPr>
      </w:pPr>
      <w:r>
        <w:rPr>
          <w:sz w:val="24"/>
        </w:rPr>
        <w:t xml:space="preserve">Another source </w:t>
      </w:r>
      <w:r w:rsidR="00A24520">
        <w:rPr>
          <w:sz w:val="24"/>
        </w:rPr>
        <w:t xml:space="preserve">that is useful regarding the events surrounding the Norman invasion is </w:t>
      </w:r>
      <w:r w:rsidR="00F72FA7">
        <w:rPr>
          <w:sz w:val="24"/>
        </w:rPr>
        <w:t>William of Mal</w:t>
      </w:r>
      <w:r w:rsidR="000E5237">
        <w:rPr>
          <w:sz w:val="24"/>
        </w:rPr>
        <w:t>m</w:t>
      </w:r>
      <w:r w:rsidR="00F72FA7">
        <w:rPr>
          <w:sz w:val="24"/>
        </w:rPr>
        <w:t>esbury</w:t>
      </w:r>
      <w:r w:rsidR="00A24520">
        <w:rPr>
          <w:sz w:val="24"/>
        </w:rPr>
        <w:t xml:space="preserve"> and his </w:t>
      </w:r>
      <w:r w:rsidR="00A24520" w:rsidRPr="00EC5093">
        <w:rPr>
          <w:i/>
          <w:sz w:val="24"/>
        </w:rPr>
        <w:t>Gesta Regum Anglorum</w:t>
      </w:r>
      <w:r w:rsidR="00155035">
        <w:rPr>
          <w:sz w:val="24"/>
        </w:rPr>
        <w:t>. Which was written in the early 12</w:t>
      </w:r>
      <w:r w:rsidR="00155035" w:rsidRPr="00155035">
        <w:rPr>
          <w:sz w:val="24"/>
          <w:vertAlign w:val="superscript"/>
        </w:rPr>
        <w:t>th</w:t>
      </w:r>
      <w:r w:rsidR="00155035">
        <w:rPr>
          <w:sz w:val="24"/>
        </w:rPr>
        <w:t xml:space="preserve"> century and com</w:t>
      </w:r>
      <w:r w:rsidR="00F542D0">
        <w:rPr>
          <w:sz w:val="24"/>
        </w:rPr>
        <w:t>pleted in 1125 under the reign of King Stephen.</w:t>
      </w:r>
      <w:r w:rsidR="00D8295C">
        <w:rPr>
          <w:rStyle w:val="FootnoteReference"/>
          <w:sz w:val="24"/>
        </w:rPr>
        <w:footnoteReference w:id="20"/>
      </w:r>
      <w:r w:rsidR="00F542D0">
        <w:rPr>
          <w:sz w:val="24"/>
        </w:rPr>
        <w:t xml:space="preserve">  </w:t>
      </w:r>
      <w:r w:rsidR="006116DC">
        <w:rPr>
          <w:sz w:val="24"/>
        </w:rPr>
        <w:t>William was born around 1095 to 1096, he spent his adult life as a monk, a member of Malmesbury Abbey which is located in Wiltshire, England.</w:t>
      </w:r>
      <w:r w:rsidR="00D8295C">
        <w:rPr>
          <w:rStyle w:val="FootnoteReference"/>
          <w:sz w:val="24"/>
        </w:rPr>
        <w:footnoteReference w:id="21"/>
      </w:r>
      <w:r w:rsidR="006116DC">
        <w:rPr>
          <w:sz w:val="24"/>
        </w:rPr>
        <w:t xml:space="preserve"> William had an English mother and a Norman father, showing a fusion of the two peoples.</w:t>
      </w:r>
      <w:r w:rsidR="00D8295C">
        <w:rPr>
          <w:rStyle w:val="FootnoteReference"/>
          <w:sz w:val="24"/>
        </w:rPr>
        <w:footnoteReference w:id="22"/>
      </w:r>
      <w:r w:rsidR="006116DC">
        <w:rPr>
          <w:sz w:val="24"/>
        </w:rPr>
        <w:t xml:space="preserve"> Evidence shows that within his lifetime William of Malmesbury had access to at least four hundred different works written by over two hundred authors, showing William’s wide breadth of literary knowledge that he was able to obtain before he composed his work</w:t>
      </w:r>
      <w:r w:rsidR="00D8295C">
        <w:rPr>
          <w:sz w:val="24"/>
        </w:rPr>
        <w:t>.</w:t>
      </w:r>
      <w:r w:rsidR="00C9592B">
        <w:rPr>
          <w:rStyle w:val="FootnoteReference"/>
          <w:sz w:val="24"/>
        </w:rPr>
        <w:footnoteReference w:id="23"/>
      </w:r>
      <w:r w:rsidR="00D8295C">
        <w:rPr>
          <w:sz w:val="24"/>
        </w:rPr>
        <w:t xml:space="preserve"> During his studies at Malmesbury, he collected a number of medieval histories including the work of Bede.</w:t>
      </w:r>
      <w:r w:rsidR="00D8295C">
        <w:rPr>
          <w:rStyle w:val="FootnoteReference"/>
          <w:sz w:val="24"/>
        </w:rPr>
        <w:footnoteReference w:id="24"/>
      </w:r>
      <w:r w:rsidR="00D8295C">
        <w:rPr>
          <w:sz w:val="24"/>
        </w:rPr>
        <w:t xml:space="preserve"> He holds a large amount of respect for Bede as shown within the preface of his work, </w:t>
      </w:r>
      <w:r w:rsidR="00D8295C" w:rsidRPr="00BB5E0D">
        <w:rPr>
          <w:i/>
          <w:sz w:val="24"/>
        </w:rPr>
        <w:t>Gesta Regum Anglorum</w:t>
      </w:r>
      <w:r w:rsidR="00D8295C">
        <w:rPr>
          <w:sz w:val="24"/>
        </w:rPr>
        <w:t>, where he admits to his admiration for Bede.</w:t>
      </w:r>
      <w:r w:rsidR="00D8295C">
        <w:rPr>
          <w:rStyle w:val="FootnoteReference"/>
          <w:sz w:val="24"/>
        </w:rPr>
        <w:footnoteReference w:id="25"/>
      </w:r>
      <w:r w:rsidR="00D8295C">
        <w:rPr>
          <w:sz w:val="24"/>
        </w:rPr>
        <w:t xml:space="preserve"> Therefore, using him as inspiration to write his own works. However, William of Malmesbury manipulates the works of Bede by leaving out figures such as</w:t>
      </w:r>
      <w:r w:rsidR="00D8295C" w:rsidRPr="00D8295C">
        <w:rPr>
          <w:sz w:val="24"/>
        </w:rPr>
        <w:t xml:space="preserve"> Ælle</w:t>
      </w:r>
      <w:r w:rsidR="00D8295C">
        <w:rPr>
          <w:sz w:val="24"/>
        </w:rPr>
        <w:t xml:space="preserve"> </w:t>
      </w:r>
      <w:r w:rsidR="00D8295C" w:rsidRPr="00D8295C">
        <w:rPr>
          <w:sz w:val="24"/>
        </w:rPr>
        <w:t>of Sussex</w:t>
      </w:r>
      <w:r w:rsidR="00D8295C">
        <w:rPr>
          <w:sz w:val="24"/>
        </w:rPr>
        <w:t>, due to him believing that Sussex was an unimportant kingdom, this also could suggest that Bede</w:t>
      </w:r>
      <w:r w:rsidR="006573F0">
        <w:rPr>
          <w:sz w:val="24"/>
        </w:rPr>
        <w:t xml:space="preserve"> was</w:t>
      </w:r>
      <w:r w:rsidR="00D8295C">
        <w:rPr>
          <w:sz w:val="24"/>
        </w:rPr>
        <w:t xml:space="preserve"> misinterpreted</w:t>
      </w:r>
      <w:r w:rsidR="006573F0">
        <w:rPr>
          <w:sz w:val="24"/>
        </w:rPr>
        <w:t xml:space="preserve"> by William of Malmesbury</w:t>
      </w:r>
      <w:r w:rsidR="00D8295C">
        <w:rPr>
          <w:sz w:val="24"/>
        </w:rPr>
        <w:t xml:space="preserve"> due to their histories being </w:t>
      </w:r>
      <w:r w:rsidR="006573F0">
        <w:rPr>
          <w:sz w:val="24"/>
        </w:rPr>
        <w:t>unidentical.</w:t>
      </w:r>
      <w:r w:rsidR="006573F0">
        <w:rPr>
          <w:rStyle w:val="FootnoteReference"/>
          <w:sz w:val="24"/>
        </w:rPr>
        <w:footnoteReference w:id="26"/>
      </w:r>
      <w:r w:rsidR="006573F0">
        <w:rPr>
          <w:sz w:val="24"/>
        </w:rPr>
        <w:t xml:space="preserve">  William describes Edward the Confessor as having a ‘simplicity in character </w:t>
      </w:r>
      <w:r w:rsidR="00BB5E0D">
        <w:rPr>
          <w:sz w:val="24"/>
        </w:rPr>
        <w:t xml:space="preserve">that </w:t>
      </w:r>
      <w:r w:rsidR="006573F0">
        <w:rPr>
          <w:sz w:val="24"/>
        </w:rPr>
        <w:t>made him hardly fit to govern’ this shows that William does not think highly of Edward compared to William the Conquer</w:t>
      </w:r>
      <w:r w:rsidR="00BB5E0D">
        <w:rPr>
          <w:sz w:val="24"/>
        </w:rPr>
        <w:t>or</w:t>
      </w:r>
      <w:r w:rsidR="006573F0">
        <w:rPr>
          <w:sz w:val="24"/>
        </w:rPr>
        <w:t xml:space="preserve"> who he casts in a role appointed by God</w:t>
      </w:r>
      <w:r w:rsidR="008B38F7">
        <w:rPr>
          <w:sz w:val="24"/>
        </w:rPr>
        <w:t>, he also describes him as ‘majestic whether sitting or standing’. Thus, showing that William of Malmesbury had greater respect for William the Conquer</w:t>
      </w:r>
      <w:r w:rsidR="00BB5E0D">
        <w:rPr>
          <w:sz w:val="24"/>
        </w:rPr>
        <w:t>or</w:t>
      </w:r>
      <w:r w:rsidR="008B38F7">
        <w:rPr>
          <w:sz w:val="24"/>
        </w:rPr>
        <w:t xml:space="preserve">, the warrior appointed by God than Edward who was as he considered having a weak character but his only redeeming characteristic is his piety. Historians such as Hollister and Milton hold William of Malmesbury in high esteem and consider him to be one of the best </w:t>
      </w:r>
      <w:r w:rsidR="00BB5E0D">
        <w:rPr>
          <w:sz w:val="24"/>
        </w:rPr>
        <w:t>h</w:t>
      </w:r>
      <w:r w:rsidR="008B38F7">
        <w:rPr>
          <w:sz w:val="24"/>
        </w:rPr>
        <w:t>istorians of the 12</w:t>
      </w:r>
      <w:r w:rsidR="008B38F7" w:rsidRPr="008B38F7">
        <w:rPr>
          <w:sz w:val="24"/>
          <w:vertAlign w:val="superscript"/>
        </w:rPr>
        <w:t>th</w:t>
      </w:r>
      <w:r w:rsidR="008B38F7">
        <w:rPr>
          <w:sz w:val="24"/>
        </w:rPr>
        <w:t xml:space="preserve"> century due to his engaging and clear writing style, as well as his ability to produce strong documentations. While the problems regarding William is that he only translated other texts from old English to Latin. However, his work is considered invaluable as a contempor</w:t>
      </w:r>
      <w:r w:rsidR="002D7DD7">
        <w:rPr>
          <w:sz w:val="24"/>
        </w:rPr>
        <w:t>ar</w:t>
      </w:r>
      <w:r w:rsidR="008B38F7">
        <w:rPr>
          <w:sz w:val="24"/>
        </w:rPr>
        <w:t xml:space="preserve">y twelfth </w:t>
      </w:r>
      <w:r w:rsidR="002D7DD7">
        <w:rPr>
          <w:sz w:val="24"/>
        </w:rPr>
        <w:t xml:space="preserve">century historian, meaning he is used widely as a useful source of </w:t>
      </w:r>
      <w:r w:rsidR="002D7DD7">
        <w:rPr>
          <w:sz w:val="24"/>
        </w:rPr>
        <w:lastRenderedPageBreak/>
        <w:t>the events surrounding 1066.</w:t>
      </w:r>
      <w:r w:rsidR="002D7DD7">
        <w:rPr>
          <w:rStyle w:val="FootnoteReference"/>
          <w:sz w:val="24"/>
        </w:rPr>
        <w:footnoteReference w:id="27"/>
      </w:r>
      <w:r w:rsidR="002D7DD7">
        <w:rPr>
          <w:sz w:val="24"/>
        </w:rPr>
        <w:t xml:space="preserve"> However, </w:t>
      </w:r>
      <w:r w:rsidR="00BB5E0D">
        <w:rPr>
          <w:sz w:val="24"/>
        </w:rPr>
        <w:t>because</w:t>
      </w:r>
      <w:r w:rsidR="002D7DD7">
        <w:rPr>
          <w:sz w:val="24"/>
        </w:rPr>
        <w:t xml:space="preserve"> he</w:t>
      </w:r>
      <w:r w:rsidR="00BB5E0D">
        <w:rPr>
          <w:sz w:val="24"/>
        </w:rPr>
        <w:t xml:space="preserve"> does</w:t>
      </w:r>
      <w:r w:rsidR="002D7DD7">
        <w:rPr>
          <w:sz w:val="24"/>
        </w:rPr>
        <w:t xml:space="preserve"> not hav</w:t>
      </w:r>
      <w:r w:rsidR="00BB5E0D">
        <w:rPr>
          <w:sz w:val="24"/>
        </w:rPr>
        <w:t>e</w:t>
      </w:r>
      <w:r w:rsidR="002D7DD7">
        <w:rPr>
          <w:sz w:val="24"/>
        </w:rPr>
        <w:t xml:space="preserve"> a </w:t>
      </w:r>
      <w:r w:rsidR="00BB5E0D">
        <w:rPr>
          <w:sz w:val="24"/>
        </w:rPr>
        <w:t>first-hand</w:t>
      </w:r>
      <w:r w:rsidR="002D7DD7">
        <w:rPr>
          <w:sz w:val="24"/>
        </w:rPr>
        <w:t xml:space="preserve"> account but uses others works to write his </w:t>
      </w:r>
      <w:r w:rsidR="00BB5E0D">
        <w:rPr>
          <w:sz w:val="24"/>
        </w:rPr>
        <w:t>version</w:t>
      </w:r>
      <w:r w:rsidR="002D7DD7">
        <w:rPr>
          <w:sz w:val="24"/>
        </w:rPr>
        <w:t xml:space="preserve"> making his work have less merit and usefulness than the Bayeux Tapestry.</w:t>
      </w:r>
    </w:p>
    <w:p w14:paraId="0AA625F8" w14:textId="77777777" w:rsidR="00F72FA7" w:rsidRDefault="00F72FA7" w:rsidP="00665D11">
      <w:pPr>
        <w:rPr>
          <w:sz w:val="24"/>
        </w:rPr>
      </w:pPr>
    </w:p>
    <w:p w14:paraId="4BA96A4C" w14:textId="1BA63AB8" w:rsidR="00F72FA7" w:rsidRDefault="002D7DD7" w:rsidP="00665D11">
      <w:pPr>
        <w:rPr>
          <w:sz w:val="24"/>
        </w:rPr>
      </w:pPr>
      <w:r>
        <w:rPr>
          <w:sz w:val="24"/>
        </w:rPr>
        <w:t xml:space="preserve">Another account of the Norman invasion that can be used as a source is the work of </w:t>
      </w:r>
      <w:r w:rsidR="00F72FA7">
        <w:rPr>
          <w:sz w:val="24"/>
        </w:rPr>
        <w:t>William of Poitiers</w:t>
      </w:r>
      <w:r>
        <w:rPr>
          <w:sz w:val="24"/>
        </w:rPr>
        <w:t>. William of Poitier</w:t>
      </w:r>
      <w:r w:rsidR="00BB5E0D">
        <w:rPr>
          <w:sz w:val="24"/>
        </w:rPr>
        <w:t>s</w:t>
      </w:r>
      <w:r>
        <w:rPr>
          <w:sz w:val="24"/>
        </w:rPr>
        <w:t xml:space="preserve"> lived between 1020 and 1090, he was a Frankish priest originally from Normandy.</w:t>
      </w:r>
      <w:r w:rsidR="003344F9">
        <w:rPr>
          <w:rStyle w:val="FootnoteReference"/>
          <w:sz w:val="24"/>
        </w:rPr>
        <w:footnoteReference w:id="28"/>
      </w:r>
      <w:r>
        <w:rPr>
          <w:sz w:val="24"/>
        </w:rPr>
        <w:t xml:space="preserve"> William of Poitiers was the chap</w:t>
      </w:r>
      <w:r w:rsidR="00437BF2">
        <w:rPr>
          <w:sz w:val="24"/>
        </w:rPr>
        <w:t xml:space="preserve">lain of Duke William of Normandy, who he recorded the Norman conquest of England in his </w:t>
      </w:r>
      <w:r w:rsidR="00437BF2" w:rsidRPr="00437BF2">
        <w:rPr>
          <w:sz w:val="24"/>
        </w:rPr>
        <w:t>The Deeds of William, Duke of the Normans</w:t>
      </w:r>
      <w:r w:rsidR="00437BF2">
        <w:rPr>
          <w:sz w:val="24"/>
        </w:rPr>
        <w:t xml:space="preserve"> (</w:t>
      </w:r>
      <w:r w:rsidR="00437BF2" w:rsidRPr="00BB5E0D">
        <w:rPr>
          <w:i/>
          <w:sz w:val="24"/>
        </w:rPr>
        <w:t>Gesta Guillelmi II ducis Normannorum)</w:t>
      </w:r>
      <w:r w:rsidR="00437BF2">
        <w:rPr>
          <w:sz w:val="24"/>
        </w:rPr>
        <w:t xml:space="preserve"> as well as becoming the archdeacon of Lisieux.</w:t>
      </w:r>
      <w:r w:rsidR="003344F9">
        <w:rPr>
          <w:rStyle w:val="FootnoteReference"/>
          <w:sz w:val="24"/>
        </w:rPr>
        <w:footnoteReference w:id="29"/>
      </w:r>
      <w:r w:rsidR="00437BF2">
        <w:rPr>
          <w:sz w:val="24"/>
        </w:rPr>
        <w:t xml:space="preserve"> Very little is known about William of Poitiers, most of the information that is known of him comes from Orderic Vitalis whose account </w:t>
      </w:r>
      <w:r w:rsidR="00BB5E0D">
        <w:rPr>
          <w:sz w:val="24"/>
        </w:rPr>
        <w:t>dates</w:t>
      </w:r>
      <w:r w:rsidR="00437BF2">
        <w:rPr>
          <w:sz w:val="24"/>
        </w:rPr>
        <w:t xml:space="preserve"> between nineteen and thirty years after William’s death. However, there is doubts regarding Orderic’s account of William of Poitiers life due to him not appearing in any charters</w:t>
      </w:r>
      <w:r w:rsidR="003344F9">
        <w:rPr>
          <w:sz w:val="24"/>
        </w:rPr>
        <w:t>, ecclesiastical, ducal or royal.</w:t>
      </w:r>
      <w:r w:rsidR="003344F9">
        <w:rPr>
          <w:rStyle w:val="FootnoteReference"/>
          <w:sz w:val="24"/>
        </w:rPr>
        <w:footnoteReference w:id="30"/>
      </w:r>
      <w:r w:rsidR="003344F9">
        <w:rPr>
          <w:sz w:val="24"/>
        </w:rPr>
        <w:t xml:space="preserve"> Perhaps he was later removed due to him falling out of William’s favour, a possible explanation for this is due</w:t>
      </w:r>
      <w:r w:rsidR="00BB5E0D">
        <w:rPr>
          <w:sz w:val="24"/>
        </w:rPr>
        <w:t xml:space="preserve"> to</w:t>
      </w:r>
      <w:r w:rsidR="003344F9">
        <w:rPr>
          <w:sz w:val="24"/>
        </w:rPr>
        <w:t xml:space="preserve"> supposed links between William of Poitiers and King William’s rebellious, eldest son, Robert Curthose.</w:t>
      </w:r>
      <w:r w:rsidR="003344F9">
        <w:rPr>
          <w:rStyle w:val="FootnoteReference"/>
          <w:sz w:val="24"/>
        </w:rPr>
        <w:footnoteReference w:id="31"/>
      </w:r>
      <w:r w:rsidR="003344F9">
        <w:rPr>
          <w:sz w:val="24"/>
        </w:rPr>
        <w:t xml:space="preserve"> </w:t>
      </w:r>
      <w:r w:rsidR="000228F0">
        <w:rPr>
          <w:sz w:val="24"/>
        </w:rPr>
        <w:t xml:space="preserve"> The </w:t>
      </w:r>
      <w:r w:rsidR="000228F0" w:rsidRPr="00BB5E0D">
        <w:rPr>
          <w:i/>
          <w:sz w:val="24"/>
        </w:rPr>
        <w:t xml:space="preserve">Gesta </w:t>
      </w:r>
      <w:r w:rsidR="00B73CC5" w:rsidRPr="00BB5E0D">
        <w:rPr>
          <w:i/>
          <w:sz w:val="24"/>
        </w:rPr>
        <w:t>Guillelmi</w:t>
      </w:r>
      <w:r w:rsidR="00B73CC5">
        <w:rPr>
          <w:sz w:val="24"/>
        </w:rPr>
        <w:t xml:space="preserve"> describes the events of 1066 even though it was believe to have been wrote much later possibly between 1071 and 1077</w:t>
      </w:r>
      <w:r w:rsidR="00BB5E0D">
        <w:rPr>
          <w:sz w:val="24"/>
        </w:rPr>
        <w:t>,</w:t>
      </w:r>
      <w:r w:rsidR="00B73CC5">
        <w:rPr>
          <w:sz w:val="24"/>
        </w:rPr>
        <w:t xml:space="preserve"> some years after the conquest. It tells of how William the Conqueror, prepared and accomplished the Norman invasion, giving justification of William’s right to the English throne over those who opposed him specifically Harold Godwinson. The Gesta is the earliest biography of any Noman Duke, and irreplaceable source for the Battle of Hastings due to William of Poitiers position serving Duke William as well as his original training of being a man of military background, due to him being a </w:t>
      </w:r>
      <w:r w:rsidR="00BB5E0D">
        <w:rPr>
          <w:sz w:val="24"/>
        </w:rPr>
        <w:t>k</w:t>
      </w:r>
      <w:r w:rsidR="00B73CC5">
        <w:rPr>
          <w:sz w:val="24"/>
        </w:rPr>
        <w:t>night before he became a priest.</w:t>
      </w:r>
      <w:r w:rsidR="00B73CC5">
        <w:rPr>
          <w:rStyle w:val="FootnoteReference"/>
          <w:sz w:val="24"/>
        </w:rPr>
        <w:footnoteReference w:id="32"/>
      </w:r>
      <w:r w:rsidR="00B73CC5">
        <w:rPr>
          <w:sz w:val="24"/>
        </w:rPr>
        <w:t xml:space="preserve"> The Gesta is a useful source due to it being dated to being one of the first accounts of the </w:t>
      </w:r>
      <w:r w:rsidR="00BB5E0D">
        <w:rPr>
          <w:sz w:val="24"/>
        </w:rPr>
        <w:t>B</w:t>
      </w:r>
      <w:r w:rsidR="00B73CC5">
        <w:rPr>
          <w:sz w:val="24"/>
        </w:rPr>
        <w:t>attle of Hastings</w:t>
      </w:r>
      <w:r w:rsidR="005641BF">
        <w:rPr>
          <w:sz w:val="24"/>
        </w:rPr>
        <w:t>.  Due to most of the evidence, most likely coming from oral recounts from the survivors and victors of the battle. However, the problems with William of Poitiers work is numerous, firstly due to the fact that his work is panegyric to William the Conqueror which is argued by the historian Brown due to the pedestal William the Conqueror is placed on due to him being the hero of William of Poitiers.</w:t>
      </w:r>
      <w:r w:rsidR="00A1350D">
        <w:rPr>
          <w:rStyle w:val="FootnoteReference"/>
          <w:sz w:val="24"/>
        </w:rPr>
        <w:footnoteReference w:id="33"/>
      </w:r>
      <w:r w:rsidR="00892D67">
        <w:rPr>
          <w:sz w:val="24"/>
        </w:rPr>
        <w:t xml:space="preserve"> Another reason for criticism, is that William himself stated that he has to remain within the ‘bounds of the truth’ he however deviates from this rule by giving as argued by Gransden, an unreliable, biased account of the events taking place and portrays both of the protagonists in an unrealistic manor.</w:t>
      </w:r>
      <w:r w:rsidR="00A1350D">
        <w:rPr>
          <w:rStyle w:val="FootnoteReference"/>
          <w:sz w:val="24"/>
        </w:rPr>
        <w:footnoteReference w:id="34"/>
      </w:r>
      <w:r w:rsidR="00892D67">
        <w:rPr>
          <w:sz w:val="24"/>
        </w:rPr>
        <w:t xml:space="preserve"> He allows personal bias to reflect within his work rather than taking an impartial view of the events thus creating a </w:t>
      </w:r>
      <w:r w:rsidR="00F74E9C">
        <w:rPr>
          <w:sz w:val="24"/>
        </w:rPr>
        <w:t xml:space="preserve">more factually correct account.  Another criticism is by using the work of Orderic Vitalis, who uses William of </w:t>
      </w:r>
      <w:r w:rsidR="00F74E9C">
        <w:rPr>
          <w:sz w:val="24"/>
        </w:rPr>
        <w:lastRenderedPageBreak/>
        <w:t>Poitiers as his primary source. Orderic contradicts or overlooks many passages within William’s work</w:t>
      </w:r>
      <w:r w:rsidR="002C3731">
        <w:rPr>
          <w:sz w:val="24"/>
        </w:rPr>
        <w:t xml:space="preserve"> such as the denial of King William’s mercy to the conquered English, due to the fact Orderic knowing differently</w:t>
      </w:r>
      <w:r w:rsidR="00BB5E0D">
        <w:rPr>
          <w:sz w:val="24"/>
        </w:rPr>
        <w:t>,</w:t>
      </w:r>
      <w:r w:rsidR="002C3731">
        <w:rPr>
          <w:sz w:val="24"/>
        </w:rPr>
        <w:t xml:space="preserve"> </w:t>
      </w:r>
      <w:r w:rsidR="00BB5E0D">
        <w:rPr>
          <w:sz w:val="24"/>
        </w:rPr>
        <w:t>because of</w:t>
      </w:r>
      <w:r w:rsidR="002C3731">
        <w:rPr>
          <w:sz w:val="24"/>
        </w:rPr>
        <w:t xml:space="preserve"> having been raised in England, thus having a first hand account of events during that time. Another problem regarding William of Poitiers account of the events is that he seems to over exaggerate the events that took place</w:t>
      </w:r>
      <w:r w:rsidR="008D27EF">
        <w:rPr>
          <w:sz w:val="24"/>
        </w:rPr>
        <w:t xml:space="preserve"> as argued by Carpenter, as well as</w:t>
      </w:r>
      <w:r w:rsidR="002C3731">
        <w:rPr>
          <w:sz w:val="24"/>
        </w:rPr>
        <w:t xml:space="preserve"> in comparison to other accounts such as the </w:t>
      </w:r>
      <w:r w:rsidR="002C3731" w:rsidRPr="002C3731">
        <w:rPr>
          <w:i/>
          <w:sz w:val="24"/>
        </w:rPr>
        <w:t>Carmen de Hastingae Proelio</w:t>
      </w:r>
      <w:r w:rsidR="002C3731">
        <w:rPr>
          <w:i/>
          <w:sz w:val="24"/>
        </w:rPr>
        <w:t xml:space="preserve"> </w:t>
      </w:r>
      <w:r w:rsidR="002C3731">
        <w:rPr>
          <w:sz w:val="24"/>
        </w:rPr>
        <w:t>which was discussed earlier.</w:t>
      </w:r>
      <w:r w:rsidR="00A1350D">
        <w:rPr>
          <w:rStyle w:val="FootnoteReference"/>
          <w:sz w:val="24"/>
        </w:rPr>
        <w:footnoteReference w:id="35"/>
      </w:r>
      <w:r w:rsidR="002C3731">
        <w:rPr>
          <w:sz w:val="24"/>
        </w:rPr>
        <w:t xml:space="preserve"> </w:t>
      </w:r>
      <w:r w:rsidR="008D27EF">
        <w:rPr>
          <w:sz w:val="24"/>
        </w:rPr>
        <w:t xml:space="preserve"> Another problem is that there </w:t>
      </w:r>
      <w:r w:rsidR="006538B3">
        <w:rPr>
          <w:sz w:val="24"/>
        </w:rPr>
        <w:t>are</w:t>
      </w:r>
      <w:r w:rsidR="008D27EF">
        <w:rPr>
          <w:sz w:val="24"/>
        </w:rPr>
        <w:t xml:space="preserve"> no surviving manuscripts of William of Poitiers work, even though it was published by </w:t>
      </w:r>
      <w:r w:rsidR="008D27EF" w:rsidRPr="008D27EF">
        <w:rPr>
          <w:sz w:val="24"/>
        </w:rPr>
        <w:t>André Duchesne</w:t>
      </w:r>
      <w:r w:rsidR="008D27EF">
        <w:rPr>
          <w:sz w:val="24"/>
        </w:rPr>
        <w:t xml:space="preserve"> in 1619, parts of the manuscript is missing believing the account to begin in 1035 but the </w:t>
      </w:r>
      <w:r w:rsidR="006538B3">
        <w:rPr>
          <w:sz w:val="24"/>
        </w:rPr>
        <w:t>manuscript</w:t>
      </w:r>
      <w:r w:rsidR="008D27EF">
        <w:rPr>
          <w:sz w:val="24"/>
        </w:rPr>
        <w:t xml:space="preserve"> only contains from 1047 to 1068. It is also missing the end due to Orderic claiming that th</w:t>
      </w:r>
      <w:r w:rsidR="006538B3">
        <w:rPr>
          <w:sz w:val="24"/>
        </w:rPr>
        <w:t>e</w:t>
      </w:r>
      <w:r w:rsidR="008D27EF">
        <w:rPr>
          <w:sz w:val="24"/>
        </w:rPr>
        <w:t xml:space="preserve"> account finished in 1071</w:t>
      </w:r>
      <w:r w:rsidR="006538B3">
        <w:rPr>
          <w:sz w:val="24"/>
        </w:rPr>
        <w:t>, thus meaning there is a missing fifteen years, this is agreed upon due to the work starting and finishing mid-sentence.</w:t>
      </w:r>
      <w:r w:rsidR="00A1350D">
        <w:rPr>
          <w:rStyle w:val="FootnoteReference"/>
          <w:sz w:val="24"/>
        </w:rPr>
        <w:footnoteReference w:id="36"/>
      </w:r>
      <w:r w:rsidR="008D27EF">
        <w:rPr>
          <w:sz w:val="24"/>
        </w:rPr>
        <w:t xml:space="preserve"> However, William of Poitiers account is undeniably useful for recounting the events of the Norman Conquest and as such William is now a key figure within the study of 1066.</w:t>
      </w:r>
    </w:p>
    <w:p w14:paraId="38D15A80" w14:textId="77777777" w:rsidR="00C23DC4" w:rsidRDefault="00C23DC4" w:rsidP="00665D11">
      <w:pPr>
        <w:rPr>
          <w:sz w:val="24"/>
        </w:rPr>
      </w:pPr>
    </w:p>
    <w:p w14:paraId="03BAB88E" w14:textId="2680D500" w:rsidR="000E5237" w:rsidRDefault="001C2B8D" w:rsidP="00665D11">
      <w:pPr>
        <w:rPr>
          <w:sz w:val="24"/>
        </w:rPr>
      </w:pPr>
      <w:r>
        <w:rPr>
          <w:sz w:val="24"/>
        </w:rPr>
        <w:t xml:space="preserve">Another medieval writer </w:t>
      </w:r>
      <w:r w:rsidR="00D13E35">
        <w:rPr>
          <w:sz w:val="24"/>
        </w:rPr>
        <w:t xml:space="preserve">that can be used as a source is </w:t>
      </w:r>
      <w:r w:rsidR="00F72FA7">
        <w:rPr>
          <w:sz w:val="24"/>
        </w:rPr>
        <w:t>O</w:t>
      </w:r>
      <w:r w:rsidR="00C661B9">
        <w:rPr>
          <w:sz w:val="24"/>
        </w:rPr>
        <w:t>r</w:t>
      </w:r>
      <w:r w:rsidR="00F72FA7">
        <w:rPr>
          <w:sz w:val="24"/>
        </w:rPr>
        <w:t>deric Vitalis</w:t>
      </w:r>
      <w:r w:rsidR="00D13E35">
        <w:rPr>
          <w:sz w:val="24"/>
        </w:rPr>
        <w:t xml:space="preserve"> and his </w:t>
      </w:r>
      <w:r w:rsidR="00D13E35" w:rsidRPr="00C23DC4">
        <w:rPr>
          <w:i/>
          <w:sz w:val="24"/>
        </w:rPr>
        <w:t>Historia Ecclesiastica</w:t>
      </w:r>
      <w:r w:rsidR="00D13E35">
        <w:rPr>
          <w:sz w:val="24"/>
        </w:rPr>
        <w:t xml:space="preserve">. Orderic was a Benedictine monk and English chronicler who wrote a </w:t>
      </w:r>
      <w:r w:rsidR="00C23DC4">
        <w:rPr>
          <w:sz w:val="24"/>
        </w:rPr>
        <w:t>history</w:t>
      </w:r>
      <w:r w:rsidR="00D13E35">
        <w:rPr>
          <w:sz w:val="24"/>
        </w:rPr>
        <w:t xml:space="preserve"> of the 11</w:t>
      </w:r>
      <w:r w:rsidR="00D13E35" w:rsidRPr="00D13E35">
        <w:rPr>
          <w:sz w:val="24"/>
          <w:vertAlign w:val="superscript"/>
        </w:rPr>
        <w:t>th</w:t>
      </w:r>
      <w:r w:rsidR="00D13E35">
        <w:rPr>
          <w:sz w:val="24"/>
        </w:rPr>
        <w:t xml:space="preserve"> and 12</w:t>
      </w:r>
      <w:r w:rsidR="00D13E35" w:rsidRPr="00D13E35">
        <w:rPr>
          <w:sz w:val="24"/>
          <w:vertAlign w:val="superscript"/>
        </w:rPr>
        <w:t>th</w:t>
      </w:r>
      <w:r w:rsidR="00D13E35">
        <w:rPr>
          <w:sz w:val="24"/>
        </w:rPr>
        <w:t xml:space="preserve"> century Normandy and England who had become Anglo-Norman.</w:t>
      </w:r>
      <w:r w:rsidR="00836C06">
        <w:rPr>
          <w:rStyle w:val="FootnoteReference"/>
          <w:sz w:val="24"/>
        </w:rPr>
        <w:footnoteReference w:id="37"/>
      </w:r>
      <w:r w:rsidR="00D13E35">
        <w:rPr>
          <w:sz w:val="24"/>
        </w:rPr>
        <w:t xml:space="preserve"> Most modern historians consider him to be a reliable source.</w:t>
      </w:r>
      <w:r w:rsidR="00502B58">
        <w:rPr>
          <w:sz w:val="24"/>
        </w:rPr>
        <w:t xml:space="preserve">  Within the </w:t>
      </w:r>
      <w:r w:rsidR="00502B58" w:rsidRPr="00C23DC4">
        <w:rPr>
          <w:i/>
          <w:sz w:val="24"/>
        </w:rPr>
        <w:t>Historia</w:t>
      </w:r>
      <w:r w:rsidR="00502B58">
        <w:rPr>
          <w:sz w:val="24"/>
        </w:rPr>
        <w:t>, Orderic gains his information for the Norman Conquest, from two account</w:t>
      </w:r>
      <w:r w:rsidR="00C23DC4">
        <w:rPr>
          <w:sz w:val="24"/>
        </w:rPr>
        <w:t>s,</w:t>
      </w:r>
      <w:r w:rsidR="00502B58">
        <w:rPr>
          <w:sz w:val="24"/>
        </w:rPr>
        <w:t xml:space="preserve"> William of Poitiers’ </w:t>
      </w:r>
      <w:r w:rsidR="00502B58" w:rsidRPr="00C23DC4">
        <w:rPr>
          <w:i/>
          <w:sz w:val="24"/>
        </w:rPr>
        <w:t xml:space="preserve">Gesta Guillelmi </w:t>
      </w:r>
      <w:r w:rsidR="00502B58">
        <w:rPr>
          <w:sz w:val="24"/>
        </w:rPr>
        <w:t xml:space="preserve">and William of Jumieges’ </w:t>
      </w:r>
      <w:r w:rsidR="00502B58" w:rsidRPr="00C23DC4">
        <w:rPr>
          <w:i/>
          <w:sz w:val="24"/>
        </w:rPr>
        <w:t>Gesta Normannorum Ducum</w:t>
      </w:r>
      <w:r w:rsidR="00502B58">
        <w:rPr>
          <w:sz w:val="24"/>
        </w:rPr>
        <w:t>.</w:t>
      </w:r>
      <w:r w:rsidR="00836C06">
        <w:rPr>
          <w:rStyle w:val="FootnoteReference"/>
          <w:sz w:val="24"/>
        </w:rPr>
        <w:footnoteReference w:id="38"/>
      </w:r>
      <w:r w:rsidR="00502B58">
        <w:rPr>
          <w:sz w:val="24"/>
        </w:rPr>
        <w:t xml:space="preserve"> The historian Chibnall argues that Orderic had access to cartularies and collection</w:t>
      </w:r>
      <w:r w:rsidR="00C23DC4">
        <w:rPr>
          <w:sz w:val="24"/>
        </w:rPr>
        <w:t>s</w:t>
      </w:r>
      <w:r w:rsidR="00502B58">
        <w:rPr>
          <w:sz w:val="24"/>
        </w:rPr>
        <w:t xml:space="preserve"> of charters of</w:t>
      </w:r>
      <w:r w:rsidR="00C23DC4">
        <w:rPr>
          <w:sz w:val="24"/>
        </w:rPr>
        <w:t xml:space="preserve"> Norman</w:t>
      </w:r>
      <w:r w:rsidR="00502B58">
        <w:rPr>
          <w:sz w:val="24"/>
        </w:rPr>
        <w:t xml:space="preserve"> monastic houses,</w:t>
      </w:r>
      <w:r w:rsidR="00836C06">
        <w:rPr>
          <w:rStyle w:val="FootnoteReference"/>
          <w:sz w:val="24"/>
        </w:rPr>
        <w:footnoteReference w:id="39"/>
      </w:r>
      <w:r w:rsidR="00502B58">
        <w:rPr>
          <w:sz w:val="24"/>
        </w:rPr>
        <w:t xml:space="preserve"> that is now lost to use due to age, personal preference when transcribing works and also the dissolution of the abbeys during the reign of Henry VIII were many chronicles were destroyed, when finding sources for</w:t>
      </w:r>
      <w:r w:rsidR="0021499B">
        <w:rPr>
          <w:sz w:val="24"/>
        </w:rPr>
        <w:t xml:space="preserve"> his</w:t>
      </w:r>
      <w:r w:rsidR="00502B58">
        <w:rPr>
          <w:sz w:val="24"/>
        </w:rPr>
        <w:t xml:space="preserve"> historical</w:t>
      </w:r>
      <w:r w:rsidR="00560407">
        <w:rPr>
          <w:sz w:val="24"/>
        </w:rPr>
        <w:t xml:space="preserve"> writings. Orderic is useful due to using multiple accounts to source his work and not just reiterating the work of William of Poitiers, he goes on to even </w:t>
      </w:r>
      <w:r w:rsidR="00C23DC4">
        <w:rPr>
          <w:sz w:val="24"/>
        </w:rPr>
        <w:t>contradict</w:t>
      </w:r>
      <w:r w:rsidR="00560407">
        <w:rPr>
          <w:sz w:val="24"/>
        </w:rPr>
        <w:t xml:space="preserve"> it due to the bias William has for Duke William, as well as using sources that we no longer have access to.</w:t>
      </w:r>
      <w:r w:rsidR="00836C06">
        <w:rPr>
          <w:rStyle w:val="FootnoteReference"/>
          <w:sz w:val="24"/>
        </w:rPr>
        <w:footnoteReference w:id="40"/>
      </w:r>
      <w:r w:rsidR="00560407">
        <w:rPr>
          <w:sz w:val="24"/>
        </w:rPr>
        <w:t xml:space="preserve"> The problems with Orderic’s work are that he is not using first hand oral accounts of the events due to him writing some of his work nearly one hundred years after the events occurred. While Orderic is useful for its context it however should not be used as the only source for the events of the Norman invasion.</w:t>
      </w:r>
    </w:p>
    <w:p w14:paraId="065A28D4" w14:textId="77777777" w:rsidR="00C23DC4" w:rsidRDefault="00C23DC4" w:rsidP="00665D11">
      <w:pPr>
        <w:rPr>
          <w:sz w:val="24"/>
        </w:rPr>
      </w:pPr>
    </w:p>
    <w:p w14:paraId="74D62DE5" w14:textId="5104D116" w:rsidR="00560407" w:rsidRDefault="006538B3" w:rsidP="00665D11">
      <w:pPr>
        <w:rPr>
          <w:sz w:val="24"/>
        </w:rPr>
      </w:pPr>
      <w:r>
        <w:rPr>
          <w:sz w:val="24"/>
        </w:rPr>
        <w:t xml:space="preserve">Therefore, in conclusion, while the Bayeux tapestry is useful in the regarding of depicting the events surrounding the Norman invasion, the fact that it is a mainly pictorial source it leaves the events open too much interpretation compared to written accounts. Also due to </w:t>
      </w:r>
      <w:r>
        <w:rPr>
          <w:sz w:val="24"/>
        </w:rPr>
        <w:lastRenderedPageBreak/>
        <w:t>it being embroidery, later additions could have also been added to the work, such as the copy of the Tapestry dating from the Victorian period were under garments w</w:t>
      </w:r>
      <w:r w:rsidR="00C23DC4">
        <w:rPr>
          <w:sz w:val="24"/>
        </w:rPr>
        <w:t>ere</w:t>
      </w:r>
      <w:r>
        <w:rPr>
          <w:sz w:val="24"/>
        </w:rPr>
        <w:t xml:space="preserve"> added to one of the scenes due to what has been interpreted as a sexual act, to preserve modesty and remove deviance from the eyes of the viewer.</w:t>
      </w:r>
      <w:r w:rsidR="00560407">
        <w:rPr>
          <w:sz w:val="24"/>
        </w:rPr>
        <w:t xml:space="preserve"> Thus, while the Bayeux Tapestry can be used as the predominate primary source for the event of the Norman Conquest, it should be used in comparison to other primary works such as the ones stated in this essay but also other accounts such as the Anglo- Saxon Chronicle, Henry of Huntingdon’s </w:t>
      </w:r>
      <w:r w:rsidR="00560407" w:rsidRPr="00C23DC4">
        <w:rPr>
          <w:i/>
          <w:sz w:val="24"/>
        </w:rPr>
        <w:t xml:space="preserve">The History of the English </w:t>
      </w:r>
      <w:r w:rsidR="00C23DC4">
        <w:rPr>
          <w:i/>
          <w:sz w:val="24"/>
        </w:rPr>
        <w:t>P</w:t>
      </w:r>
      <w:r w:rsidR="00560407" w:rsidRPr="00C23DC4">
        <w:rPr>
          <w:i/>
          <w:sz w:val="24"/>
        </w:rPr>
        <w:t>eople</w:t>
      </w:r>
      <w:r w:rsidR="00560407">
        <w:rPr>
          <w:sz w:val="24"/>
        </w:rPr>
        <w:t xml:space="preserve"> and Florence of Worcester’s </w:t>
      </w:r>
      <w:r w:rsidR="00560407" w:rsidRPr="00C23DC4">
        <w:rPr>
          <w:i/>
          <w:sz w:val="24"/>
        </w:rPr>
        <w:t>Chronicon ex</w:t>
      </w:r>
      <w:r w:rsidR="00560407">
        <w:rPr>
          <w:sz w:val="24"/>
        </w:rPr>
        <w:t xml:space="preserve"> all of which describe the events of 1066.</w:t>
      </w:r>
    </w:p>
    <w:p w14:paraId="055B757F" w14:textId="1A886CA8" w:rsidR="00533EA6" w:rsidRDefault="00C23DC4" w:rsidP="00665D11">
      <w:pPr>
        <w:rPr>
          <w:sz w:val="24"/>
        </w:rPr>
      </w:pPr>
      <w:r>
        <w:rPr>
          <w:sz w:val="24"/>
        </w:rPr>
        <w:t xml:space="preserve">Final word count </w:t>
      </w:r>
      <w:r w:rsidR="00533EA6">
        <w:rPr>
          <w:sz w:val="24"/>
        </w:rPr>
        <w:t>–</w:t>
      </w:r>
      <w:r>
        <w:rPr>
          <w:sz w:val="24"/>
        </w:rPr>
        <w:t xml:space="preserve"> 2502</w:t>
      </w:r>
    </w:p>
    <w:p w14:paraId="44CC8D87" w14:textId="77777777" w:rsidR="00533EA6" w:rsidRDefault="00533EA6">
      <w:pPr>
        <w:rPr>
          <w:sz w:val="24"/>
        </w:rPr>
      </w:pPr>
      <w:r>
        <w:rPr>
          <w:sz w:val="24"/>
        </w:rPr>
        <w:br w:type="page"/>
      </w:r>
    </w:p>
    <w:p w14:paraId="04CAB9C7" w14:textId="77777777" w:rsidR="00533EA6" w:rsidRPr="00533EA6" w:rsidRDefault="00533EA6" w:rsidP="00533EA6">
      <w:pPr>
        <w:rPr>
          <w:b/>
          <w:sz w:val="24"/>
        </w:rPr>
      </w:pPr>
      <w:r w:rsidRPr="00533EA6">
        <w:rPr>
          <w:b/>
          <w:sz w:val="24"/>
        </w:rPr>
        <w:lastRenderedPageBreak/>
        <w:t>Bibliography</w:t>
      </w:r>
    </w:p>
    <w:p w14:paraId="7045B153" w14:textId="77777777" w:rsidR="00533EA6" w:rsidRPr="00533EA6" w:rsidRDefault="00533EA6" w:rsidP="00533EA6">
      <w:pPr>
        <w:rPr>
          <w:b/>
          <w:sz w:val="24"/>
        </w:rPr>
      </w:pPr>
      <w:r w:rsidRPr="00533EA6">
        <w:rPr>
          <w:b/>
          <w:sz w:val="24"/>
        </w:rPr>
        <w:t>Primary Sources</w:t>
      </w:r>
    </w:p>
    <w:p w14:paraId="3CB0B989" w14:textId="77777777" w:rsidR="00533EA6" w:rsidRPr="00533EA6" w:rsidRDefault="00533EA6" w:rsidP="00533EA6">
      <w:pPr>
        <w:rPr>
          <w:sz w:val="24"/>
        </w:rPr>
      </w:pPr>
    </w:p>
    <w:p w14:paraId="62CA8453" w14:textId="77777777" w:rsidR="00533EA6" w:rsidRPr="00533EA6" w:rsidRDefault="00533EA6" w:rsidP="00533EA6">
      <w:pPr>
        <w:rPr>
          <w:sz w:val="24"/>
        </w:rPr>
      </w:pPr>
      <w:r w:rsidRPr="00533EA6">
        <w:rPr>
          <w:sz w:val="24"/>
        </w:rPr>
        <w:t xml:space="preserve">Guy, Bishop of Amiens, </w:t>
      </w:r>
      <w:r w:rsidRPr="00E17F04">
        <w:rPr>
          <w:i/>
          <w:sz w:val="24"/>
        </w:rPr>
        <w:t>Carmen de Hastingae Proelio</w:t>
      </w:r>
      <w:r w:rsidRPr="00533EA6">
        <w:rPr>
          <w:sz w:val="24"/>
        </w:rPr>
        <w:t xml:space="preserve"> </w:t>
      </w:r>
    </w:p>
    <w:p w14:paraId="0E434FE7" w14:textId="77777777" w:rsidR="00533EA6" w:rsidRPr="00533EA6" w:rsidRDefault="00533EA6" w:rsidP="00533EA6">
      <w:pPr>
        <w:rPr>
          <w:sz w:val="24"/>
        </w:rPr>
      </w:pPr>
    </w:p>
    <w:p w14:paraId="475D0C09" w14:textId="77777777" w:rsidR="00533EA6" w:rsidRPr="00533EA6" w:rsidRDefault="00533EA6" w:rsidP="00533EA6">
      <w:pPr>
        <w:rPr>
          <w:sz w:val="24"/>
        </w:rPr>
      </w:pPr>
      <w:r w:rsidRPr="00533EA6">
        <w:rPr>
          <w:sz w:val="24"/>
        </w:rPr>
        <w:t xml:space="preserve">Orderic Vitalis, </w:t>
      </w:r>
      <w:r w:rsidRPr="00E17F04">
        <w:rPr>
          <w:i/>
          <w:sz w:val="24"/>
        </w:rPr>
        <w:t>Historia Ecclesiastica</w:t>
      </w:r>
      <w:r w:rsidRPr="00533EA6">
        <w:rPr>
          <w:sz w:val="24"/>
        </w:rPr>
        <w:t xml:space="preserve"> </w:t>
      </w:r>
    </w:p>
    <w:p w14:paraId="57A39B2C" w14:textId="77777777" w:rsidR="00533EA6" w:rsidRPr="00533EA6" w:rsidRDefault="00533EA6" w:rsidP="00533EA6">
      <w:pPr>
        <w:rPr>
          <w:sz w:val="24"/>
        </w:rPr>
      </w:pPr>
    </w:p>
    <w:p w14:paraId="3A84C206" w14:textId="77777777" w:rsidR="00533EA6" w:rsidRPr="00533EA6" w:rsidRDefault="00533EA6" w:rsidP="00533EA6">
      <w:pPr>
        <w:rPr>
          <w:sz w:val="24"/>
        </w:rPr>
      </w:pPr>
      <w:r w:rsidRPr="00533EA6">
        <w:rPr>
          <w:sz w:val="24"/>
        </w:rPr>
        <w:t xml:space="preserve">William of Malmesbury, </w:t>
      </w:r>
      <w:r w:rsidRPr="00E17F04">
        <w:rPr>
          <w:i/>
          <w:sz w:val="24"/>
        </w:rPr>
        <w:t>The Deeds of the Kings of the English</w:t>
      </w:r>
    </w:p>
    <w:p w14:paraId="12142E42" w14:textId="77777777" w:rsidR="00533EA6" w:rsidRPr="00533EA6" w:rsidRDefault="00533EA6" w:rsidP="00533EA6">
      <w:pPr>
        <w:rPr>
          <w:sz w:val="24"/>
        </w:rPr>
      </w:pPr>
    </w:p>
    <w:p w14:paraId="2B3F57CB" w14:textId="77777777" w:rsidR="00533EA6" w:rsidRPr="00E17F04" w:rsidRDefault="00533EA6" w:rsidP="00533EA6">
      <w:pPr>
        <w:rPr>
          <w:i/>
          <w:sz w:val="24"/>
        </w:rPr>
      </w:pPr>
      <w:r w:rsidRPr="00533EA6">
        <w:rPr>
          <w:sz w:val="24"/>
        </w:rPr>
        <w:t xml:space="preserve">William of Poitiers, </w:t>
      </w:r>
      <w:r w:rsidRPr="00E17F04">
        <w:rPr>
          <w:i/>
          <w:sz w:val="24"/>
        </w:rPr>
        <w:t>Deeds of the Dukes of the Normans</w:t>
      </w:r>
    </w:p>
    <w:p w14:paraId="3817DAF7" w14:textId="77777777" w:rsidR="00533EA6" w:rsidRPr="00533EA6" w:rsidRDefault="00533EA6" w:rsidP="00533EA6">
      <w:pPr>
        <w:rPr>
          <w:sz w:val="24"/>
        </w:rPr>
      </w:pPr>
    </w:p>
    <w:p w14:paraId="063815DE" w14:textId="77777777" w:rsidR="00533EA6" w:rsidRPr="00533EA6" w:rsidRDefault="00533EA6" w:rsidP="00533EA6">
      <w:pPr>
        <w:rPr>
          <w:b/>
          <w:sz w:val="24"/>
        </w:rPr>
      </w:pPr>
      <w:r w:rsidRPr="00533EA6">
        <w:rPr>
          <w:b/>
          <w:sz w:val="24"/>
        </w:rPr>
        <w:t>Secondary Sources</w:t>
      </w:r>
    </w:p>
    <w:p w14:paraId="30AB9AD9" w14:textId="77777777" w:rsidR="00533EA6" w:rsidRPr="00533EA6" w:rsidRDefault="00533EA6" w:rsidP="00533EA6">
      <w:pPr>
        <w:rPr>
          <w:sz w:val="24"/>
        </w:rPr>
      </w:pPr>
    </w:p>
    <w:p w14:paraId="42604F53" w14:textId="77777777" w:rsidR="00533EA6" w:rsidRPr="00533EA6" w:rsidRDefault="00533EA6" w:rsidP="00533EA6">
      <w:pPr>
        <w:rPr>
          <w:sz w:val="24"/>
        </w:rPr>
      </w:pPr>
      <w:r w:rsidRPr="00533EA6">
        <w:rPr>
          <w:sz w:val="24"/>
        </w:rPr>
        <w:t xml:space="preserve">Brown, R. Allen, </w:t>
      </w:r>
      <w:r w:rsidRPr="00E17F04">
        <w:rPr>
          <w:i/>
          <w:sz w:val="24"/>
        </w:rPr>
        <w:t>Anglo-Norman Studies III: Proceedings of the Battle Conference</w:t>
      </w:r>
      <w:r w:rsidRPr="00533EA6">
        <w:rPr>
          <w:sz w:val="24"/>
        </w:rPr>
        <w:t xml:space="preserve"> (1980)</w:t>
      </w:r>
    </w:p>
    <w:p w14:paraId="03CFEA7D" w14:textId="77777777" w:rsidR="00533EA6" w:rsidRPr="00533EA6" w:rsidRDefault="00533EA6" w:rsidP="00533EA6">
      <w:pPr>
        <w:rPr>
          <w:sz w:val="24"/>
        </w:rPr>
      </w:pPr>
    </w:p>
    <w:p w14:paraId="5A636DE3" w14:textId="77777777" w:rsidR="00533EA6" w:rsidRPr="00533EA6" w:rsidRDefault="00533EA6" w:rsidP="00533EA6">
      <w:pPr>
        <w:rPr>
          <w:sz w:val="24"/>
        </w:rPr>
      </w:pPr>
      <w:r w:rsidRPr="00533EA6">
        <w:rPr>
          <w:sz w:val="24"/>
        </w:rPr>
        <w:t xml:space="preserve">Bridgeford, Andrew. </w:t>
      </w:r>
      <w:r w:rsidRPr="00E17F04">
        <w:rPr>
          <w:i/>
          <w:sz w:val="24"/>
        </w:rPr>
        <w:t>1066: The Hidden History in the Bayeux Tapestry.</w:t>
      </w:r>
      <w:r w:rsidRPr="00533EA6">
        <w:rPr>
          <w:sz w:val="24"/>
        </w:rPr>
        <w:t xml:space="preserve"> (Walker &amp; Company, London, 2005)</w:t>
      </w:r>
    </w:p>
    <w:p w14:paraId="337B8B50" w14:textId="77777777" w:rsidR="00533EA6" w:rsidRPr="00533EA6" w:rsidRDefault="00533EA6" w:rsidP="00533EA6">
      <w:pPr>
        <w:rPr>
          <w:sz w:val="24"/>
        </w:rPr>
      </w:pPr>
    </w:p>
    <w:p w14:paraId="259C3A7B" w14:textId="77777777" w:rsidR="00533EA6" w:rsidRPr="00533EA6" w:rsidRDefault="00533EA6" w:rsidP="00533EA6">
      <w:pPr>
        <w:rPr>
          <w:sz w:val="24"/>
        </w:rPr>
      </w:pPr>
      <w:r w:rsidRPr="00533EA6">
        <w:rPr>
          <w:sz w:val="24"/>
        </w:rPr>
        <w:t xml:space="preserve">Carpenter, David, </w:t>
      </w:r>
      <w:r w:rsidRPr="00E17F04">
        <w:rPr>
          <w:i/>
          <w:sz w:val="24"/>
        </w:rPr>
        <w:t>The Struggle for Mastery: The Penguin History of Britain 1066-1284</w:t>
      </w:r>
      <w:r w:rsidRPr="00533EA6">
        <w:rPr>
          <w:sz w:val="24"/>
        </w:rPr>
        <w:t xml:space="preserve"> (London, Penguin Books, 2004)</w:t>
      </w:r>
    </w:p>
    <w:p w14:paraId="757C3FEC" w14:textId="77777777" w:rsidR="00533EA6" w:rsidRPr="00533EA6" w:rsidRDefault="00533EA6" w:rsidP="00533EA6">
      <w:pPr>
        <w:rPr>
          <w:sz w:val="24"/>
        </w:rPr>
      </w:pPr>
    </w:p>
    <w:p w14:paraId="3AAD2643" w14:textId="67057DB2" w:rsidR="00533EA6" w:rsidRPr="00533EA6" w:rsidRDefault="00533EA6" w:rsidP="00533EA6">
      <w:pPr>
        <w:rPr>
          <w:sz w:val="24"/>
        </w:rPr>
      </w:pPr>
      <w:r w:rsidRPr="00533EA6">
        <w:rPr>
          <w:sz w:val="24"/>
        </w:rPr>
        <w:t xml:space="preserve">Chibnall, Majorie, Davis, R.H.C (eds.) </w:t>
      </w:r>
      <w:r w:rsidRPr="00E17F04">
        <w:rPr>
          <w:i/>
          <w:sz w:val="24"/>
        </w:rPr>
        <w:t>Introduction from William of Poitiers 'Gesta Guillemi' - The Deeds of William the Conqueror',</w:t>
      </w:r>
      <w:r w:rsidRPr="00533EA6">
        <w:rPr>
          <w:sz w:val="24"/>
        </w:rPr>
        <w:t xml:space="preserve"> trans. Davis, R.H.C. and Marjorie Chibnall (Oxford, Oxford Press 1998)</w:t>
      </w:r>
    </w:p>
    <w:p w14:paraId="1FA1B6FA" w14:textId="77777777" w:rsidR="00533EA6" w:rsidRPr="00533EA6" w:rsidRDefault="00533EA6" w:rsidP="00533EA6">
      <w:pPr>
        <w:rPr>
          <w:sz w:val="24"/>
        </w:rPr>
      </w:pPr>
    </w:p>
    <w:p w14:paraId="19F5581C" w14:textId="77777777" w:rsidR="00533EA6" w:rsidRPr="00533EA6" w:rsidRDefault="00533EA6" w:rsidP="00533EA6">
      <w:pPr>
        <w:rPr>
          <w:sz w:val="24"/>
        </w:rPr>
      </w:pPr>
      <w:r w:rsidRPr="00533EA6">
        <w:rPr>
          <w:sz w:val="24"/>
        </w:rPr>
        <w:t xml:space="preserve">Chibnall, Marjorie (ed. and trans.), </w:t>
      </w:r>
      <w:r w:rsidRPr="00E17F04">
        <w:rPr>
          <w:i/>
          <w:sz w:val="24"/>
        </w:rPr>
        <w:t>The Ecclesiastical History of Orderic Vitalis</w:t>
      </w:r>
      <w:r w:rsidRPr="00533EA6">
        <w:rPr>
          <w:sz w:val="24"/>
        </w:rPr>
        <w:t>, 6 volumes (Oxford, Oxford Medieval Texts, 1968–1980)</w:t>
      </w:r>
    </w:p>
    <w:p w14:paraId="7441E1FE" w14:textId="77777777" w:rsidR="00533EA6" w:rsidRPr="00533EA6" w:rsidRDefault="00533EA6" w:rsidP="00533EA6">
      <w:pPr>
        <w:rPr>
          <w:sz w:val="24"/>
        </w:rPr>
      </w:pPr>
    </w:p>
    <w:p w14:paraId="1E87B37A" w14:textId="77777777" w:rsidR="00533EA6" w:rsidRPr="00533EA6" w:rsidRDefault="00533EA6" w:rsidP="00533EA6">
      <w:pPr>
        <w:rPr>
          <w:sz w:val="24"/>
        </w:rPr>
      </w:pPr>
      <w:r w:rsidRPr="00533EA6">
        <w:rPr>
          <w:sz w:val="24"/>
        </w:rPr>
        <w:t xml:space="preserve">Chibnall, Marjorie, </w:t>
      </w:r>
      <w:r w:rsidRPr="00E17F04">
        <w:rPr>
          <w:i/>
          <w:sz w:val="24"/>
        </w:rPr>
        <w:t>The World of Orderic Vitalis</w:t>
      </w:r>
      <w:r w:rsidRPr="00533EA6">
        <w:rPr>
          <w:sz w:val="24"/>
        </w:rPr>
        <w:t xml:space="preserve"> (Oxford, Oxford Medieval Texts, 1987). </w:t>
      </w:r>
    </w:p>
    <w:p w14:paraId="56FD1FDE" w14:textId="77777777" w:rsidR="00533EA6" w:rsidRPr="00533EA6" w:rsidRDefault="00533EA6" w:rsidP="00533EA6">
      <w:pPr>
        <w:rPr>
          <w:sz w:val="24"/>
        </w:rPr>
      </w:pPr>
    </w:p>
    <w:p w14:paraId="47BC6B9A" w14:textId="77777777" w:rsidR="00533EA6" w:rsidRPr="00533EA6" w:rsidRDefault="00533EA6" w:rsidP="00533EA6">
      <w:pPr>
        <w:rPr>
          <w:sz w:val="24"/>
        </w:rPr>
      </w:pPr>
      <w:r w:rsidRPr="00533EA6">
        <w:rPr>
          <w:sz w:val="24"/>
        </w:rPr>
        <w:t xml:space="preserve">Clancy, M.T, </w:t>
      </w:r>
      <w:r w:rsidRPr="00E17F04">
        <w:rPr>
          <w:i/>
          <w:sz w:val="24"/>
        </w:rPr>
        <w:t>England and its Rulers</w:t>
      </w:r>
      <w:r w:rsidRPr="00533EA6">
        <w:rPr>
          <w:sz w:val="24"/>
        </w:rPr>
        <w:t>, (London, Fontana Press, 1989)</w:t>
      </w:r>
    </w:p>
    <w:p w14:paraId="2278D8A0" w14:textId="77777777" w:rsidR="00533EA6" w:rsidRPr="00533EA6" w:rsidRDefault="00533EA6" w:rsidP="00533EA6">
      <w:pPr>
        <w:rPr>
          <w:sz w:val="24"/>
        </w:rPr>
      </w:pPr>
    </w:p>
    <w:p w14:paraId="111B3843" w14:textId="77777777" w:rsidR="00533EA6" w:rsidRPr="00533EA6" w:rsidRDefault="00533EA6" w:rsidP="00533EA6">
      <w:pPr>
        <w:rPr>
          <w:sz w:val="24"/>
        </w:rPr>
      </w:pPr>
      <w:r w:rsidRPr="00533EA6">
        <w:rPr>
          <w:sz w:val="24"/>
        </w:rPr>
        <w:t xml:space="preserve">Coatsworth, Elizabeth, ed. </w:t>
      </w:r>
      <w:r w:rsidRPr="00E17F04">
        <w:rPr>
          <w:i/>
          <w:sz w:val="24"/>
        </w:rPr>
        <w:t xml:space="preserve">Stitches in Time: Establishing a History of Anglo-Saxon Embroidery. </w:t>
      </w:r>
      <w:r w:rsidRPr="00533EA6">
        <w:rPr>
          <w:sz w:val="24"/>
        </w:rPr>
        <w:t>Medieval Clothing and Textiles Vol. 1 (Boydell &amp; Brewer, Suffolk, 2005)</w:t>
      </w:r>
    </w:p>
    <w:p w14:paraId="5C4A166A" w14:textId="77777777" w:rsidR="00533EA6" w:rsidRPr="00533EA6" w:rsidRDefault="00533EA6" w:rsidP="00533EA6">
      <w:pPr>
        <w:rPr>
          <w:sz w:val="24"/>
        </w:rPr>
      </w:pPr>
    </w:p>
    <w:p w14:paraId="214AC391" w14:textId="7B09C84C" w:rsidR="00533EA6" w:rsidRPr="00533EA6" w:rsidRDefault="00533EA6" w:rsidP="00533EA6">
      <w:pPr>
        <w:rPr>
          <w:sz w:val="24"/>
        </w:rPr>
      </w:pPr>
      <w:r w:rsidRPr="00533EA6">
        <w:rPr>
          <w:sz w:val="24"/>
        </w:rPr>
        <w:t xml:space="preserve">Davis, </w:t>
      </w:r>
      <w:r w:rsidR="00E17F04" w:rsidRPr="00533EA6">
        <w:rPr>
          <w:sz w:val="24"/>
        </w:rPr>
        <w:t>R.H, C.</w:t>
      </w:r>
      <w:r w:rsidRPr="00533EA6">
        <w:rPr>
          <w:sz w:val="24"/>
        </w:rPr>
        <w:t xml:space="preserve"> </w:t>
      </w:r>
      <w:bookmarkStart w:id="2" w:name="_GoBack"/>
      <w:bookmarkEnd w:id="2"/>
      <w:r w:rsidRPr="00E17F04">
        <w:rPr>
          <w:i/>
          <w:sz w:val="24"/>
        </w:rPr>
        <w:t>The Carmen De Hastingae Proelio</w:t>
      </w:r>
      <w:r w:rsidRPr="00533EA6">
        <w:rPr>
          <w:sz w:val="24"/>
        </w:rPr>
        <w:t xml:space="preserve">, The English Historical Review, Vol.93, no.367, 1978, JSTOR </w:t>
      </w:r>
      <w:hyperlink r:id="rId7" w:history="1">
        <w:r w:rsidRPr="00533EA6">
          <w:rPr>
            <w:rStyle w:val="Hyperlink"/>
            <w:sz w:val="24"/>
          </w:rPr>
          <w:t>www.jstor.org/stable/567060. pp. 241–261</w:t>
        </w:r>
      </w:hyperlink>
      <w:r w:rsidRPr="00533EA6">
        <w:rPr>
          <w:sz w:val="24"/>
        </w:rPr>
        <w:t>.</w:t>
      </w:r>
    </w:p>
    <w:p w14:paraId="4C3D4A19" w14:textId="77777777" w:rsidR="00533EA6" w:rsidRPr="00533EA6" w:rsidRDefault="00533EA6" w:rsidP="00533EA6">
      <w:pPr>
        <w:rPr>
          <w:sz w:val="24"/>
        </w:rPr>
      </w:pPr>
    </w:p>
    <w:p w14:paraId="6650724D" w14:textId="77777777" w:rsidR="00533EA6" w:rsidRPr="00533EA6" w:rsidRDefault="00533EA6" w:rsidP="00533EA6">
      <w:pPr>
        <w:rPr>
          <w:sz w:val="24"/>
        </w:rPr>
      </w:pPr>
      <w:r w:rsidRPr="00533EA6">
        <w:rPr>
          <w:sz w:val="24"/>
        </w:rPr>
        <w:t xml:space="preserve">Davis, R.H.C. and Wallace-Hadrill, J.M. (eds.) </w:t>
      </w:r>
      <w:r w:rsidRPr="00E17F04">
        <w:rPr>
          <w:i/>
          <w:sz w:val="24"/>
        </w:rPr>
        <w:t xml:space="preserve">The Writing of history in the Middle Ages: essays presented to Richard William Southern </w:t>
      </w:r>
      <w:r w:rsidRPr="00533EA6">
        <w:rPr>
          <w:sz w:val="24"/>
        </w:rPr>
        <w:t>(Oxford, Oxford Press, 1981).</w:t>
      </w:r>
    </w:p>
    <w:p w14:paraId="373DF048" w14:textId="77777777" w:rsidR="00533EA6" w:rsidRPr="00533EA6" w:rsidRDefault="00533EA6" w:rsidP="00533EA6">
      <w:pPr>
        <w:rPr>
          <w:sz w:val="24"/>
        </w:rPr>
      </w:pPr>
    </w:p>
    <w:p w14:paraId="5E37BABE" w14:textId="77777777" w:rsidR="00533EA6" w:rsidRPr="00533EA6" w:rsidRDefault="00533EA6" w:rsidP="00533EA6">
      <w:pPr>
        <w:rPr>
          <w:sz w:val="24"/>
        </w:rPr>
      </w:pPr>
      <w:r w:rsidRPr="00533EA6">
        <w:rPr>
          <w:sz w:val="24"/>
        </w:rPr>
        <w:t xml:space="preserve">Gransden, Antonia, </w:t>
      </w:r>
      <w:r w:rsidRPr="00E17F04">
        <w:rPr>
          <w:i/>
          <w:sz w:val="24"/>
        </w:rPr>
        <w:t>Historical Writing in England c.550 to c.1307</w:t>
      </w:r>
      <w:r w:rsidRPr="00533EA6">
        <w:rPr>
          <w:sz w:val="24"/>
        </w:rPr>
        <w:t xml:space="preserve"> (London, London Press, 1974)</w:t>
      </w:r>
    </w:p>
    <w:p w14:paraId="1B03FAE5" w14:textId="77777777" w:rsidR="00533EA6" w:rsidRPr="00533EA6" w:rsidRDefault="00533EA6" w:rsidP="00533EA6">
      <w:pPr>
        <w:rPr>
          <w:sz w:val="24"/>
        </w:rPr>
      </w:pPr>
    </w:p>
    <w:p w14:paraId="02BCDDF0" w14:textId="77777777" w:rsidR="00533EA6" w:rsidRPr="00533EA6" w:rsidRDefault="00533EA6" w:rsidP="00533EA6">
      <w:pPr>
        <w:rPr>
          <w:sz w:val="24"/>
        </w:rPr>
      </w:pPr>
      <w:r w:rsidRPr="00533EA6">
        <w:rPr>
          <w:sz w:val="24"/>
        </w:rPr>
        <w:t xml:space="preserve">Hollister, C. Warren, </w:t>
      </w:r>
      <w:r w:rsidRPr="00E17F04">
        <w:rPr>
          <w:i/>
          <w:sz w:val="24"/>
        </w:rPr>
        <w:t>Henry I</w:t>
      </w:r>
      <w:r w:rsidRPr="00533EA6">
        <w:rPr>
          <w:sz w:val="24"/>
        </w:rPr>
        <w:t xml:space="preserve"> (Connecticut, Yale University Press, 2008)</w:t>
      </w:r>
    </w:p>
    <w:p w14:paraId="229B0340" w14:textId="77777777" w:rsidR="00533EA6" w:rsidRPr="00533EA6" w:rsidRDefault="00533EA6" w:rsidP="00533EA6">
      <w:pPr>
        <w:rPr>
          <w:sz w:val="24"/>
        </w:rPr>
      </w:pPr>
    </w:p>
    <w:p w14:paraId="2FD87789" w14:textId="77777777" w:rsidR="00533EA6" w:rsidRPr="00533EA6" w:rsidRDefault="00533EA6" w:rsidP="00533EA6">
      <w:pPr>
        <w:rPr>
          <w:sz w:val="24"/>
        </w:rPr>
      </w:pPr>
      <w:r w:rsidRPr="00E17F04">
        <w:rPr>
          <w:i/>
          <w:sz w:val="24"/>
        </w:rPr>
        <w:t>1066: A Year to Conquer England.</w:t>
      </w:r>
      <w:r w:rsidRPr="00533EA6">
        <w:rPr>
          <w:sz w:val="24"/>
        </w:rPr>
        <w:t xml:space="preserve"> Episode 2. BBC 2. 2nd August 2018. (0230-0330).</w:t>
      </w:r>
    </w:p>
    <w:p w14:paraId="1E6E7F9D" w14:textId="77777777" w:rsidR="00533EA6" w:rsidRPr="00533EA6" w:rsidRDefault="00533EA6" w:rsidP="00533EA6">
      <w:pPr>
        <w:rPr>
          <w:sz w:val="24"/>
        </w:rPr>
      </w:pPr>
    </w:p>
    <w:p w14:paraId="10227065" w14:textId="77777777" w:rsidR="00533EA6" w:rsidRPr="00533EA6" w:rsidRDefault="00533EA6" w:rsidP="00533EA6">
      <w:pPr>
        <w:rPr>
          <w:sz w:val="24"/>
        </w:rPr>
      </w:pPr>
      <w:r w:rsidRPr="00533EA6">
        <w:rPr>
          <w:sz w:val="24"/>
        </w:rPr>
        <w:t xml:space="preserve">Plassmann, Alheydis, </w:t>
      </w:r>
      <w:bookmarkStart w:id="3" w:name="_Hlk530167071"/>
      <w:r w:rsidRPr="00E17F04">
        <w:rPr>
          <w:i/>
          <w:sz w:val="24"/>
        </w:rPr>
        <w:t>Bede’s legacy in William of Malmesbury and Henry Huntingdon</w:t>
      </w:r>
      <w:r w:rsidRPr="00533EA6">
        <w:rPr>
          <w:sz w:val="24"/>
        </w:rPr>
        <w:t xml:space="preserve"> </w:t>
      </w:r>
      <w:bookmarkEnd w:id="3"/>
      <w:r w:rsidRPr="00533EA6">
        <w:rPr>
          <w:sz w:val="24"/>
        </w:rPr>
        <w:t>(London, University of London Press, 2017)</w:t>
      </w:r>
    </w:p>
    <w:p w14:paraId="143E9BAD" w14:textId="77777777" w:rsidR="00533EA6" w:rsidRPr="00533EA6" w:rsidRDefault="00533EA6" w:rsidP="00533EA6">
      <w:pPr>
        <w:rPr>
          <w:sz w:val="24"/>
        </w:rPr>
      </w:pPr>
    </w:p>
    <w:p w14:paraId="40E6EC2D" w14:textId="77777777" w:rsidR="00533EA6" w:rsidRPr="00533EA6" w:rsidRDefault="00533EA6" w:rsidP="00533EA6">
      <w:pPr>
        <w:rPr>
          <w:sz w:val="24"/>
        </w:rPr>
      </w:pPr>
      <w:r w:rsidRPr="00533EA6">
        <w:rPr>
          <w:sz w:val="24"/>
        </w:rPr>
        <w:t xml:space="preserve">Stenton, Sir Frank, ed. </w:t>
      </w:r>
      <w:r w:rsidRPr="00E17F04">
        <w:rPr>
          <w:i/>
          <w:sz w:val="24"/>
        </w:rPr>
        <w:t>The Bayeux Tapestry</w:t>
      </w:r>
      <w:r w:rsidRPr="00533EA6">
        <w:rPr>
          <w:sz w:val="24"/>
        </w:rPr>
        <w:t>. A Comprehensive Survey. (Phaidon, London 1957)</w:t>
      </w:r>
    </w:p>
    <w:p w14:paraId="75FF5A41" w14:textId="77777777" w:rsidR="00533EA6" w:rsidRPr="00533EA6" w:rsidRDefault="00533EA6" w:rsidP="00533EA6">
      <w:pPr>
        <w:rPr>
          <w:sz w:val="24"/>
        </w:rPr>
      </w:pPr>
    </w:p>
    <w:p w14:paraId="60365CA2" w14:textId="77777777" w:rsidR="00533EA6" w:rsidRPr="00533EA6" w:rsidRDefault="00533EA6" w:rsidP="00533EA6">
      <w:pPr>
        <w:rPr>
          <w:sz w:val="24"/>
        </w:rPr>
      </w:pPr>
      <w:r w:rsidRPr="00533EA6">
        <w:rPr>
          <w:sz w:val="24"/>
        </w:rPr>
        <w:t xml:space="preserve">Stilo, Aelius, </w:t>
      </w:r>
      <w:r w:rsidRPr="00E17F04">
        <w:rPr>
          <w:i/>
          <w:sz w:val="24"/>
        </w:rPr>
        <w:t>Carmen de Hastingae Proelio</w:t>
      </w:r>
      <w:r w:rsidRPr="00533EA6">
        <w:rPr>
          <w:sz w:val="24"/>
        </w:rPr>
        <w:t xml:space="preserve">, penelope.uchicago.edu, (1997) [online] Available at: </w:t>
      </w:r>
      <w:bookmarkStart w:id="4" w:name="_Hlk530166031"/>
      <w:r w:rsidRPr="00533EA6">
        <w:rPr>
          <w:sz w:val="24"/>
        </w:rPr>
        <w:fldChar w:fldCharType="begin"/>
      </w:r>
      <w:r w:rsidRPr="00533EA6">
        <w:rPr>
          <w:sz w:val="24"/>
        </w:rPr>
        <w:instrText xml:space="preserve"> HYPERLINK "http://penelope.uchicago.edu/~grout/encyclopaedia_romana/britannia/anglo-saxon/hastings/anonymous.html" </w:instrText>
      </w:r>
      <w:r w:rsidRPr="00533EA6">
        <w:rPr>
          <w:sz w:val="24"/>
        </w:rPr>
        <w:fldChar w:fldCharType="separate"/>
      </w:r>
      <w:r w:rsidRPr="00533EA6">
        <w:rPr>
          <w:rStyle w:val="Hyperlink"/>
          <w:sz w:val="24"/>
        </w:rPr>
        <w:t>http://penelope.uchicago.edu/~grout/encyclopaedia_romana/britannia/anglo-saxon/hastings/anonymous.html</w:t>
      </w:r>
      <w:r w:rsidRPr="00533EA6">
        <w:rPr>
          <w:sz w:val="24"/>
        </w:rPr>
        <w:fldChar w:fldCharType="end"/>
      </w:r>
      <w:bookmarkEnd w:id="4"/>
      <w:r w:rsidRPr="00533EA6">
        <w:rPr>
          <w:sz w:val="24"/>
        </w:rPr>
        <w:t xml:space="preserve">  (Accessed 15</w:t>
      </w:r>
      <w:r w:rsidRPr="00533EA6">
        <w:rPr>
          <w:sz w:val="24"/>
          <w:vertAlign w:val="superscript"/>
        </w:rPr>
        <w:t>th</w:t>
      </w:r>
      <w:r w:rsidRPr="00533EA6">
        <w:rPr>
          <w:sz w:val="24"/>
        </w:rPr>
        <w:t xml:space="preserve"> November 2018)</w:t>
      </w:r>
    </w:p>
    <w:p w14:paraId="208C97C8" w14:textId="77777777" w:rsidR="00533EA6" w:rsidRPr="00533EA6" w:rsidRDefault="00533EA6" w:rsidP="00533EA6">
      <w:pPr>
        <w:rPr>
          <w:sz w:val="24"/>
        </w:rPr>
      </w:pPr>
    </w:p>
    <w:p w14:paraId="4CA7A0D5" w14:textId="77777777" w:rsidR="00533EA6" w:rsidRPr="00533EA6" w:rsidRDefault="00533EA6" w:rsidP="00533EA6">
      <w:pPr>
        <w:rPr>
          <w:sz w:val="24"/>
        </w:rPr>
      </w:pPr>
      <w:r w:rsidRPr="00533EA6">
        <w:rPr>
          <w:sz w:val="24"/>
        </w:rPr>
        <w:t xml:space="preserve">Wilson, David M. </w:t>
      </w:r>
      <w:r w:rsidRPr="00E17F04">
        <w:rPr>
          <w:i/>
          <w:sz w:val="24"/>
        </w:rPr>
        <w:t>The Bayeux Tapestry</w:t>
      </w:r>
      <w:r w:rsidRPr="00533EA6">
        <w:rPr>
          <w:sz w:val="24"/>
        </w:rPr>
        <w:t>. (Thames and Hudson, London, 1985)</w:t>
      </w:r>
    </w:p>
    <w:p w14:paraId="55D1E8AA" w14:textId="77777777" w:rsidR="00533EA6" w:rsidRPr="00533EA6" w:rsidRDefault="00533EA6" w:rsidP="00533EA6">
      <w:pPr>
        <w:rPr>
          <w:sz w:val="24"/>
        </w:rPr>
      </w:pPr>
    </w:p>
    <w:p w14:paraId="70D7A110" w14:textId="36050DFA" w:rsidR="00533EA6" w:rsidRPr="00533EA6" w:rsidRDefault="00533EA6" w:rsidP="00533EA6">
      <w:pPr>
        <w:rPr>
          <w:sz w:val="24"/>
        </w:rPr>
      </w:pPr>
      <w:r w:rsidRPr="00533EA6">
        <w:rPr>
          <w:sz w:val="24"/>
        </w:rPr>
        <w:t xml:space="preserve">Winterbottom, Michael, </w:t>
      </w:r>
      <w:r w:rsidRPr="00E17F04">
        <w:rPr>
          <w:i/>
          <w:sz w:val="24"/>
        </w:rPr>
        <w:t>William of Malmesbury and the Normans.</w:t>
      </w:r>
      <w:r w:rsidRPr="00533EA6">
        <w:rPr>
          <w:sz w:val="24"/>
        </w:rPr>
        <w:t xml:space="preserve"> The Journal of Medieval Latin. (2010) Available </w:t>
      </w:r>
      <w:r w:rsidR="00E17F04" w:rsidRPr="00533EA6">
        <w:rPr>
          <w:sz w:val="24"/>
        </w:rPr>
        <w:t>at:</w:t>
      </w:r>
      <w:r w:rsidRPr="00533EA6">
        <w:rPr>
          <w:sz w:val="24"/>
        </w:rPr>
        <w:t xml:space="preserve"> </w:t>
      </w:r>
      <w:hyperlink r:id="rId8" w:history="1">
        <w:r w:rsidRPr="00533EA6">
          <w:rPr>
            <w:rStyle w:val="Hyperlink"/>
            <w:sz w:val="24"/>
          </w:rPr>
          <w:t>https://doi.org/10.1484/J.JML.1.102101</w:t>
        </w:r>
      </w:hyperlink>
      <w:r w:rsidRPr="00533EA6">
        <w:rPr>
          <w:sz w:val="24"/>
        </w:rPr>
        <w:t xml:space="preserve"> (Accessed 16th November 2018) </w:t>
      </w:r>
    </w:p>
    <w:p w14:paraId="1B4AE4D1" w14:textId="77777777" w:rsidR="00533EA6" w:rsidRPr="00533EA6" w:rsidRDefault="00533EA6" w:rsidP="00533EA6">
      <w:pPr>
        <w:rPr>
          <w:sz w:val="24"/>
        </w:rPr>
      </w:pPr>
    </w:p>
    <w:p w14:paraId="2338DF19" w14:textId="77777777" w:rsidR="00533EA6" w:rsidRPr="00533EA6" w:rsidRDefault="00533EA6" w:rsidP="00533EA6">
      <w:pPr>
        <w:rPr>
          <w:sz w:val="24"/>
        </w:rPr>
      </w:pPr>
      <w:r w:rsidRPr="00533EA6">
        <w:rPr>
          <w:sz w:val="24"/>
        </w:rPr>
        <w:lastRenderedPageBreak/>
        <w:t xml:space="preserve">Women’s Hour, </w:t>
      </w:r>
      <w:r w:rsidRPr="00533EA6">
        <w:rPr>
          <w:i/>
          <w:sz w:val="24"/>
        </w:rPr>
        <w:t>New Contender for The Bayeux Tapestry?</w:t>
      </w:r>
      <w:r w:rsidRPr="00533EA6">
        <w:rPr>
          <w:sz w:val="24"/>
        </w:rPr>
        <w:t xml:space="preserve"> BBC Radio 4, 22 May 2006, 1600-1700. </w:t>
      </w:r>
    </w:p>
    <w:p w14:paraId="5E6455AA" w14:textId="77777777" w:rsidR="00C23DC4" w:rsidRDefault="00C23DC4" w:rsidP="00665D11">
      <w:pPr>
        <w:rPr>
          <w:sz w:val="24"/>
        </w:rPr>
      </w:pPr>
    </w:p>
    <w:sectPr w:rsidR="00C23D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42E5A1" w14:textId="77777777" w:rsidR="00977DB9" w:rsidRDefault="00977DB9" w:rsidP="0095492A">
      <w:pPr>
        <w:spacing w:after="0" w:line="240" w:lineRule="auto"/>
      </w:pPr>
      <w:r>
        <w:separator/>
      </w:r>
    </w:p>
  </w:endnote>
  <w:endnote w:type="continuationSeparator" w:id="0">
    <w:p w14:paraId="25FA6E08" w14:textId="77777777" w:rsidR="00977DB9" w:rsidRDefault="00977DB9" w:rsidP="009549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E3DE69" w14:textId="77777777" w:rsidR="00977DB9" w:rsidRDefault="00977DB9" w:rsidP="0095492A">
      <w:pPr>
        <w:spacing w:after="0" w:line="240" w:lineRule="auto"/>
      </w:pPr>
      <w:r>
        <w:separator/>
      </w:r>
    </w:p>
  </w:footnote>
  <w:footnote w:type="continuationSeparator" w:id="0">
    <w:p w14:paraId="5A2DCE7E" w14:textId="77777777" w:rsidR="00977DB9" w:rsidRDefault="00977DB9" w:rsidP="0095492A">
      <w:pPr>
        <w:spacing w:after="0" w:line="240" w:lineRule="auto"/>
      </w:pPr>
      <w:r>
        <w:continuationSeparator/>
      </w:r>
    </w:p>
  </w:footnote>
  <w:footnote w:id="1">
    <w:p w14:paraId="223DFEAC" w14:textId="3CC81AC9" w:rsidR="00533EA6" w:rsidRDefault="00533EA6">
      <w:pPr>
        <w:pStyle w:val="FootnoteText"/>
      </w:pPr>
      <w:r>
        <w:rPr>
          <w:rStyle w:val="FootnoteReference"/>
        </w:rPr>
        <w:footnoteRef/>
      </w:r>
      <w:r>
        <w:t xml:space="preserve"> D. Wilson, </w:t>
      </w:r>
      <w:r w:rsidRPr="00E17F04">
        <w:rPr>
          <w:i/>
        </w:rPr>
        <w:t>The Bayeux Tapestry</w:t>
      </w:r>
      <w:r>
        <w:t xml:space="preserve"> pg.201-27</w:t>
      </w:r>
    </w:p>
  </w:footnote>
  <w:footnote w:id="2">
    <w:p w14:paraId="3F5FC6DB" w14:textId="1BD8FBB9" w:rsidR="00533EA6" w:rsidRDefault="00533EA6">
      <w:pPr>
        <w:pStyle w:val="FootnoteText"/>
      </w:pPr>
      <w:r>
        <w:rPr>
          <w:rStyle w:val="FootnoteReference"/>
        </w:rPr>
        <w:footnoteRef/>
      </w:r>
      <w:r>
        <w:t xml:space="preserve"> </w:t>
      </w:r>
      <w:r w:rsidRPr="00E17F04">
        <w:rPr>
          <w:i/>
        </w:rPr>
        <w:t>‘1066: A Year to Conquer England’</w:t>
      </w:r>
      <w:r w:rsidRPr="00E048ED">
        <w:t xml:space="preserve"> Episode 2, BBC2, (2 Aug 2018), 0230-0330</w:t>
      </w:r>
    </w:p>
  </w:footnote>
  <w:footnote w:id="3">
    <w:p w14:paraId="585C8624" w14:textId="747A4803" w:rsidR="00533EA6" w:rsidRDefault="00533EA6">
      <w:pPr>
        <w:pStyle w:val="FootnoteText"/>
      </w:pPr>
      <w:r>
        <w:rPr>
          <w:rStyle w:val="FootnoteReference"/>
        </w:rPr>
        <w:footnoteRef/>
      </w:r>
      <w:r>
        <w:t xml:space="preserve"> M.T. Clancy, </w:t>
      </w:r>
      <w:r w:rsidRPr="00E17F04">
        <w:rPr>
          <w:i/>
        </w:rPr>
        <w:t>England and its Rulers</w:t>
      </w:r>
      <w:r>
        <w:t xml:space="preserve"> pg.37-61</w:t>
      </w:r>
    </w:p>
  </w:footnote>
  <w:footnote w:id="4">
    <w:p w14:paraId="7092F0F6" w14:textId="0409FF25" w:rsidR="00533EA6" w:rsidRPr="00E17F04" w:rsidRDefault="00533EA6">
      <w:pPr>
        <w:pStyle w:val="FootnoteText"/>
        <w:rPr>
          <w:i/>
        </w:rPr>
      </w:pPr>
      <w:r>
        <w:rPr>
          <w:rStyle w:val="FootnoteReference"/>
        </w:rPr>
        <w:footnoteRef/>
      </w:r>
      <w:r>
        <w:t xml:space="preserve"> </w:t>
      </w:r>
      <w:r w:rsidRPr="00E048ED">
        <w:t xml:space="preserve">Sir F. Stenton, </w:t>
      </w:r>
      <w:r w:rsidRPr="00E17F04">
        <w:rPr>
          <w:i/>
        </w:rPr>
        <w:t xml:space="preserve">The Bayeux Tapestry. A Comprehensive survey </w:t>
      </w:r>
    </w:p>
  </w:footnote>
  <w:footnote w:id="5">
    <w:p w14:paraId="5032FE0F" w14:textId="14ABD89B" w:rsidR="00533EA6" w:rsidRDefault="00533EA6">
      <w:pPr>
        <w:pStyle w:val="FootnoteText"/>
      </w:pPr>
      <w:r>
        <w:rPr>
          <w:rStyle w:val="FootnoteReference"/>
        </w:rPr>
        <w:footnoteRef/>
      </w:r>
      <w:r>
        <w:t xml:space="preserve"> </w:t>
      </w:r>
      <w:r w:rsidRPr="00E048ED">
        <w:t xml:space="preserve">Wilson, </w:t>
      </w:r>
      <w:r w:rsidRPr="00E17F04">
        <w:rPr>
          <w:i/>
        </w:rPr>
        <w:t>The Bayeux Tapestry</w:t>
      </w:r>
      <w:r w:rsidRPr="00E048ED">
        <w:t xml:space="preserve"> pg.201-27</w:t>
      </w:r>
    </w:p>
  </w:footnote>
  <w:footnote w:id="6">
    <w:p w14:paraId="18762709" w14:textId="1440DB4D" w:rsidR="00533EA6" w:rsidRDefault="00533EA6">
      <w:pPr>
        <w:pStyle w:val="FootnoteText"/>
      </w:pPr>
      <w:r>
        <w:rPr>
          <w:rStyle w:val="FootnoteReference"/>
        </w:rPr>
        <w:footnoteRef/>
      </w:r>
      <w:r>
        <w:t xml:space="preserve"> </w:t>
      </w:r>
      <w:r w:rsidRPr="00E048ED">
        <w:t xml:space="preserve">E. Coatsworth, </w:t>
      </w:r>
      <w:r w:rsidRPr="00E17F04">
        <w:rPr>
          <w:i/>
        </w:rPr>
        <w:t>Stitches in time: Establishing a History of Anglo-Saxon Embroidery</w:t>
      </w:r>
      <w:r w:rsidRPr="00E048ED">
        <w:t xml:space="preserve"> pg.1-27</w:t>
      </w:r>
    </w:p>
  </w:footnote>
  <w:footnote w:id="7">
    <w:p w14:paraId="4F49667B" w14:textId="0FA9883B" w:rsidR="00533EA6" w:rsidRDefault="00533EA6">
      <w:pPr>
        <w:pStyle w:val="FootnoteText"/>
      </w:pPr>
      <w:r>
        <w:rPr>
          <w:rStyle w:val="FootnoteReference"/>
        </w:rPr>
        <w:footnoteRef/>
      </w:r>
      <w:r>
        <w:t xml:space="preserve"> </w:t>
      </w:r>
      <w:r w:rsidRPr="00E048ED">
        <w:t>‘</w:t>
      </w:r>
      <w:r w:rsidRPr="00E17F04">
        <w:rPr>
          <w:i/>
        </w:rPr>
        <w:t>New Contender for The Bayeux Tapestry?’,</w:t>
      </w:r>
      <w:r w:rsidRPr="00E048ED">
        <w:t xml:space="preserve"> Women’s Hour BBC Radio 4, (22 May 2006), 1600-1700.</w:t>
      </w:r>
    </w:p>
  </w:footnote>
  <w:footnote w:id="8">
    <w:p w14:paraId="4DED5F24" w14:textId="7E46C968" w:rsidR="00533EA6" w:rsidRDefault="00533EA6">
      <w:pPr>
        <w:pStyle w:val="FootnoteText"/>
      </w:pPr>
      <w:r>
        <w:rPr>
          <w:rStyle w:val="FootnoteReference"/>
        </w:rPr>
        <w:footnoteRef/>
      </w:r>
      <w:r>
        <w:t xml:space="preserve"> Clancy, </w:t>
      </w:r>
      <w:r w:rsidRPr="00E17F04">
        <w:rPr>
          <w:i/>
        </w:rPr>
        <w:t>England and Its Rulers</w:t>
      </w:r>
      <w:r>
        <w:t xml:space="preserve"> pg.37-61</w:t>
      </w:r>
    </w:p>
  </w:footnote>
  <w:footnote w:id="9">
    <w:p w14:paraId="2667B57B" w14:textId="18751F30" w:rsidR="00533EA6" w:rsidRDefault="00533EA6">
      <w:pPr>
        <w:pStyle w:val="FootnoteText"/>
      </w:pPr>
      <w:r>
        <w:rPr>
          <w:rStyle w:val="FootnoteReference"/>
        </w:rPr>
        <w:footnoteRef/>
      </w:r>
      <w:r>
        <w:t xml:space="preserve"> </w:t>
      </w:r>
      <w:r w:rsidRPr="00E048ED">
        <w:t xml:space="preserve">Wilson, </w:t>
      </w:r>
      <w:r w:rsidRPr="00E17F04">
        <w:rPr>
          <w:i/>
        </w:rPr>
        <w:t>The Bayeux Tapestry</w:t>
      </w:r>
      <w:r w:rsidRPr="00E048ED">
        <w:t xml:space="preserve"> pg.201-27</w:t>
      </w:r>
    </w:p>
  </w:footnote>
  <w:footnote w:id="10">
    <w:p w14:paraId="73A9FB82" w14:textId="043B78FF" w:rsidR="00533EA6" w:rsidRDefault="00533EA6">
      <w:pPr>
        <w:pStyle w:val="FootnoteText"/>
      </w:pPr>
      <w:r>
        <w:rPr>
          <w:rStyle w:val="FootnoteReference"/>
        </w:rPr>
        <w:footnoteRef/>
      </w:r>
      <w:r>
        <w:t xml:space="preserve"> </w:t>
      </w:r>
      <w:r w:rsidRPr="00E048ED">
        <w:t xml:space="preserve">Wilson, </w:t>
      </w:r>
      <w:r w:rsidRPr="00E17F04">
        <w:rPr>
          <w:i/>
        </w:rPr>
        <w:t>The Bayeux Tapestry</w:t>
      </w:r>
      <w:r w:rsidRPr="00E048ED">
        <w:t xml:space="preserve"> pg.201-27</w:t>
      </w:r>
    </w:p>
  </w:footnote>
  <w:footnote w:id="11">
    <w:p w14:paraId="5B22A389" w14:textId="1C57C9D5" w:rsidR="00533EA6" w:rsidRDefault="00533EA6">
      <w:pPr>
        <w:pStyle w:val="FootnoteText"/>
      </w:pPr>
      <w:r>
        <w:rPr>
          <w:rStyle w:val="FootnoteReference"/>
        </w:rPr>
        <w:footnoteRef/>
      </w:r>
      <w:r>
        <w:t xml:space="preserve"> </w:t>
      </w:r>
      <w:r w:rsidRPr="00E048ED">
        <w:t xml:space="preserve">A. Bridgeford, </w:t>
      </w:r>
      <w:r w:rsidRPr="00E17F04">
        <w:rPr>
          <w:i/>
        </w:rPr>
        <w:t>1066: The Hidden History in the Bayeux Tapestry</w:t>
      </w:r>
    </w:p>
  </w:footnote>
  <w:footnote w:id="12">
    <w:p w14:paraId="5AE89B9B" w14:textId="5B74CF2A" w:rsidR="00533EA6" w:rsidRDefault="00533EA6">
      <w:pPr>
        <w:pStyle w:val="FootnoteText"/>
      </w:pPr>
      <w:r>
        <w:rPr>
          <w:rStyle w:val="FootnoteReference"/>
        </w:rPr>
        <w:footnoteRef/>
      </w:r>
      <w:r>
        <w:t xml:space="preserve"> </w:t>
      </w:r>
      <w:r w:rsidRPr="00E048ED">
        <w:t>‘</w:t>
      </w:r>
      <w:r w:rsidRPr="00E17F04">
        <w:rPr>
          <w:i/>
        </w:rPr>
        <w:t>1066: A year to Conquer England’</w:t>
      </w:r>
    </w:p>
  </w:footnote>
  <w:footnote w:id="13">
    <w:p w14:paraId="28A6652C" w14:textId="6E6B8788" w:rsidR="00533EA6" w:rsidRDefault="00533EA6">
      <w:pPr>
        <w:pStyle w:val="FootnoteText"/>
      </w:pPr>
      <w:r>
        <w:rPr>
          <w:rStyle w:val="FootnoteReference"/>
        </w:rPr>
        <w:footnoteRef/>
      </w:r>
      <w:r>
        <w:t xml:space="preserve"> Aelius</w:t>
      </w:r>
      <w:r w:rsidR="00E17F04">
        <w:t>,</w:t>
      </w:r>
      <w:r>
        <w:t xml:space="preserve"> Stilo, </w:t>
      </w:r>
      <w:r w:rsidRPr="00E17F04">
        <w:rPr>
          <w:i/>
        </w:rPr>
        <w:t>Carmen de Hastingae Proelio</w:t>
      </w:r>
      <w:r>
        <w:t>, Penelope.uchicago.edu (1997)</w:t>
      </w:r>
      <w:r w:rsidRPr="008675E0">
        <w:t xml:space="preserve"> </w:t>
      </w:r>
      <w:r>
        <w:t xml:space="preserve">[online] Available: </w:t>
      </w:r>
      <w:hyperlink r:id="rId1" w:history="1">
        <w:r w:rsidRPr="00B963F0">
          <w:rPr>
            <w:rStyle w:val="Hyperlink"/>
          </w:rPr>
          <w:t>http://penelope.uchicago.edu/~grout/encyclopaedia_romana/britannia/anglo-saxon/hastings/anonymous.html</w:t>
        </w:r>
      </w:hyperlink>
      <w:r>
        <w:t xml:space="preserve"> </w:t>
      </w:r>
    </w:p>
  </w:footnote>
  <w:footnote w:id="14">
    <w:p w14:paraId="128416FD" w14:textId="27FE17C6" w:rsidR="00533EA6" w:rsidRDefault="00533EA6">
      <w:pPr>
        <w:pStyle w:val="FootnoteText"/>
      </w:pPr>
      <w:r>
        <w:rPr>
          <w:rStyle w:val="FootnoteReference"/>
        </w:rPr>
        <w:footnoteRef/>
      </w:r>
      <w:r>
        <w:t xml:space="preserve"> </w:t>
      </w:r>
      <w:r w:rsidRPr="008675E0">
        <w:t xml:space="preserve">R. H. C. </w:t>
      </w:r>
      <w:bookmarkStart w:id="0" w:name="_Hlk530166298"/>
      <w:r w:rsidRPr="008675E0">
        <w:t xml:space="preserve">Davis, </w:t>
      </w:r>
      <w:r w:rsidRPr="00E17F04">
        <w:rPr>
          <w:i/>
        </w:rPr>
        <w:t>The Carmen de Hastingae Proelio</w:t>
      </w:r>
      <w:bookmarkEnd w:id="0"/>
      <w:r w:rsidRPr="008675E0">
        <w:t xml:space="preserve">, The English Historical Review </w:t>
      </w:r>
      <w:r>
        <w:t>pg.</w:t>
      </w:r>
      <w:r w:rsidRPr="008675E0">
        <w:t>241-261</w:t>
      </w:r>
      <w:r>
        <w:t xml:space="preserve"> </w:t>
      </w:r>
    </w:p>
  </w:footnote>
  <w:footnote w:id="15">
    <w:p w14:paraId="70729EC1" w14:textId="23A9F611" w:rsidR="00533EA6" w:rsidRDefault="00533EA6">
      <w:pPr>
        <w:pStyle w:val="FootnoteText"/>
      </w:pPr>
      <w:r>
        <w:rPr>
          <w:rStyle w:val="FootnoteReference"/>
        </w:rPr>
        <w:footnoteRef/>
      </w:r>
      <w:r>
        <w:t xml:space="preserve"> </w:t>
      </w:r>
      <w:r w:rsidRPr="008675E0">
        <w:t xml:space="preserve">Elisabeth van Houts, </w:t>
      </w:r>
      <w:r w:rsidRPr="00E17F04">
        <w:rPr>
          <w:i/>
        </w:rPr>
        <w:t>Latin Poetry and the Anglo-Norman Court 1066-1135: The Carmen de Hastingae Proelio</w:t>
      </w:r>
      <w:r w:rsidR="00E17F04">
        <w:t>,</w:t>
      </w:r>
      <w:r w:rsidRPr="008675E0">
        <w:t xml:space="preserve"> Journal of Medieval History </w:t>
      </w:r>
      <w:r>
        <w:t>pg.</w:t>
      </w:r>
      <w:r w:rsidRPr="008675E0">
        <w:t xml:space="preserve"> 39-62</w:t>
      </w:r>
    </w:p>
  </w:footnote>
  <w:footnote w:id="16">
    <w:p w14:paraId="784150D0" w14:textId="4F90C0D6" w:rsidR="00533EA6" w:rsidRDefault="00533EA6">
      <w:pPr>
        <w:pStyle w:val="FootnoteText"/>
      </w:pPr>
      <w:r>
        <w:rPr>
          <w:rStyle w:val="FootnoteReference"/>
        </w:rPr>
        <w:footnoteRef/>
      </w:r>
      <w:r>
        <w:t xml:space="preserve"> </w:t>
      </w:r>
      <w:r w:rsidRPr="008675E0">
        <w:t>Thomas O'Donnell</w:t>
      </w:r>
      <w:r w:rsidRPr="00E17F04">
        <w:rPr>
          <w:i/>
        </w:rPr>
        <w:t>, The Carmen de Hastingae Proelio and the Poetics of 1067</w:t>
      </w:r>
      <w:r w:rsidRPr="008675E0">
        <w:t>, Anglo-Norman Studies</w:t>
      </w:r>
      <w:r>
        <w:t xml:space="preserve"> pg.</w:t>
      </w:r>
      <w:r w:rsidRPr="008675E0">
        <w:t>151-162.</w:t>
      </w:r>
    </w:p>
  </w:footnote>
  <w:footnote w:id="17">
    <w:p w14:paraId="7CC641C1" w14:textId="6433CEFB" w:rsidR="00533EA6" w:rsidRDefault="00533EA6">
      <w:pPr>
        <w:pStyle w:val="FootnoteText"/>
      </w:pPr>
      <w:r>
        <w:rPr>
          <w:rStyle w:val="FootnoteReference"/>
        </w:rPr>
        <w:footnoteRef/>
      </w:r>
      <w:r>
        <w:t xml:space="preserve"> Stilo, </w:t>
      </w:r>
      <w:r w:rsidRPr="00E17F04">
        <w:rPr>
          <w:i/>
        </w:rPr>
        <w:t>Carmen de Hastingae Proelio</w:t>
      </w:r>
    </w:p>
  </w:footnote>
  <w:footnote w:id="18">
    <w:p w14:paraId="5CD5959A" w14:textId="15C25EF3" w:rsidR="00533EA6" w:rsidRDefault="00533EA6">
      <w:pPr>
        <w:pStyle w:val="FootnoteText"/>
      </w:pPr>
      <w:r>
        <w:rPr>
          <w:rStyle w:val="FootnoteReference"/>
        </w:rPr>
        <w:footnoteRef/>
      </w:r>
      <w:r>
        <w:t xml:space="preserve"> </w:t>
      </w:r>
      <w:r w:rsidRPr="008675E0">
        <w:t xml:space="preserve">Stilo, </w:t>
      </w:r>
      <w:r w:rsidRPr="00E17F04">
        <w:rPr>
          <w:i/>
        </w:rPr>
        <w:t>Carmen de Hastingae Proelio</w:t>
      </w:r>
    </w:p>
  </w:footnote>
  <w:footnote w:id="19">
    <w:p w14:paraId="08D924F8" w14:textId="07A4EF84" w:rsidR="00533EA6" w:rsidRDefault="00533EA6">
      <w:pPr>
        <w:pStyle w:val="FootnoteText"/>
      </w:pPr>
      <w:r>
        <w:rPr>
          <w:rStyle w:val="FootnoteReference"/>
        </w:rPr>
        <w:footnoteRef/>
      </w:r>
      <w:r>
        <w:t xml:space="preserve"> </w:t>
      </w:r>
      <w:r w:rsidRPr="008675E0">
        <w:t xml:space="preserve">Davis, </w:t>
      </w:r>
      <w:r w:rsidRPr="00E17F04">
        <w:rPr>
          <w:i/>
        </w:rPr>
        <w:t>The Carmen de Hastingae Proelio</w:t>
      </w:r>
      <w:r>
        <w:t xml:space="preserve"> pg.241- 261</w:t>
      </w:r>
    </w:p>
  </w:footnote>
  <w:footnote w:id="20">
    <w:p w14:paraId="4F35EE34" w14:textId="7B6F55F2" w:rsidR="00533EA6" w:rsidRDefault="00533EA6">
      <w:pPr>
        <w:pStyle w:val="FootnoteText"/>
      </w:pPr>
      <w:r>
        <w:rPr>
          <w:rStyle w:val="FootnoteReference"/>
        </w:rPr>
        <w:footnoteRef/>
      </w:r>
      <w:r>
        <w:t xml:space="preserve"> C. Warren Hollister, </w:t>
      </w:r>
      <w:r w:rsidRPr="00E17F04">
        <w:rPr>
          <w:i/>
        </w:rPr>
        <w:t>Henry I,</w:t>
      </w:r>
      <w:r>
        <w:t xml:space="preserve"> pg.3-4</w:t>
      </w:r>
    </w:p>
  </w:footnote>
  <w:footnote w:id="21">
    <w:p w14:paraId="2B5DD12E" w14:textId="713E7D3F" w:rsidR="00533EA6" w:rsidRDefault="00533EA6">
      <w:pPr>
        <w:pStyle w:val="FootnoteText"/>
      </w:pPr>
      <w:r>
        <w:rPr>
          <w:rStyle w:val="FootnoteReference"/>
        </w:rPr>
        <w:footnoteRef/>
      </w:r>
      <w:r>
        <w:t xml:space="preserve"> Michael Winterbottom, </w:t>
      </w:r>
      <w:r w:rsidRPr="00E17F04">
        <w:rPr>
          <w:i/>
        </w:rPr>
        <w:t>William of Malmesbury and Normans,</w:t>
      </w:r>
      <w:r>
        <w:t xml:space="preserve"> </w:t>
      </w:r>
      <w:r w:rsidRPr="00836C06">
        <w:t xml:space="preserve">The Journal of Medieval Latin. </w:t>
      </w:r>
      <w:r>
        <w:t>pg.</w:t>
      </w:r>
      <w:r w:rsidRPr="00836C06">
        <w:t>70–77.</w:t>
      </w:r>
    </w:p>
  </w:footnote>
  <w:footnote w:id="22">
    <w:p w14:paraId="2843CF3E" w14:textId="7DD65AD6" w:rsidR="00533EA6" w:rsidRDefault="00533EA6">
      <w:pPr>
        <w:pStyle w:val="FootnoteText"/>
      </w:pPr>
      <w:r>
        <w:rPr>
          <w:rStyle w:val="FootnoteReference"/>
        </w:rPr>
        <w:footnoteRef/>
      </w:r>
      <w:r>
        <w:t xml:space="preserve"> </w:t>
      </w:r>
      <w:bookmarkStart w:id="1" w:name="_Hlk530167208"/>
      <w:r>
        <w:t xml:space="preserve">Hollister, </w:t>
      </w:r>
      <w:r w:rsidRPr="00E17F04">
        <w:rPr>
          <w:i/>
        </w:rPr>
        <w:t>Henry I</w:t>
      </w:r>
      <w:r>
        <w:t>, pg</w:t>
      </w:r>
      <w:r w:rsidR="00E17F04">
        <w:t>.</w:t>
      </w:r>
      <w:r>
        <w:t xml:space="preserve"> 3-4</w:t>
      </w:r>
      <w:bookmarkEnd w:id="1"/>
    </w:p>
  </w:footnote>
  <w:footnote w:id="23">
    <w:p w14:paraId="7B35FDA7" w14:textId="0B9384D8" w:rsidR="00533EA6" w:rsidRDefault="00533EA6">
      <w:pPr>
        <w:pStyle w:val="FootnoteText"/>
      </w:pPr>
      <w:r>
        <w:rPr>
          <w:rStyle w:val="FootnoteReference"/>
        </w:rPr>
        <w:footnoteRef/>
      </w:r>
      <w:r>
        <w:t xml:space="preserve"> Winterbottom, William of Malmesbury and Normans, pg.70-77</w:t>
      </w:r>
    </w:p>
  </w:footnote>
  <w:footnote w:id="24">
    <w:p w14:paraId="63DC59E0" w14:textId="1204BA38" w:rsidR="00533EA6" w:rsidRDefault="00533EA6">
      <w:pPr>
        <w:pStyle w:val="FootnoteText"/>
      </w:pPr>
      <w:r>
        <w:rPr>
          <w:rStyle w:val="FootnoteReference"/>
        </w:rPr>
        <w:footnoteRef/>
      </w:r>
      <w:r>
        <w:t xml:space="preserve"> </w:t>
      </w:r>
      <w:r w:rsidRPr="00836C06">
        <w:t>Alheydis Plassmann</w:t>
      </w:r>
      <w:r>
        <w:t xml:space="preserve">, </w:t>
      </w:r>
      <w:r w:rsidRPr="00E17F04">
        <w:rPr>
          <w:i/>
        </w:rPr>
        <w:t>Bede’s legacy in William of Malmesbury and Henry Huntingdon</w:t>
      </w:r>
      <w:r>
        <w:t>, pg.2-14</w:t>
      </w:r>
    </w:p>
  </w:footnote>
  <w:footnote w:id="25">
    <w:p w14:paraId="7473B5FA" w14:textId="61A7CFA8" w:rsidR="00533EA6" w:rsidRDefault="00533EA6">
      <w:pPr>
        <w:pStyle w:val="FootnoteText"/>
      </w:pPr>
      <w:r>
        <w:rPr>
          <w:rStyle w:val="FootnoteReference"/>
        </w:rPr>
        <w:footnoteRef/>
      </w:r>
      <w:r>
        <w:t xml:space="preserve"> </w:t>
      </w:r>
      <w:r w:rsidRPr="00A1350D">
        <w:t xml:space="preserve">Hollister, </w:t>
      </w:r>
      <w:r w:rsidRPr="00E17F04">
        <w:rPr>
          <w:i/>
        </w:rPr>
        <w:t>Henry I,</w:t>
      </w:r>
      <w:r w:rsidRPr="00A1350D">
        <w:t xml:space="preserve"> pg</w:t>
      </w:r>
      <w:r w:rsidR="00E17F04">
        <w:t>.</w:t>
      </w:r>
      <w:r w:rsidRPr="00A1350D">
        <w:t xml:space="preserve"> 3-4</w:t>
      </w:r>
    </w:p>
  </w:footnote>
  <w:footnote w:id="26">
    <w:p w14:paraId="3E9A8235" w14:textId="2AD5959E" w:rsidR="00533EA6" w:rsidRDefault="00533EA6">
      <w:pPr>
        <w:pStyle w:val="FootnoteText"/>
      </w:pPr>
      <w:r>
        <w:rPr>
          <w:rStyle w:val="FootnoteReference"/>
        </w:rPr>
        <w:footnoteRef/>
      </w:r>
      <w:r>
        <w:t xml:space="preserve"> Plassmann,</w:t>
      </w:r>
      <w:r w:rsidRPr="00836C06">
        <w:t xml:space="preserve"> </w:t>
      </w:r>
      <w:r w:rsidRPr="00E17F04">
        <w:rPr>
          <w:i/>
        </w:rPr>
        <w:t>Bede’s legacy in William of Malmesbury and Henry Huntingdon</w:t>
      </w:r>
      <w:r>
        <w:t>, pg.2-14</w:t>
      </w:r>
    </w:p>
  </w:footnote>
  <w:footnote w:id="27">
    <w:p w14:paraId="27C4D351" w14:textId="11255E85" w:rsidR="00533EA6" w:rsidRDefault="00533EA6">
      <w:pPr>
        <w:pStyle w:val="FootnoteText"/>
      </w:pPr>
      <w:r>
        <w:rPr>
          <w:rStyle w:val="FootnoteReference"/>
        </w:rPr>
        <w:footnoteRef/>
      </w:r>
      <w:r>
        <w:t xml:space="preserve"> </w:t>
      </w:r>
      <w:r w:rsidRPr="00A1350D">
        <w:t xml:space="preserve">Hollister, </w:t>
      </w:r>
      <w:r w:rsidRPr="00E17F04">
        <w:rPr>
          <w:i/>
        </w:rPr>
        <w:t>Henry I</w:t>
      </w:r>
      <w:r w:rsidRPr="00A1350D">
        <w:t>, pg</w:t>
      </w:r>
      <w:r w:rsidR="00E17F04">
        <w:t>.</w:t>
      </w:r>
      <w:r w:rsidRPr="00A1350D">
        <w:t xml:space="preserve"> 3-4</w:t>
      </w:r>
    </w:p>
  </w:footnote>
  <w:footnote w:id="28">
    <w:p w14:paraId="7F89ADD5" w14:textId="4DD723C2" w:rsidR="00533EA6" w:rsidRDefault="00533EA6">
      <w:pPr>
        <w:pStyle w:val="FootnoteText"/>
      </w:pPr>
      <w:r>
        <w:rPr>
          <w:rStyle w:val="FootnoteReference"/>
        </w:rPr>
        <w:footnoteRef/>
      </w:r>
      <w:r>
        <w:t xml:space="preserve"> </w:t>
      </w:r>
      <w:r w:rsidRPr="00A1350D">
        <w:t>R.H.C. Davis</w:t>
      </w:r>
      <w:r>
        <w:t>,</w:t>
      </w:r>
      <w:r w:rsidRPr="00A1350D">
        <w:t xml:space="preserve"> </w:t>
      </w:r>
      <w:r w:rsidRPr="00E17F04">
        <w:rPr>
          <w:i/>
        </w:rPr>
        <w:t>William of Poitiers and his history of William the Conqueror</w:t>
      </w:r>
    </w:p>
  </w:footnote>
  <w:footnote w:id="29">
    <w:p w14:paraId="6E0F67AF" w14:textId="5183A410" w:rsidR="00533EA6" w:rsidRDefault="00533EA6">
      <w:pPr>
        <w:pStyle w:val="FootnoteText"/>
      </w:pPr>
      <w:r>
        <w:rPr>
          <w:rStyle w:val="FootnoteReference"/>
        </w:rPr>
        <w:footnoteRef/>
      </w:r>
      <w:r>
        <w:t xml:space="preserve"> </w:t>
      </w:r>
      <w:r w:rsidRPr="00A1350D">
        <w:t>Davis</w:t>
      </w:r>
      <w:r>
        <w:t>,</w:t>
      </w:r>
      <w:r w:rsidRPr="00A1350D">
        <w:t xml:space="preserve"> </w:t>
      </w:r>
      <w:r w:rsidRPr="00E17F04">
        <w:rPr>
          <w:i/>
        </w:rPr>
        <w:t>William of Poitiers and his history of William the Conqueror</w:t>
      </w:r>
    </w:p>
  </w:footnote>
  <w:footnote w:id="30">
    <w:p w14:paraId="7FE7298A" w14:textId="481CBA56" w:rsidR="00533EA6" w:rsidRDefault="00533EA6">
      <w:pPr>
        <w:pStyle w:val="FootnoteText"/>
      </w:pPr>
      <w:r>
        <w:rPr>
          <w:rStyle w:val="FootnoteReference"/>
        </w:rPr>
        <w:footnoteRef/>
      </w:r>
      <w:r>
        <w:t xml:space="preserve"> </w:t>
      </w:r>
      <w:r w:rsidRPr="00A1350D">
        <w:t xml:space="preserve">R.H.C. Davis and Marjorie Chibnall (eds.) </w:t>
      </w:r>
      <w:r w:rsidRPr="00E17F04">
        <w:rPr>
          <w:i/>
        </w:rPr>
        <w:t xml:space="preserve">Introduction from William of Poitiers 'Gesta Guillemi' - The Deeds of William the Conqueror', </w:t>
      </w:r>
      <w:r w:rsidRPr="00A1350D">
        <w:t>trans. Davis, R.H.C. and Marjorie Chibnall p</w:t>
      </w:r>
      <w:r>
        <w:t>g. 16-17</w:t>
      </w:r>
      <w:r w:rsidRPr="00A1350D">
        <w:t>.</w:t>
      </w:r>
      <w:r>
        <w:t xml:space="preserve"> </w:t>
      </w:r>
    </w:p>
  </w:footnote>
  <w:footnote w:id="31">
    <w:p w14:paraId="04F01C22" w14:textId="0E24DC8A" w:rsidR="00533EA6" w:rsidRDefault="00533EA6">
      <w:pPr>
        <w:pStyle w:val="FootnoteText"/>
      </w:pPr>
      <w:r>
        <w:rPr>
          <w:rStyle w:val="FootnoteReference"/>
        </w:rPr>
        <w:footnoteRef/>
      </w:r>
      <w:r>
        <w:t xml:space="preserve"> </w:t>
      </w:r>
      <w:r w:rsidRPr="00A1350D">
        <w:t xml:space="preserve">Davis, </w:t>
      </w:r>
      <w:r w:rsidRPr="00E17F04">
        <w:rPr>
          <w:i/>
        </w:rPr>
        <w:t>William of Poitiers and his history of William the Conqueror</w:t>
      </w:r>
    </w:p>
  </w:footnote>
  <w:footnote w:id="32">
    <w:p w14:paraId="446EE9ED" w14:textId="1405BAF2" w:rsidR="00533EA6" w:rsidRDefault="00533EA6">
      <w:pPr>
        <w:pStyle w:val="FootnoteText"/>
      </w:pPr>
      <w:r>
        <w:rPr>
          <w:rStyle w:val="FootnoteReference"/>
        </w:rPr>
        <w:footnoteRef/>
      </w:r>
      <w:r>
        <w:t xml:space="preserve"> Davis and Chibnall, </w:t>
      </w:r>
      <w:r w:rsidRPr="00E17F04">
        <w:rPr>
          <w:i/>
        </w:rPr>
        <w:t>The Deeds of William the Conqueror</w:t>
      </w:r>
      <w:r>
        <w:t xml:space="preserve">, </w:t>
      </w:r>
      <w:r w:rsidRPr="00A1350D">
        <w:t>p</w:t>
      </w:r>
      <w:r>
        <w:t>g.16-17</w:t>
      </w:r>
    </w:p>
  </w:footnote>
  <w:footnote w:id="33">
    <w:p w14:paraId="5B822B6C" w14:textId="4C32836A" w:rsidR="00533EA6" w:rsidRDefault="00533EA6">
      <w:pPr>
        <w:pStyle w:val="FootnoteText"/>
      </w:pPr>
      <w:r>
        <w:rPr>
          <w:rStyle w:val="FootnoteReference"/>
        </w:rPr>
        <w:footnoteRef/>
      </w:r>
      <w:r>
        <w:t xml:space="preserve"> </w:t>
      </w:r>
      <w:r w:rsidRPr="00A1350D">
        <w:t xml:space="preserve">R. Allen Brown, </w:t>
      </w:r>
      <w:r w:rsidRPr="00E17F04">
        <w:rPr>
          <w:i/>
        </w:rPr>
        <w:t>Anglo-Norman Studies III: Proceedings of the Battle Conference</w:t>
      </w:r>
      <w:r>
        <w:t xml:space="preserve"> </w:t>
      </w:r>
    </w:p>
  </w:footnote>
  <w:footnote w:id="34">
    <w:p w14:paraId="2C608FE2" w14:textId="12CD1A45" w:rsidR="00533EA6" w:rsidRDefault="00533EA6">
      <w:pPr>
        <w:pStyle w:val="FootnoteText"/>
      </w:pPr>
      <w:r>
        <w:rPr>
          <w:rStyle w:val="FootnoteReference"/>
        </w:rPr>
        <w:footnoteRef/>
      </w:r>
      <w:r>
        <w:t xml:space="preserve"> </w:t>
      </w:r>
      <w:r w:rsidRPr="00A1350D">
        <w:t xml:space="preserve">Antonia Gransden, </w:t>
      </w:r>
      <w:r w:rsidRPr="00E17F04">
        <w:rPr>
          <w:i/>
        </w:rPr>
        <w:t>Historical Writing in England c.550 to c.1307</w:t>
      </w:r>
      <w:r>
        <w:t>, pg.102</w:t>
      </w:r>
    </w:p>
  </w:footnote>
  <w:footnote w:id="35">
    <w:p w14:paraId="72E735C9" w14:textId="42964469" w:rsidR="00533EA6" w:rsidRDefault="00533EA6">
      <w:pPr>
        <w:pStyle w:val="FootnoteText"/>
      </w:pPr>
      <w:r>
        <w:rPr>
          <w:rStyle w:val="FootnoteReference"/>
        </w:rPr>
        <w:footnoteRef/>
      </w:r>
      <w:r>
        <w:t xml:space="preserve"> </w:t>
      </w:r>
      <w:r w:rsidRPr="00A1350D">
        <w:t xml:space="preserve">Gransden, </w:t>
      </w:r>
      <w:r w:rsidRPr="00E17F04">
        <w:rPr>
          <w:i/>
        </w:rPr>
        <w:t>Historical Writing in England</w:t>
      </w:r>
      <w:r>
        <w:t>, pg.102</w:t>
      </w:r>
    </w:p>
  </w:footnote>
  <w:footnote w:id="36">
    <w:p w14:paraId="53276E33" w14:textId="2E3EFD46" w:rsidR="00533EA6" w:rsidRDefault="00533EA6">
      <w:pPr>
        <w:pStyle w:val="FootnoteText"/>
      </w:pPr>
      <w:r>
        <w:rPr>
          <w:rStyle w:val="FootnoteReference"/>
        </w:rPr>
        <w:footnoteRef/>
      </w:r>
      <w:r>
        <w:t xml:space="preserve"> David, Carpenter, </w:t>
      </w:r>
      <w:r w:rsidRPr="00E17F04">
        <w:rPr>
          <w:i/>
        </w:rPr>
        <w:t>The Struggle for Mastery: The Penguin History of Britain 1066 – 1284</w:t>
      </w:r>
      <w:r>
        <w:t xml:space="preserve"> pg.61-105</w:t>
      </w:r>
    </w:p>
  </w:footnote>
  <w:footnote w:id="37">
    <w:p w14:paraId="56F9798E" w14:textId="3EADF46C" w:rsidR="00533EA6" w:rsidRDefault="00533EA6">
      <w:pPr>
        <w:pStyle w:val="FootnoteText"/>
      </w:pPr>
      <w:r>
        <w:rPr>
          <w:rStyle w:val="FootnoteReference"/>
        </w:rPr>
        <w:footnoteRef/>
      </w:r>
      <w:r>
        <w:t xml:space="preserve"> Marjorie, </w:t>
      </w:r>
      <w:r w:rsidRPr="00533EA6">
        <w:t xml:space="preserve">Chibnall, </w:t>
      </w:r>
      <w:r w:rsidRPr="00E17F04">
        <w:rPr>
          <w:i/>
        </w:rPr>
        <w:t>The Ecclesiastical History of Orderic Vitalis</w:t>
      </w:r>
    </w:p>
  </w:footnote>
  <w:footnote w:id="38">
    <w:p w14:paraId="7145C6D3" w14:textId="46A05BED" w:rsidR="00533EA6" w:rsidRDefault="00533EA6">
      <w:pPr>
        <w:pStyle w:val="FootnoteText"/>
      </w:pPr>
      <w:r>
        <w:rPr>
          <w:rStyle w:val="FootnoteReference"/>
        </w:rPr>
        <w:footnoteRef/>
      </w:r>
      <w:r>
        <w:t xml:space="preserve"> </w:t>
      </w:r>
      <w:r w:rsidRPr="00533EA6">
        <w:t>Marjorie, Chibnall</w:t>
      </w:r>
      <w:r>
        <w:t xml:space="preserve">, </w:t>
      </w:r>
      <w:r w:rsidRPr="00E17F04">
        <w:rPr>
          <w:i/>
        </w:rPr>
        <w:t>The World of Orderic Vitalis</w:t>
      </w:r>
    </w:p>
  </w:footnote>
  <w:footnote w:id="39">
    <w:p w14:paraId="5B3F49DC" w14:textId="6EEEAD57" w:rsidR="00533EA6" w:rsidRDefault="00533EA6">
      <w:pPr>
        <w:pStyle w:val="FootnoteText"/>
      </w:pPr>
      <w:r>
        <w:rPr>
          <w:rStyle w:val="FootnoteReference"/>
        </w:rPr>
        <w:footnoteRef/>
      </w:r>
      <w:r>
        <w:t xml:space="preserve"> </w:t>
      </w:r>
      <w:r w:rsidRPr="00533EA6">
        <w:t xml:space="preserve">Chibnall, </w:t>
      </w:r>
      <w:r w:rsidRPr="00E17F04">
        <w:rPr>
          <w:i/>
        </w:rPr>
        <w:t>The Ecclesiastical History of Orderic Vitalis</w:t>
      </w:r>
    </w:p>
  </w:footnote>
  <w:footnote w:id="40">
    <w:p w14:paraId="37782436" w14:textId="01E734DD" w:rsidR="00533EA6" w:rsidRDefault="00533EA6">
      <w:pPr>
        <w:pStyle w:val="FootnoteText"/>
      </w:pPr>
      <w:r>
        <w:rPr>
          <w:rStyle w:val="FootnoteReference"/>
        </w:rPr>
        <w:footnoteRef/>
      </w:r>
      <w:r>
        <w:t xml:space="preserve"> </w:t>
      </w:r>
      <w:r w:rsidRPr="00533EA6">
        <w:t xml:space="preserve">Chibnall, </w:t>
      </w:r>
      <w:r w:rsidRPr="00E17F04">
        <w:rPr>
          <w:i/>
        </w:rPr>
        <w:t>The World of Orderic Vitalis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AF2"/>
    <w:rsid w:val="000228F0"/>
    <w:rsid w:val="00071BDC"/>
    <w:rsid w:val="000E5237"/>
    <w:rsid w:val="001413A8"/>
    <w:rsid w:val="00155035"/>
    <w:rsid w:val="00164B3F"/>
    <w:rsid w:val="00166A5C"/>
    <w:rsid w:val="001C2B8D"/>
    <w:rsid w:val="0021499B"/>
    <w:rsid w:val="00232FE1"/>
    <w:rsid w:val="00267DEB"/>
    <w:rsid w:val="002C3731"/>
    <w:rsid w:val="002D7DD7"/>
    <w:rsid w:val="003344F9"/>
    <w:rsid w:val="0038361F"/>
    <w:rsid w:val="0043309A"/>
    <w:rsid w:val="00437BF2"/>
    <w:rsid w:val="00453F18"/>
    <w:rsid w:val="00502B58"/>
    <w:rsid w:val="00533EA6"/>
    <w:rsid w:val="00560407"/>
    <w:rsid w:val="005641BF"/>
    <w:rsid w:val="005A4944"/>
    <w:rsid w:val="006116DC"/>
    <w:rsid w:val="006538B3"/>
    <w:rsid w:val="006573F0"/>
    <w:rsid w:val="00662468"/>
    <w:rsid w:val="00662EA2"/>
    <w:rsid w:val="00665D11"/>
    <w:rsid w:val="006715FD"/>
    <w:rsid w:val="007726D2"/>
    <w:rsid w:val="008217A2"/>
    <w:rsid w:val="00836C06"/>
    <w:rsid w:val="00842E14"/>
    <w:rsid w:val="008675E0"/>
    <w:rsid w:val="00892D67"/>
    <w:rsid w:val="008B38F7"/>
    <w:rsid w:val="008D27EF"/>
    <w:rsid w:val="0095492A"/>
    <w:rsid w:val="00963C7E"/>
    <w:rsid w:val="00977DB9"/>
    <w:rsid w:val="009E009F"/>
    <w:rsid w:val="00A1350D"/>
    <w:rsid w:val="00A24520"/>
    <w:rsid w:val="00A9349B"/>
    <w:rsid w:val="00AB4CF5"/>
    <w:rsid w:val="00AE3229"/>
    <w:rsid w:val="00B73CC5"/>
    <w:rsid w:val="00BB5E0D"/>
    <w:rsid w:val="00C01AF2"/>
    <w:rsid w:val="00C23DC4"/>
    <w:rsid w:val="00C661B9"/>
    <w:rsid w:val="00C9592B"/>
    <w:rsid w:val="00D13E35"/>
    <w:rsid w:val="00D47C79"/>
    <w:rsid w:val="00D8295C"/>
    <w:rsid w:val="00D86DE1"/>
    <w:rsid w:val="00E048ED"/>
    <w:rsid w:val="00E17F04"/>
    <w:rsid w:val="00EA1561"/>
    <w:rsid w:val="00EC5093"/>
    <w:rsid w:val="00EC680A"/>
    <w:rsid w:val="00F36186"/>
    <w:rsid w:val="00F542D0"/>
    <w:rsid w:val="00F72FA7"/>
    <w:rsid w:val="00F74E9C"/>
    <w:rsid w:val="00F91440"/>
    <w:rsid w:val="00FE4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F498D"/>
  <w15:chartTrackingRefBased/>
  <w15:docId w15:val="{4D67B515-E48B-46F3-901D-EFE9C96B0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549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492A"/>
    <w:rPr>
      <w:sz w:val="20"/>
      <w:szCs w:val="20"/>
    </w:rPr>
  </w:style>
  <w:style w:type="character" w:styleId="FootnoteReference">
    <w:name w:val="footnote reference"/>
    <w:basedOn w:val="DefaultParagraphFont"/>
    <w:uiPriority w:val="99"/>
    <w:semiHidden/>
    <w:unhideWhenUsed/>
    <w:rsid w:val="0095492A"/>
    <w:rPr>
      <w:vertAlign w:val="superscript"/>
    </w:rPr>
  </w:style>
  <w:style w:type="character" w:styleId="Hyperlink">
    <w:name w:val="Hyperlink"/>
    <w:basedOn w:val="DefaultParagraphFont"/>
    <w:uiPriority w:val="99"/>
    <w:unhideWhenUsed/>
    <w:rsid w:val="008675E0"/>
    <w:rPr>
      <w:color w:val="0563C1" w:themeColor="hyperlink"/>
      <w:u w:val="single"/>
    </w:rPr>
  </w:style>
  <w:style w:type="character" w:styleId="UnresolvedMention">
    <w:name w:val="Unresolved Mention"/>
    <w:basedOn w:val="DefaultParagraphFont"/>
    <w:uiPriority w:val="99"/>
    <w:semiHidden/>
    <w:unhideWhenUsed/>
    <w:rsid w:val="008675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7945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484/J.JML.1.102101" TargetMode="External"/><Relationship Id="rId3" Type="http://schemas.openxmlformats.org/officeDocument/2006/relationships/settings" Target="settings.xml"/><Relationship Id="rId7" Type="http://schemas.openxmlformats.org/officeDocument/2006/relationships/hyperlink" Target="http://www.jstor.org/stable/567060.%20pp.%20241&#8211;26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penelope.uchicago.edu/~grout/encyclopaedia_romana/britannia/anglo-saxon/hastings/anonymou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Version="1987"/>
</file>

<file path=customXml/itemProps1.xml><?xml version="1.0" encoding="utf-8"?>
<ds:datastoreItem xmlns:ds="http://schemas.openxmlformats.org/officeDocument/2006/customXml" ds:itemID="{BC185D11-B436-4E3D-8D60-4FD4F49AB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4263</TotalTime>
  <Pages>9</Pages>
  <Words>3004</Words>
  <Characters>14664</Characters>
  <Application>Microsoft Office Word</Application>
  <DocSecurity>0</DocSecurity>
  <Lines>257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12</cp:revision>
  <dcterms:created xsi:type="dcterms:W3CDTF">2018-11-12T12:31:00Z</dcterms:created>
  <dcterms:modified xsi:type="dcterms:W3CDTF">2018-11-16T22:05:00Z</dcterms:modified>
</cp:coreProperties>
</file>