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B8FCF" w14:textId="3E0F469A" w:rsidR="00D57487" w:rsidRDefault="00D57487" w:rsidP="009A3227">
      <w:pPr>
        <w:spacing w:line="360" w:lineRule="auto"/>
        <w:jc w:val="center"/>
        <w:rPr>
          <w:rFonts w:ascii="Arial" w:hAnsi="Arial" w:cs="Arial"/>
          <w:b/>
          <w:bCs/>
          <w:sz w:val="28"/>
          <w:szCs w:val="28"/>
        </w:rPr>
      </w:pPr>
      <w:r>
        <w:rPr>
          <w:noProof/>
        </w:rPr>
        <w:drawing>
          <wp:inline distT="0" distB="0" distL="0" distR="0" wp14:anchorId="6B14489A" wp14:editId="27BB089A">
            <wp:extent cx="2926080" cy="624840"/>
            <wp:effectExtent l="0" t="0" r="7620" b="3810"/>
            <wp:docPr id="2" name="Picture 1"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logo (002) – IHSC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6080" cy="624840"/>
                    </a:xfrm>
                    <a:prstGeom prst="rect">
                      <a:avLst/>
                    </a:prstGeom>
                    <a:noFill/>
                    <a:ln>
                      <a:noFill/>
                    </a:ln>
                  </pic:spPr>
                </pic:pic>
              </a:graphicData>
            </a:graphic>
          </wp:inline>
        </w:drawing>
      </w:r>
    </w:p>
    <w:p w14:paraId="5F6EF253" w14:textId="77777777" w:rsidR="00D57487" w:rsidRDefault="00D57487" w:rsidP="009A3227">
      <w:pPr>
        <w:spacing w:line="360" w:lineRule="auto"/>
        <w:jc w:val="center"/>
        <w:rPr>
          <w:rFonts w:ascii="Arial" w:hAnsi="Arial" w:cs="Arial"/>
          <w:b/>
          <w:bCs/>
          <w:sz w:val="28"/>
          <w:szCs w:val="28"/>
        </w:rPr>
      </w:pPr>
    </w:p>
    <w:p w14:paraId="199F61B5" w14:textId="77777777" w:rsidR="00D57487" w:rsidRDefault="00D57487" w:rsidP="009A3227">
      <w:pPr>
        <w:spacing w:line="360" w:lineRule="auto"/>
        <w:jc w:val="center"/>
        <w:rPr>
          <w:rFonts w:ascii="Arial" w:hAnsi="Arial" w:cs="Arial"/>
          <w:b/>
          <w:bCs/>
          <w:sz w:val="28"/>
          <w:szCs w:val="28"/>
        </w:rPr>
      </w:pPr>
    </w:p>
    <w:p w14:paraId="358C7E62" w14:textId="24677267" w:rsidR="00AD0E8D" w:rsidRDefault="00D57487" w:rsidP="00D57487">
      <w:pPr>
        <w:spacing w:line="360" w:lineRule="auto"/>
        <w:rPr>
          <w:rFonts w:ascii="Arial" w:hAnsi="Arial" w:cs="Arial"/>
          <w:b/>
          <w:bCs/>
          <w:sz w:val="28"/>
          <w:szCs w:val="28"/>
        </w:rPr>
      </w:pPr>
      <w:r>
        <w:rPr>
          <w:rFonts w:ascii="Arial" w:hAnsi="Arial" w:cs="Arial"/>
          <w:b/>
          <w:bCs/>
          <w:sz w:val="28"/>
          <w:szCs w:val="28"/>
        </w:rPr>
        <w:t xml:space="preserve">                               </w:t>
      </w:r>
      <w:r w:rsidR="00715990" w:rsidRPr="00AD0E8D">
        <w:rPr>
          <w:rFonts w:ascii="Arial" w:hAnsi="Arial" w:cs="Arial"/>
          <w:b/>
          <w:bCs/>
          <w:sz w:val="28"/>
          <w:szCs w:val="28"/>
        </w:rPr>
        <w:t>BSc (Hons) Health and Social Car</w:t>
      </w:r>
      <w:r w:rsidR="009A3227">
        <w:rPr>
          <w:rFonts w:ascii="Arial" w:hAnsi="Arial" w:cs="Arial"/>
          <w:b/>
          <w:bCs/>
          <w:sz w:val="28"/>
          <w:szCs w:val="28"/>
        </w:rPr>
        <w:t>e</w:t>
      </w:r>
    </w:p>
    <w:p w14:paraId="698535F4" w14:textId="77777777" w:rsidR="009A3227" w:rsidRDefault="009A3227" w:rsidP="009A3227">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5D35FA5F" w:rsidR="00715990" w:rsidRPr="00B97A2F" w:rsidRDefault="00715990" w:rsidP="00041A5A">
      <w:pPr>
        <w:spacing w:line="360" w:lineRule="auto"/>
        <w:rPr>
          <w:rFonts w:ascii="Arial" w:hAnsi="Arial" w:cs="Arial"/>
          <w:sz w:val="28"/>
          <w:szCs w:val="28"/>
          <w:lang w:val="nl-NL"/>
        </w:rPr>
      </w:pPr>
      <w:r w:rsidRPr="00B97A2F">
        <w:rPr>
          <w:rFonts w:ascii="Arial" w:hAnsi="Arial" w:cs="Arial"/>
          <w:b/>
          <w:bCs/>
          <w:sz w:val="28"/>
          <w:szCs w:val="28"/>
          <w:lang w:val="nl-NL"/>
        </w:rPr>
        <w:t>Student ID</w:t>
      </w:r>
      <w:r w:rsidRPr="00B97A2F">
        <w:rPr>
          <w:rFonts w:ascii="Arial" w:hAnsi="Arial" w:cs="Arial"/>
          <w:sz w:val="28"/>
          <w:szCs w:val="28"/>
          <w:lang w:val="nl-NL"/>
        </w:rPr>
        <w:t xml:space="preserve">: </w:t>
      </w:r>
      <w:r w:rsidR="00B97A2F" w:rsidRPr="00B97A2F">
        <w:rPr>
          <w:rFonts w:ascii="Arial" w:hAnsi="Arial" w:cs="Arial"/>
          <w:sz w:val="28"/>
          <w:szCs w:val="28"/>
          <w:lang w:val="nl-NL"/>
        </w:rPr>
        <w:t>2424591</w:t>
      </w:r>
    </w:p>
    <w:p w14:paraId="01D5D8DB" w14:textId="03ED09ED" w:rsidR="00FF5B70" w:rsidRPr="00B97A2F" w:rsidRDefault="00FF5B70" w:rsidP="00041A5A">
      <w:pPr>
        <w:spacing w:line="360" w:lineRule="auto"/>
        <w:rPr>
          <w:rFonts w:ascii="Arial" w:hAnsi="Arial" w:cs="Arial"/>
          <w:sz w:val="28"/>
          <w:szCs w:val="28"/>
          <w:lang w:val="nl-NL"/>
        </w:rPr>
      </w:pPr>
    </w:p>
    <w:p w14:paraId="37A27DB3" w14:textId="40896F62" w:rsidR="00FF5B70" w:rsidRPr="00B97A2F" w:rsidRDefault="00FF5B70" w:rsidP="00041A5A">
      <w:pPr>
        <w:spacing w:line="360" w:lineRule="auto"/>
        <w:rPr>
          <w:rFonts w:ascii="Arial" w:hAnsi="Arial" w:cs="Arial"/>
          <w:sz w:val="28"/>
          <w:szCs w:val="28"/>
        </w:rPr>
      </w:pPr>
      <w:r w:rsidRPr="00B97A2F">
        <w:rPr>
          <w:rFonts w:ascii="Arial" w:hAnsi="Arial" w:cs="Arial"/>
          <w:b/>
          <w:bCs/>
          <w:sz w:val="28"/>
          <w:szCs w:val="28"/>
        </w:rPr>
        <w:t>Student Name</w:t>
      </w:r>
      <w:r w:rsidRPr="00B97A2F">
        <w:rPr>
          <w:rFonts w:ascii="Arial" w:hAnsi="Arial" w:cs="Arial"/>
          <w:sz w:val="28"/>
          <w:szCs w:val="28"/>
        </w:rPr>
        <w:t xml:space="preserve">: </w:t>
      </w:r>
      <w:r w:rsidR="00B97A2F" w:rsidRPr="00B97A2F">
        <w:rPr>
          <w:rFonts w:ascii="Arial" w:hAnsi="Arial" w:cs="Arial"/>
          <w:sz w:val="28"/>
          <w:szCs w:val="28"/>
        </w:rPr>
        <w:t>Jujita Cupatan</w:t>
      </w:r>
    </w:p>
    <w:p w14:paraId="638A4615" w14:textId="77777777" w:rsidR="00715990" w:rsidRPr="00B97A2F" w:rsidRDefault="00715990" w:rsidP="00041A5A">
      <w:pPr>
        <w:spacing w:line="360" w:lineRule="auto"/>
        <w:rPr>
          <w:rFonts w:ascii="Arial" w:hAnsi="Arial" w:cs="Arial"/>
          <w:sz w:val="28"/>
          <w:szCs w:val="28"/>
        </w:rPr>
      </w:pPr>
    </w:p>
    <w:p w14:paraId="0B04E018" w14:textId="1863DA6E"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B97A2F">
        <w:rPr>
          <w:rFonts w:ascii="Arial" w:hAnsi="Arial" w:cs="Arial"/>
          <w:sz w:val="28"/>
          <w:szCs w:val="28"/>
        </w:rPr>
        <w:t>October30, 2026</w:t>
      </w:r>
    </w:p>
    <w:p w14:paraId="19AA26A9" w14:textId="2F99F205" w:rsidR="00FF5B70" w:rsidRPr="00AD0E8D" w:rsidRDefault="00FF5B70" w:rsidP="00041A5A">
      <w:pPr>
        <w:spacing w:line="360" w:lineRule="auto"/>
        <w:rPr>
          <w:rFonts w:ascii="Arial" w:hAnsi="Arial" w:cs="Arial"/>
          <w:sz w:val="28"/>
          <w:szCs w:val="28"/>
        </w:rPr>
      </w:pPr>
    </w:p>
    <w:p w14:paraId="3FE66E60" w14:textId="22A7FA5F"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B97A2F">
        <w:rPr>
          <w:rFonts w:ascii="Arial" w:hAnsi="Arial" w:cs="Arial"/>
          <w:sz w:val="28"/>
          <w:szCs w:val="28"/>
        </w:rPr>
        <w:t>Dr. Soban Sadiq</w:t>
      </w:r>
    </w:p>
    <w:p w14:paraId="5BD313B6" w14:textId="4BA804DC" w:rsidR="00715990" w:rsidRPr="00AD0E8D" w:rsidRDefault="00715990" w:rsidP="00041A5A">
      <w:pPr>
        <w:spacing w:line="360" w:lineRule="auto"/>
        <w:rPr>
          <w:rFonts w:ascii="Arial" w:hAnsi="Arial" w:cs="Arial"/>
          <w:sz w:val="22"/>
        </w:rPr>
      </w:pPr>
    </w:p>
    <w:p w14:paraId="1927C371" w14:textId="77777777" w:rsidR="009A3227" w:rsidRDefault="009A3227" w:rsidP="009A3227">
      <w:pPr>
        <w:spacing w:line="360" w:lineRule="auto"/>
        <w:rPr>
          <w:rFonts w:ascii="Arial" w:hAnsi="Arial" w:cs="Arial"/>
          <w:sz w:val="22"/>
        </w:rPr>
      </w:pPr>
    </w:p>
    <w:p w14:paraId="7789AEE3" w14:textId="77777777" w:rsidR="009A3227" w:rsidRDefault="009A3227" w:rsidP="009A3227">
      <w:pPr>
        <w:spacing w:line="360" w:lineRule="auto"/>
        <w:rPr>
          <w:rFonts w:ascii="Arial" w:hAnsi="Arial" w:cs="Arial"/>
          <w:sz w:val="22"/>
        </w:rPr>
      </w:pPr>
    </w:p>
    <w:p w14:paraId="47123313" w14:textId="77777777" w:rsidR="009A3227" w:rsidRDefault="009A3227" w:rsidP="009A3227">
      <w:pPr>
        <w:spacing w:line="360" w:lineRule="auto"/>
        <w:rPr>
          <w:rFonts w:ascii="Arial" w:hAnsi="Arial" w:cs="Arial"/>
          <w:sz w:val="22"/>
        </w:rPr>
      </w:pPr>
    </w:p>
    <w:p w14:paraId="0DC704DF" w14:textId="77777777" w:rsidR="009A3227" w:rsidRDefault="009A3227" w:rsidP="009A3227">
      <w:pPr>
        <w:spacing w:line="360" w:lineRule="auto"/>
        <w:rPr>
          <w:rFonts w:ascii="Arial" w:hAnsi="Arial" w:cs="Arial"/>
          <w:sz w:val="22"/>
        </w:rPr>
      </w:pPr>
    </w:p>
    <w:p w14:paraId="102E4434" w14:textId="77777777" w:rsidR="009A3227" w:rsidRDefault="009A3227" w:rsidP="009A3227">
      <w:pPr>
        <w:spacing w:line="360" w:lineRule="auto"/>
        <w:rPr>
          <w:rFonts w:ascii="Arial" w:hAnsi="Arial" w:cs="Arial"/>
          <w:sz w:val="22"/>
        </w:rPr>
      </w:pPr>
    </w:p>
    <w:p w14:paraId="16887DA6" w14:textId="77777777" w:rsidR="009A3227" w:rsidRDefault="009A3227" w:rsidP="009A3227">
      <w:pPr>
        <w:spacing w:line="360" w:lineRule="auto"/>
        <w:rPr>
          <w:rFonts w:ascii="Arial" w:hAnsi="Arial" w:cs="Arial"/>
          <w:sz w:val="22"/>
        </w:rPr>
      </w:pPr>
    </w:p>
    <w:p w14:paraId="45698711" w14:textId="77777777" w:rsidR="009A3227" w:rsidRDefault="009A3227" w:rsidP="009A3227">
      <w:pPr>
        <w:spacing w:line="360" w:lineRule="auto"/>
        <w:rPr>
          <w:rFonts w:ascii="Arial" w:hAnsi="Arial" w:cs="Arial"/>
          <w:sz w:val="22"/>
        </w:rPr>
      </w:pPr>
    </w:p>
    <w:p w14:paraId="5C1B636E" w14:textId="77777777" w:rsidR="009A3227" w:rsidRDefault="009A3227" w:rsidP="009A3227">
      <w:pPr>
        <w:spacing w:line="360" w:lineRule="auto"/>
        <w:rPr>
          <w:rFonts w:ascii="Arial" w:hAnsi="Arial" w:cs="Arial"/>
          <w:sz w:val="22"/>
        </w:rPr>
      </w:pPr>
    </w:p>
    <w:p w14:paraId="48AE3868" w14:textId="57AD5901" w:rsidR="009A3227" w:rsidRPr="009A3227" w:rsidRDefault="009A3227" w:rsidP="009A3227">
      <w:pPr>
        <w:spacing w:line="360" w:lineRule="auto"/>
        <w:rPr>
          <w:b/>
          <w:bCs/>
          <w:sz w:val="32"/>
          <w:szCs w:val="32"/>
        </w:rPr>
      </w:pPr>
      <w:r w:rsidRPr="009A3227">
        <w:rPr>
          <w:b/>
          <w:bCs/>
          <w:sz w:val="32"/>
          <w:szCs w:val="32"/>
        </w:rPr>
        <w:t xml:space="preserve">                                           </w:t>
      </w:r>
      <w:r w:rsidR="00AD0E8D" w:rsidRPr="009A3227">
        <w:rPr>
          <w:b/>
          <w:bCs/>
          <w:sz w:val="32"/>
          <w:szCs w:val="32"/>
        </w:rPr>
        <w:t>Research</w:t>
      </w:r>
      <w:r w:rsidR="00545684" w:rsidRPr="009A3227">
        <w:rPr>
          <w:b/>
          <w:bCs/>
          <w:sz w:val="32"/>
          <w:szCs w:val="32"/>
        </w:rPr>
        <w:t xml:space="preserve"> </w:t>
      </w:r>
      <w:r w:rsidR="000B7CD5" w:rsidRPr="009A3227">
        <w:rPr>
          <w:b/>
          <w:bCs/>
          <w:sz w:val="32"/>
          <w:szCs w:val="32"/>
        </w:rPr>
        <w:t>P</w:t>
      </w:r>
      <w:r w:rsidR="00545684" w:rsidRPr="009A3227">
        <w:rPr>
          <w:b/>
          <w:bCs/>
          <w:sz w:val="32"/>
          <w:szCs w:val="32"/>
        </w:rPr>
        <w:t>roposal</w:t>
      </w:r>
    </w:p>
    <w:p w14:paraId="3AA970DD" w14:textId="77777777" w:rsidR="009A3227" w:rsidRDefault="009A3227" w:rsidP="009A3227">
      <w:pPr>
        <w:spacing w:line="360" w:lineRule="auto"/>
      </w:pPr>
    </w:p>
    <w:p w14:paraId="5B684C3F" w14:textId="5EB6BE1A" w:rsidR="00B97A2F" w:rsidRPr="009A3227" w:rsidRDefault="00AD0E8D" w:rsidP="009A3227">
      <w:pPr>
        <w:spacing w:line="360" w:lineRule="auto"/>
        <w:rPr>
          <w:rFonts w:eastAsia="Times New Roman" w:cs="Times New Roman"/>
          <w:bCs/>
          <w:kern w:val="36"/>
          <w:sz w:val="22"/>
          <w:lang w:eastAsia="en-GB"/>
        </w:rPr>
      </w:pPr>
      <w:r w:rsidRPr="009A3227">
        <w:rPr>
          <w:b/>
          <w:bCs/>
          <w:i/>
          <w:iCs/>
          <w:sz w:val="28"/>
          <w:szCs w:val="28"/>
        </w:rPr>
        <w:t>Topic</w:t>
      </w:r>
      <w:r w:rsidR="00D769F0" w:rsidRPr="009A3227">
        <w:rPr>
          <w:b/>
          <w:bCs/>
          <w:i/>
          <w:iCs/>
          <w:sz w:val="28"/>
          <w:szCs w:val="28"/>
        </w:rPr>
        <w:t>:</w:t>
      </w:r>
      <w:r w:rsidR="00B97A2F" w:rsidRPr="00B97A2F">
        <w:rPr>
          <w:rFonts w:eastAsia="Times New Roman" w:cs="Times New Roman"/>
          <w:bCs/>
          <w:kern w:val="36"/>
          <w:sz w:val="48"/>
          <w:szCs w:val="48"/>
          <w:lang w:eastAsia="en-GB"/>
        </w:rPr>
        <w:t xml:space="preserve"> </w:t>
      </w:r>
      <w:r w:rsidR="00B97A2F" w:rsidRPr="009A3227">
        <w:rPr>
          <w:rFonts w:eastAsia="Times New Roman" w:cs="Times New Roman"/>
          <w:bCs/>
          <w:kern w:val="36"/>
          <w:sz w:val="22"/>
          <w:lang w:eastAsia="en-GB"/>
        </w:rPr>
        <w:t>The Effectiveness of Early-Help Interventions in Improving Outcomes for Vulnerable Families in the U</w:t>
      </w:r>
      <w:r w:rsidR="00E31FEB" w:rsidRPr="009A3227">
        <w:rPr>
          <w:rFonts w:eastAsia="Times New Roman" w:cs="Times New Roman"/>
          <w:bCs/>
          <w:kern w:val="36"/>
          <w:sz w:val="22"/>
          <w:lang w:eastAsia="en-GB"/>
        </w:rPr>
        <w:t>K</w:t>
      </w:r>
    </w:p>
    <w:p w14:paraId="7A6A2399" w14:textId="77777777" w:rsidR="009A3227" w:rsidRPr="009A3227" w:rsidRDefault="009A3227" w:rsidP="009A3227">
      <w:pPr>
        <w:spacing w:line="360" w:lineRule="auto"/>
        <w:rPr>
          <w:rFonts w:ascii="Arial" w:hAnsi="Arial" w:cs="Arial"/>
          <w:sz w:val="22"/>
        </w:rPr>
      </w:pPr>
    </w:p>
    <w:p w14:paraId="43E3DA65" w14:textId="73BC8966" w:rsidR="00B97A2F" w:rsidRPr="00E31FEB" w:rsidRDefault="00AD0E8D" w:rsidP="00B97A2F">
      <w:pPr>
        <w:pStyle w:val="NormalWeb"/>
        <w:rPr>
          <w:b/>
          <w:bCs/>
          <w:i/>
          <w:iCs/>
          <w:sz w:val="28"/>
          <w:szCs w:val="28"/>
        </w:rPr>
      </w:pPr>
      <w:r w:rsidRPr="0042144F">
        <w:rPr>
          <w:b/>
          <w:bCs/>
          <w:i/>
          <w:iCs/>
          <w:sz w:val="28"/>
          <w:szCs w:val="28"/>
        </w:rPr>
        <w:t>Review question</w:t>
      </w:r>
      <w:r w:rsidR="00784670" w:rsidRPr="00E31FEB">
        <w:rPr>
          <w:b/>
          <w:bCs/>
          <w:i/>
          <w:iCs/>
          <w:sz w:val="28"/>
          <w:szCs w:val="28"/>
        </w:rPr>
        <w:t>:</w:t>
      </w:r>
      <w:r w:rsidR="00B97A2F" w:rsidRPr="00E31FEB">
        <w:rPr>
          <w:b/>
          <w:bCs/>
          <w:i/>
          <w:iCs/>
          <w:sz w:val="28"/>
          <w:szCs w:val="28"/>
        </w:rPr>
        <w:t xml:space="preserve"> </w:t>
      </w:r>
    </w:p>
    <w:p w14:paraId="1EFB2250" w14:textId="1A7CE181" w:rsidR="00B97A2F" w:rsidRPr="00E31FEB" w:rsidRDefault="00B97A2F" w:rsidP="00E31FEB">
      <w:pPr>
        <w:pStyle w:val="NormalWeb"/>
        <w:spacing w:line="360" w:lineRule="auto"/>
        <w:rPr>
          <w:rFonts w:eastAsia="Times New Roman"/>
          <w:sz w:val="22"/>
          <w:szCs w:val="22"/>
          <w:lang w:eastAsia="en-GB"/>
        </w:rPr>
      </w:pPr>
      <w:r w:rsidRPr="00E31FEB">
        <w:rPr>
          <w:rFonts w:eastAsia="Times New Roman"/>
          <w:sz w:val="22"/>
          <w:szCs w:val="22"/>
          <w:lang w:eastAsia="en-GB"/>
        </w:rPr>
        <w:t>What evidence is available on early-help interventions and outcomes for vulnerable families in the UK?</w:t>
      </w:r>
    </w:p>
    <w:p w14:paraId="4C6858D8" w14:textId="77777777" w:rsidR="00784670" w:rsidRPr="00AD0E8D" w:rsidRDefault="00784670" w:rsidP="00AD0E8D">
      <w:pPr>
        <w:spacing w:line="360" w:lineRule="auto"/>
        <w:rPr>
          <w:rFonts w:ascii="Arial" w:hAnsi="Arial" w:cs="Arial"/>
          <w:sz w:val="22"/>
        </w:rPr>
      </w:pPr>
    </w:p>
    <w:p w14:paraId="421BAE31" w14:textId="58A7B33D" w:rsidR="00345062" w:rsidRPr="00345062" w:rsidRDefault="00784670" w:rsidP="009A3227">
      <w:pPr>
        <w:pStyle w:val="Heading2"/>
      </w:pPr>
      <w:r w:rsidRPr="00AD0E8D">
        <w:t>O</w:t>
      </w:r>
      <w:r w:rsidR="00545684" w:rsidRPr="00AD0E8D">
        <w:t>bjectives:</w:t>
      </w:r>
    </w:p>
    <w:p w14:paraId="1F30E362" w14:textId="77777777" w:rsidR="00B97A2F" w:rsidRPr="00E31FEB" w:rsidRDefault="00B97A2F" w:rsidP="009A3227">
      <w:pPr>
        <w:numPr>
          <w:ilvl w:val="0"/>
          <w:numId w:val="3"/>
        </w:numPr>
        <w:spacing w:line="360" w:lineRule="auto"/>
        <w:rPr>
          <w:sz w:val="22"/>
        </w:rPr>
      </w:pPr>
      <w:r w:rsidRPr="00E31FEB">
        <w:rPr>
          <w:sz w:val="22"/>
        </w:rPr>
        <w:t xml:space="preserve">Examine safeguarding policy, particularly </w:t>
      </w:r>
      <w:r w:rsidRPr="00E31FEB">
        <w:rPr>
          <w:i/>
          <w:iCs/>
          <w:sz w:val="22"/>
        </w:rPr>
        <w:t>Working Together to Safeguard Children</w:t>
      </w:r>
      <w:r w:rsidRPr="00E31FEB">
        <w:rPr>
          <w:sz w:val="22"/>
        </w:rPr>
        <w:t xml:space="preserve"> (DfE, 2023).</w:t>
      </w:r>
    </w:p>
    <w:p w14:paraId="318FF37B" w14:textId="77777777" w:rsidR="00B97A2F" w:rsidRPr="00E31FEB" w:rsidRDefault="00B97A2F" w:rsidP="009A3227">
      <w:pPr>
        <w:numPr>
          <w:ilvl w:val="0"/>
          <w:numId w:val="3"/>
        </w:numPr>
        <w:spacing w:line="360" w:lineRule="auto"/>
        <w:rPr>
          <w:sz w:val="22"/>
        </w:rPr>
      </w:pPr>
      <w:r w:rsidRPr="00E31FEB">
        <w:rPr>
          <w:sz w:val="22"/>
        </w:rPr>
        <w:t>Map evidence on family functioning, child wellbeing and prevention of escalation.</w:t>
      </w:r>
    </w:p>
    <w:p w14:paraId="14BD4A50" w14:textId="77777777" w:rsidR="009A3227" w:rsidRDefault="00B97A2F" w:rsidP="00345062">
      <w:pPr>
        <w:numPr>
          <w:ilvl w:val="0"/>
          <w:numId w:val="3"/>
        </w:numPr>
        <w:spacing w:line="360" w:lineRule="auto"/>
        <w:rPr>
          <w:sz w:val="22"/>
        </w:rPr>
      </w:pPr>
      <w:r w:rsidRPr="00E31FEB">
        <w:rPr>
          <w:sz w:val="22"/>
        </w:rPr>
        <w:t>Explore factors affecting outcomes, including multi-agency working, workforce capacity and accessibility.</w:t>
      </w:r>
    </w:p>
    <w:p w14:paraId="6F35F01E" w14:textId="77777777" w:rsidR="00D57487" w:rsidRDefault="00D57487" w:rsidP="00D57487">
      <w:pPr>
        <w:spacing w:line="360" w:lineRule="auto"/>
        <w:ind w:left="720"/>
        <w:rPr>
          <w:sz w:val="22"/>
        </w:rPr>
      </w:pPr>
    </w:p>
    <w:p w14:paraId="3AC96963" w14:textId="0349AA62" w:rsidR="00545684" w:rsidRPr="00D57487" w:rsidRDefault="00AD0E8D" w:rsidP="00D57487">
      <w:pPr>
        <w:spacing w:line="360" w:lineRule="auto"/>
        <w:rPr>
          <w:b/>
          <w:bCs/>
          <w:i/>
          <w:iCs/>
          <w:sz w:val="28"/>
          <w:szCs w:val="28"/>
        </w:rPr>
      </w:pPr>
      <w:r w:rsidRPr="00D57487">
        <w:rPr>
          <w:b/>
          <w:bCs/>
          <w:i/>
          <w:iCs/>
          <w:sz w:val="28"/>
          <w:szCs w:val="28"/>
        </w:rPr>
        <w:t>Rationale</w:t>
      </w:r>
      <w:r w:rsidR="00545684" w:rsidRPr="00D57487">
        <w:rPr>
          <w:b/>
          <w:bCs/>
          <w:i/>
          <w:iCs/>
          <w:sz w:val="28"/>
          <w:szCs w:val="28"/>
        </w:rPr>
        <w:t>:</w:t>
      </w:r>
    </w:p>
    <w:p w14:paraId="2B6F4D3C" w14:textId="1B130041" w:rsidR="00B97A2F" w:rsidRPr="00E31FEB" w:rsidRDefault="00B97A2F" w:rsidP="00D57487">
      <w:pPr>
        <w:spacing w:line="360" w:lineRule="auto"/>
        <w:rPr>
          <w:sz w:val="22"/>
        </w:rPr>
      </w:pPr>
      <w:r w:rsidRPr="00E31FEB">
        <w:rPr>
          <w:sz w:val="22"/>
        </w:rPr>
        <w:t>Early help aims to support children and families before needs escalate. Section 17 of the Children Act 1989 concerns support for children in need, while section 10 of the Children Act 2004 promotes inter-agency cooperation. Working Together to Safeguard Children emphasises multi-agency safeguarding and coordinated support for children and families (Department for Education, 2023). A scoping review can map available evidence, reported outcomes and areas needing further research.</w:t>
      </w:r>
    </w:p>
    <w:p w14:paraId="48B3D1A4" w14:textId="77777777" w:rsidR="00041A5A" w:rsidRPr="00AD0E8D" w:rsidRDefault="00041A5A" w:rsidP="00D57487">
      <w:pPr>
        <w:spacing w:line="360" w:lineRule="auto"/>
        <w:rPr>
          <w:rFonts w:ascii="Arial" w:hAnsi="Arial" w:cs="Arial"/>
          <w:sz w:val="22"/>
        </w:rPr>
      </w:pPr>
    </w:p>
    <w:p w14:paraId="23DB19C0" w14:textId="77777777" w:rsidR="00345062" w:rsidRDefault="00FF5B70" w:rsidP="00345062">
      <w:pPr>
        <w:pStyle w:val="NormalWeb"/>
        <w:spacing w:line="360" w:lineRule="auto"/>
        <w:rPr>
          <w:rFonts w:eastAsia="Times New Roman"/>
          <w:b/>
          <w:bCs/>
          <w:i/>
          <w:iCs/>
          <w:sz w:val="28"/>
          <w:szCs w:val="28"/>
          <w:lang w:eastAsia="en-GB"/>
        </w:rPr>
      </w:pPr>
      <w:r w:rsidRPr="00E31FEB">
        <w:rPr>
          <w:b/>
          <w:bCs/>
          <w:i/>
          <w:iCs/>
          <w:sz w:val="28"/>
          <w:szCs w:val="28"/>
        </w:rPr>
        <w:lastRenderedPageBreak/>
        <w:t>4</w:t>
      </w:r>
      <w:r w:rsidR="008E5015" w:rsidRPr="00E31FEB">
        <w:rPr>
          <w:b/>
          <w:bCs/>
          <w:i/>
          <w:iCs/>
          <w:sz w:val="28"/>
          <w:szCs w:val="28"/>
        </w:rPr>
        <w:t xml:space="preserve">) </w:t>
      </w:r>
      <w:r w:rsidR="00545684" w:rsidRPr="00E31FEB">
        <w:rPr>
          <w:b/>
          <w:bCs/>
          <w:i/>
          <w:iCs/>
          <w:sz w:val="28"/>
          <w:szCs w:val="28"/>
        </w:rPr>
        <w:t>Methods:</w:t>
      </w:r>
      <w:r w:rsidR="00E31FEB" w:rsidRPr="00E31FEB">
        <w:rPr>
          <w:rFonts w:eastAsia="Times New Roman"/>
          <w:b/>
          <w:bCs/>
          <w:i/>
          <w:iCs/>
          <w:sz w:val="28"/>
          <w:szCs w:val="28"/>
          <w:lang w:eastAsia="en-GB"/>
        </w:rPr>
        <w:t xml:space="preserve"> </w:t>
      </w:r>
    </w:p>
    <w:p w14:paraId="62F4A238" w14:textId="6F5B7D19" w:rsidR="009C7BC5" w:rsidRPr="00345062" w:rsidRDefault="009C7BC5" w:rsidP="00D57487">
      <w:pPr>
        <w:pStyle w:val="NormalWeb"/>
        <w:spacing w:line="360" w:lineRule="auto"/>
        <w:rPr>
          <w:rFonts w:eastAsia="Times New Roman"/>
          <w:b/>
          <w:bCs/>
          <w:i/>
          <w:iCs/>
          <w:sz w:val="28"/>
          <w:szCs w:val="28"/>
          <w:lang w:eastAsia="en-GB"/>
        </w:rPr>
      </w:pPr>
      <w:r w:rsidRPr="00345062">
        <w:rPr>
          <w:rFonts w:eastAsia="Times New Roman"/>
          <w:sz w:val="22"/>
          <w:szCs w:val="22"/>
          <w:lang w:eastAsia="en-GB"/>
        </w:rPr>
        <w:t>This secondary-research study will use a scoping review to map evidence from qualitative, quantitative and mixed-methods studies, systematic reviews and relevant policy documents. Scoping reviews are appropriate for examining diverse evidence and identifying gaps in existing knowledge (Peters et al., 2020).</w:t>
      </w:r>
    </w:p>
    <w:p w14:paraId="5E00260B" w14:textId="77777777" w:rsidR="009C7BC5" w:rsidRPr="00345062" w:rsidRDefault="009C7BC5" w:rsidP="00D57487">
      <w:pPr>
        <w:spacing w:before="100" w:beforeAutospacing="1" w:after="100" w:afterAutospacing="1" w:line="360" w:lineRule="auto"/>
        <w:rPr>
          <w:rFonts w:eastAsia="Times New Roman" w:cs="Times New Roman"/>
          <w:sz w:val="22"/>
          <w:lang w:eastAsia="en-GB"/>
        </w:rPr>
      </w:pPr>
      <w:r w:rsidRPr="00345062">
        <w:rPr>
          <w:rFonts w:eastAsia="Times New Roman" w:cs="Times New Roman"/>
          <w:sz w:val="22"/>
          <w:lang w:eastAsia="en-GB"/>
        </w:rPr>
        <w:t>Montgomery-Taylor, Watson and Klaber (2016) evaluated Child Health General Practice Hubs in London using a mixed-methods service evaluation. The study examined multidisciplinary collaboration, patient experiences and healthcare service use, illustrating how integrated child health services can be evaluated.</w:t>
      </w:r>
    </w:p>
    <w:p w14:paraId="46C05CD2" w14:textId="77777777" w:rsidR="009C7BC5" w:rsidRPr="00345062" w:rsidRDefault="009C7BC5" w:rsidP="00D57487">
      <w:pPr>
        <w:spacing w:before="100" w:beforeAutospacing="1" w:after="100" w:afterAutospacing="1" w:line="360" w:lineRule="auto"/>
        <w:rPr>
          <w:rFonts w:eastAsia="Times New Roman" w:cs="Times New Roman"/>
          <w:sz w:val="22"/>
          <w:lang w:eastAsia="en-GB"/>
        </w:rPr>
      </w:pPr>
      <w:r w:rsidRPr="00345062">
        <w:rPr>
          <w:rFonts w:eastAsia="Times New Roman" w:cs="Times New Roman"/>
          <w:sz w:val="22"/>
          <w:lang w:eastAsia="en-GB"/>
        </w:rPr>
        <w:t>Vseteckova, Boyle and Higgins (2022) systematically reviewed parenting interventions used by social workers to support vulnerable children in the UK. Their findings highlighted the importance of relationships between parents and practitioners, family circumstances and parental psychological needs, while identifying limitations in evidence of improved child outcomes.</w:t>
      </w:r>
    </w:p>
    <w:p w14:paraId="5CB5C28C" w14:textId="77777777" w:rsidR="009C7BC5" w:rsidRPr="00345062" w:rsidRDefault="009C7BC5" w:rsidP="00D57487">
      <w:pPr>
        <w:spacing w:before="100" w:beforeAutospacing="1" w:after="100" w:afterAutospacing="1" w:line="360" w:lineRule="auto"/>
        <w:rPr>
          <w:rFonts w:eastAsia="Times New Roman" w:cs="Times New Roman"/>
          <w:sz w:val="22"/>
          <w:lang w:eastAsia="en-GB"/>
        </w:rPr>
      </w:pPr>
      <w:r w:rsidRPr="00345062">
        <w:rPr>
          <w:rFonts w:eastAsia="Times New Roman" w:cs="Times New Roman"/>
          <w:sz w:val="22"/>
          <w:lang w:eastAsia="en-GB"/>
        </w:rPr>
        <w:t>The review will search academic databases and relevant government websites using terms such as “early help”, “vulnerable families” and “child wellbeing”. Eligible sources will address UK early-help interventions and family or child outcomes. Titles, abstracts and full texts will be screened against predefined eligibility criteria. Data on study design, interventions, populations and findings will be recorded systematically.</w:t>
      </w:r>
    </w:p>
    <w:p w14:paraId="43F56208" w14:textId="77777777" w:rsidR="009C7BC5" w:rsidRPr="00345062" w:rsidRDefault="009C7BC5" w:rsidP="00D57487">
      <w:pPr>
        <w:spacing w:before="100" w:beforeAutospacing="1" w:after="100" w:afterAutospacing="1" w:line="360" w:lineRule="auto"/>
        <w:rPr>
          <w:rFonts w:eastAsia="Times New Roman" w:cs="Times New Roman"/>
          <w:sz w:val="22"/>
          <w:lang w:eastAsia="en-GB"/>
        </w:rPr>
      </w:pPr>
      <w:r w:rsidRPr="00345062">
        <w:rPr>
          <w:rFonts w:eastAsia="Times New Roman" w:cs="Times New Roman"/>
          <w:sz w:val="22"/>
          <w:lang w:eastAsia="en-GB"/>
        </w:rPr>
        <w:t>Descriptive mapping and narrative synthesis will organise findings into themes, compare results and identify evidence gaps. PRISMA-</w:t>
      </w:r>
      <w:proofErr w:type="spellStart"/>
      <w:r w:rsidRPr="00345062">
        <w:rPr>
          <w:rFonts w:eastAsia="Times New Roman" w:cs="Times New Roman"/>
          <w:sz w:val="22"/>
          <w:lang w:eastAsia="en-GB"/>
        </w:rPr>
        <w:t>ScR</w:t>
      </w:r>
      <w:proofErr w:type="spellEnd"/>
      <w:r w:rsidRPr="00345062">
        <w:rPr>
          <w:rFonts w:eastAsia="Times New Roman" w:cs="Times New Roman"/>
          <w:sz w:val="22"/>
          <w:lang w:eastAsia="en-GB"/>
        </w:rPr>
        <w:t xml:space="preserve"> guidance will support transparent reporting of the review process (</w:t>
      </w:r>
      <w:proofErr w:type="spellStart"/>
      <w:r w:rsidRPr="00345062">
        <w:rPr>
          <w:rFonts w:eastAsia="Times New Roman" w:cs="Times New Roman"/>
          <w:sz w:val="22"/>
          <w:lang w:eastAsia="en-GB"/>
        </w:rPr>
        <w:t>Tricco</w:t>
      </w:r>
      <w:proofErr w:type="spellEnd"/>
      <w:r w:rsidRPr="00345062">
        <w:rPr>
          <w:rFonts w:eastAsia="Times New Roman" w:cs="Times New Roman"/>
          <w:sz w:val="22"/>
          <w:lang w:eastAsia="en-GB"/>
        </w:rPr>
        <w:t xml:space="preserve"> et al., 2018). </w:t>
      </w:r>
      <w:r w:rsidRPr="00345062">
        <w:rPr>
          <w:rFonts w:eastAsia="Times New Roman" w:cs="Times New Roman"/>
          <w:i/>
          <w:iCs/>
          <w:sz w:val="22"/>
          <w:lang w:eastAsia="en-GB"/>
        </w:rPr>
        <w:t>Working Together to Safeguard Children</w:t>
      </w:r>
      <w:r w:rsidRPr="00345062">
        <w:rPr>
          <w:rFonts w:eastAsia="Times New Roman" w:cs="Times New Roman"/>
          <w:sz w:val="22"/>
          <w:lang w:eastAsia="en-GB"/>
        </w:rPr>
        <w:t xml:space="preserve"> (Department for Education, 2023) will inform the policy analysis rather than be treated as empirical research.</w:t>
      </w:r>
    </w:p>
    <w:p w14:paraId="08437629" w14:textId="77777777" w:rsidR="0061260B" w:rsidRPr="00AD0E8D" w:rsidRDefault="0061260B" w:rsidP="00D57487">
      <w:pPr>
        <w:spacing w:line="360" w:lineRule="auto"/>
        <w:rPr>
          <w:rFonts w:ascii="Arial" w:hAnsi="Arial" w:cs="Arial"/>
          <w:sz w:val="22"/>
        </w:rPr>
      </w:pPr>
    </w:p>
    <w:p w14:paraId="6C5DA363" w14:textId="77777777" w:rsidR="00E31FEB" w:rsidRPr="00E31FEB" w:rsidRDefault="00FF5B70" w:rsidP="00E31FEB">
      <w:pPr>
        <w:pStyle w:val="NormalWeb"/>
        <w:spacing w:line="360" w:lineRule="auto"/>
        <w:rPr>
          <w:b/>
          <w:bCs/>
          <w:i/>
          <w:iCs/>
          <w:sz w:val="28"/>
          <w:szCs w:val="28"/>
        </w:rPr>
      </w:pPr>
      <w:r w:rsidRPr="00E31FEB">
        <w:rPr>
          <w:b/>
          <w:bCs/>
          <w:i/>
          <w:iCs/>
          <w:sz w:val="28"/>
          <w:szCs w:val="28"/>
        </w:rPr>
        <w:t>5</w:t>
      </w:r>
      <w:r w:rsidR="0061260B" w:rsidRPr="00E31FEB">
        <w:rPr>
          <w:b/>
          <w:bCs/>
          <w:i/>
          <w:iCs/>
          <w:sz w:val="28"/>
          <w:szCs w:val="28"/>
        </w:rPr>
        <w:t xml:space="preserve">) </w:t>
      </w:r>
      <w:r w:rsidR="00AD0E8D" w:rsidRPr="00E31FEB">
        <w:rPr>
          <w:b/>
          <w:bCs/>
          <w:i/>
          <w:iCs/>
          <w:sz w:val="28"/>
          <w:szCs w:val="28"/>
        </w:rPr>
        <w:t>Ethical considerations</w:t>
      </w:r>
      <w:r w:rsidR="00260277" w:rsidRPr="00E31FEB">
        <w:rPr>
          <w:b/>
          <w:bCs/>
          <w:i/>
          <w:iCs/>
          <w:sz w:val="28"/>
          <w:szCs w:val="28"/>
        </w:rPr>
        <w:t>:</w:t>
      </w:r>
      <w:r w:rsidR="0061260B" w:rsidRPr="00E31FEB">
        <w:rPr>
          <w:b/>
          <w:bCs/>
          <w:i/>
          <w:iCs/>
          <w:sz w:val="28"/>
          <w:szCs w:val="28"/>
        </w:rPr>
        <w:t xml:space="preserve"> </w:t>
      </w:r>
    </w:p>
    <w:p w14:paraId="42575BD4" w14:textId="3CB5DB49" w:rsidR="00C104E4" w:rsidRPr="00701CFD" w:rsidRDefault="00E31FEB" w:rsidP="00701CFD">
      <w:pPr>
        <w:pStyle w:val="NormalWeb"/>
        <w:spacing w:line="360" w:lineRule="auto"/>
        <w:rPr>
          <w:rFonts w:eastAsia="Times New Roman"/>
          <w:lang w:eastAsia="en-GB"/>
        </w:rPr>
      </w:pPr>
      <w:r w:rsidRPr="00E31FEB">
        <w:rPr>
          <w:rFonts w:eastAsia="Times New Roman"/>
          <w:lang w:eastAsia="en-GB"/>
        </w:rPr>
        <w:t>No families will be contacted. Findings will be accurately referenced and interpreted respectfully to avoid stigmatising families. University ethics requirements will be checked. Critical thinking, analysis and synthesis will support evidence evaluation, while research literacy, digital skills, organisation, communication and professional judgement will demonstrate transferable skills relevant to health and social care practice</w:t>
      </w:r>
    </w:p>
    <w:p w14:paraId="4E612522" w14:textId="77777777" w:rsidR="00345062" w:rsidRDefault="00345062" w:rsidP="00C104E4">
      <w:pPr>
        <w:spacing w:line="360" w:lineRule="auto"/>
        <w:rPr>
          <w:b/>
          <w:bCs/>
          <w:i/>
          <w:iCs/>
          <w:sz w:val="28"/>
          <w:szCs w:val="28"/>
        </w:rPr>
      </w:pPr>
    </w:p>
    <w:p w14:paraId="262C8CA3" w14:textId="32577875" w:rsidR="00545684" w:rsidRDefault="00545684" w:rsidP="00C104E4">
      <w:pPr>
        <w:spacing w:line="360" w:lineRule="auto"/>
        <w:rPr>
          <w:b/>
          <w:bCs/>
          <w:i/>
          <w:iCs/>
          <w:sz w:val="28"/>
          <w:szCs w:val="28"/>
        </w:rPr>
      </w:pPr>
      <w:r w:rsidRPr="00C104E4">
        <w:rPr>
          <w:b/>
          <w:bCs/>
          <w:i/>
          <w:iCs/>
          <w:sz w:val="28"/>
          <w:szCs w:val="28"/>
        </w:rPr>
        <w:lastRenderedPageBreak/>
        <w:t>References</w:t>
      </w:r>
      <w:r w:rsidR="00C104E4">
        <w:rPr>
          <w:b/>
          <w:bCs/>
          <w:i/>
          <w:iCs/>
          <w:sz w:val="28"/>
          <w:szCs w:val="28"/>
        </w:rPr>
        <w:t>:</w:t>
      </w:r>
    </w:p>
    <w:p w14:paraId="435E00FC" w14:textId="0858AC4D" w:rsidR="00C104E4" w:rsidRPr="00C104E4" w:rsidRDefault="00C104E4" w:rsidP="00C104E4">
      <w:pPr>
        <w:spacing w:line="360" w:lineRule="auto"/>
      </w:pPr>
      <w:r>
        <w:t xml:space="preserve">Department for Education (2023) Working together to safeguard children 2023: Statutory guidance. London: Department for Education. Available at: </w:t>
      </w:r>
      <w:hyperlink r:id="rId11" w:history="1">
        <w:r>
          <w:rPr>
            <w:rStyle w:val="Hyperlink"/>
          </w:rPr>
          <w:t>https://www.gov.uk/government/publications/working-together-to-safeguard-children--2</w:t>
        </w:r>
      </w:hyperlink>
      <w:r>
        <w:t xml:space="preserve"> (Accessed: 21 October 2026).</w:t>
      </w:r>
    </w:p>
    <w:p w14:paraId="19359E68" w14:textId="77777777" w:rsidR="003079E2" w:rsidRPr="003079E2" w:rsidRDefault="003079E2" w:rsidP="00C104E4">
      <w:pPr>
        <w:spacing w:after="0" w:line="360" w:lineRule="auto"/>
        <w:rPr>
          <w:rFonts w:eastAsia="Times New Roman" w:cs="Times New Roman"/>
          <w:szCs w:val="24"/>
          <w:lang w:eastAsia="en-GB"/>
        </w:rPr>
      </w:pPr>
      <w:r w:rsidRPr="003079E2">
        <w:rPr>
          <w:rFonts w:eastAsia="Times New Roman" w:cs="Times New Roman"/>
          <w:noProof/>
          <w:szCs w:val="24"/>
          <w:lang w:eastAsia="en-GB"/>
        </w:rPr>
        <w:drawing>
          <wp:inline distT="0" distB="0" distL="0" distR="0" wp14:anchorId="19B55BC9" wp14:editId="5D8EE624">
            <wp:extent cx="302260" cy="302260"/>
            <wp:effectExtent l="0" t="0" r="2540" b="2540"/>
            <wp:docPr id="7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260" cy="302260"/>
                    </a:xfrm>
                    <a:prstGeom prst="rect">
                      <a:avLst/>
                    </a:prstGeom>
                    <a:noFill/>
                    <a:ln>
                      <a:noFill/>
                    </a:ln>
                  </pic:spPr>
                </pic:pic>
              </a:graphicData>
            </a:graphic>
          </wp:inline>
        </w:drawing>
      </w:r>
    </w:p>
    <w:p w14:paraId="2C069B97" w14:textId="6AD8DB93" w:rsidR="00C104E4" w:rsidRDefault="003079E2" w:rsidP="00C104E4">
      <w:pPr>
        <w:spacing w:after="0" w:line="360" w:lineRule="auto"/>
        <w:rPr>
          <w:rFonts w:eastAsia="Times New Roman" w:cs="Times New Roman"/>
          <w:sz w:val="22"/>
          <w:lang w:eastAsia="en-GB"/>
        </w:rPr>
      </w:pPr>
      <w:r w:rsidRPr="00C104E4">
        <w:rPr>
          <w:rFonts w:eastAsia="Times New Roman" w:cs="Times New Roman"/>
          <w:sz w:val="22"/>
          <w:lang w:eastAsia="en-GB"/>
        </w:rPr>
        <w:t>GOV.UK</w:t>
      </w:r>
    </w:p>
    <w:p w14:paraId="0BF26F30" w14:textId="55DA1FE6"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Department for Education (2023) — Safeguarding policy</w:t>
      </w:r>
    </w:p>
    <w:p w14:paraId="6EA03729"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Department for Education (2023) Working together to safeguard children 2023: A guide to multi-agency working to help, protect and promote the welfare of children. London: Department for Education.</w:t>
      </w:r>
    </w:p>
    <w:p w14:paraId="13711EFA"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hyperlink r:id="rId13" w:history="1">
        <w:r w:rsidRPr="00C104E4">
          <w:rPr>
            <w:rFonts w:eastAsia="Times New Roman" w:cs="Times New Roman"/>
            <w:color w:val="0000FF"/>
            <w:sz w:val="22"/>
            <w:u w:val="single"/>
            <w:lang w:eastAsia="en-GB"/>
          </w:rPr>
          <w:t>Access the 2023 statutory guidance (PDF)</w:t>
        </w:r>
      </w:hyperlink>
    </w:p>
    <w:p w14:paraId="75BE12B1" w14:textId="3EAA87A1"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Montgomery-Taylor, Watson and Klaber (2016) — Mixed-methods evaluation</w:t>
      </w:r>
    </w:p>
    <w:p w14:paraId="17E00125"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Montgomery-Taylor, S., Watson, M. and Klaber, R. (2016) ‘Child Health General Practice Hubs: a service evaluation’, Archives of Disease in Childhood, 101(4), pp. 333–337.</w:t>
      </w:r>
    </w:p>
    <w:p w14:paraId="0798B133"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hyperlink r:id="rId14" w:history="1">
        <w:r w:rsidRPr="00C104E4">
          <w:rPr>
            <w:rFonts w:eastAsia="Times New Roman" w:cs="Times New Roman"/>
            <w:color w:val="0000FF"/>
            <w:sz w:val="22"/>
            <w:u w:val="single"/>
            <w:lang w:eastAsia="en-GB"/>
          </w:rPr>
          <w:t>Read the article and abstract</w:t>
        </w:r>
      </w:hyperlink>
      <w:r w:rsidRPr="00C104E4">
        <w:rPr>
          <w:rFonts w:eastAsia="Times New Roman" w:cs="Times New Roman"/>
          <w:sz w:val="22"/>
          <w:lang w:eastAsia="en-GB"/>
        </w:rPr>
        <w:t xml:space="preserve"> </w:t>
      </w:r>
    </w:p>
    <w:p w14:paraId="07D2B351"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noProof/>
          <w:sz w:val="22"/>
          <w:lang w:eastAsia="en-GB"/>
        </w:rPr>
        <w:drawing>
          <wp:inline distT="0" distB="0" distL="0" distR="0" wp14:anchorId="0D1F3094" wp14:editId="00976121">
            <wp:extent cx="302260" cy="302260"/>
            <wp:effectExtent l="0" t="0" r="2540" b="2540"/>
            <wp:docPr id="8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260" cy="302260"/>
                    </a:xfrm>
                    <a:prstGeom prst="rect">
                      <a:avLst/>
                    </a:prstGeom>
                    <a:noFill/>
                    <a:ln>
                      <a:noFill/>
                    </a:ln>
                  </pic:spPr>
                </pic:pic>
              </a:graphicData>
            </a:graphic>
          </wp:inline>
        </w:drawing>
      </w:r>
    </w:p>
    <w:p w14:paraId="3935F056"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sz w:val="22"/>
          <w:lang w:eastAsia="en-GB"/>
        </w:rPr>
        <w:t>PubMed</w:t>
      </w:r>
    </w:p>
    <w:p w14:paraId="6551D8C6" w14:textId="666E5980"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Vseteckova, Boyle and Higgins (2022) — UK parenting interventions</w:t>
      </w:r>
    </w:p>
    <w:p w14:paraId="0FF6135A"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Vseteckova, J., Boyle, S. and Higgins, M. (2022) ‘A systematic review of parenting interventions used by social workers to support vulnerable children’, Journal of Social Work, 22(4), pp. 992–1030.</w:t>
      </w:r>
    </w:p>
    <w:p w14:paraId="6E511AFD"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hyperlink r:id="rId16" w:history="1">
        <w:r w:rsidRPr="00C104E4">
          <w:rPr>
            <w:rFonts w:eastAsia="Times New Roman" w:cs="Times New Roman"/>
            <w:color w:val="0000FF"/>
            <w:sz w:val="22"/>
            <w:u w:val="single"/>
            <w:lang w:eastAsia="en-GB"/>
          </w:rPr>
          <w:t>Read the article</w:t>
        </w:r>
      </w:hyperlink>
      <w:r w:rsidRPr="00C104E4">
        <w:rPr>
          <w:rFonts w:eastAsia="Times New Roman" w:cs="Times New Roman"/>
          <w:sz w:val="22"/>
          <w:lang w:eastAsia="en-GB"/>
        </w:rPr>
        <w:t xml:space="preserve"> </w:t>
      </w:r>
    </w:p>
    <w:p w14:paraId="38855E10"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noProof/>
          <w:sz w:val="22"/>
          <w:lang w:eastAsia="en-GB"/>
        </w:rPr>
        <w:drawing>
          <wp:inline distT="0" distB="0" distL="0" distR="0" wp14:anchorId="4A75EDC7" wp14:editId="292FCD61">
            <wp:extent cx="302260" cy="302260"/>
            <wp:effectExtent l="0" t="0" r="2540" b="2540"/>
            <wp:docPr id="8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260" cy="302260"/>
                    </a:xfrm>
                    <a:prstGeom prst="rect">
                      <a:avLst/>
                    </a:prstGeom>
                    <a:noFill/>
                    <a:ln>
                      <a:noFill/>
                    </a:ln>
                  </pic:spPr>
                </pic:pic>
              </a:graphicData>
            </a:graphic>
          </wp:inline>
        </w:drawing>
      </w:r>
    </w:p>
    <w:p w14:paraId="6F7652EB" w14:textId="77777777" w:rsidR="009C7BC5" w:rsidRPr="00C104E4" w:rsidRDefault="009C7BC5" w:rsidP="00C104E4">
      <w:pPr>
        <w:spacing w:after="0" w:line="360" w:lineRule="auto"/>
        <w:rPr>
          <w:rFonts w:eastAsia="Times New Roman" w:cs="Times New Roman"/>
          <w:sz w:val="22"/>
          <w:lang w:val="nl-NL" w:eastAsia="en-GB"/>
        </w:rPr>
      </w:pPr>
      <w:r w:rsidRPr="00C104E4">
        <w:rPr>
          <w:rFonts w:eastAsia="Times New Roman" w:cs="Times New Roman"/>
          <w:sz w:val="22"/>
          <w:lang w:val="nl-NL" w:eastAsia="en-GB"/>
        </w:rPr>
        <w:t>Sage Journals</w:t>
      </w:r>
    </w:p>
    <w:p w14:paraId="2957E9AC" w14:textId="53D41496"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val="nl-NL" w:eastAsia="en-GB"/>
        </w:rPr>
        <w:lastRenderedPageBreak/>
        <w:t xml:space="preserve">Peters et al. </w:t>
      </w:r>
      <w:r w:rsidRPr="00C104E4">
        <w:rPr>
          <w:rFonts w:eastAsia="Times New Roman" w:cs="Times New Roman"/>
          <w:sz w:val="22"/>
          <w:lang w:eastAsia="en-GB"/>
        </w:rPr>
        <w:t>(2020) — Scoping review methodology</w:t>
      </w:r>
    </w:p>
    <w:p w14:paraId="2CAC3F55"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eastAsia="en-GB"/>
        </w:rPr>
        <w:t>Peters, M.D.J. et al. (2020) ‘Updated methodological guidance for the conduct of scoping reviews’, JBI Evidence Synthesis, 18(10), pp. 2119–2126.</w:t>
      </w:r>
    </w:p>
    <w:p w14:paraId="67065D2B"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hyperlink r:id="rId18" w:history="1">
        <w:r w:rsidRPr="00C104E4">
          <w:rPr>
            <w:rFonts w:eastAsia="Times New Roman" w:cs="Times New Roman"/>
            <w:color w:val="0000FF"/>
            <w:sz w:val="22"/>
            <w:u w:val="single"/>
            <w:lang w:eastAsia="en-GB"/>
          </w:rPr>
          <w:t>Read the article</w:t>
        </w:r>
      </w:hyperlink>
      <w:r w:rsidRPr="00C104E4">
        <w:rPr>
          <w:rFonts w:eastAsia="Times New Roman" w:cs="Times New Roman"/>
          <w:sz w:val="22"/>
          <w:lang w:eastAsia="en-GB"/>
        </w:rPr>
        <w:t xml:space="preserve"> </w:t>
      </w:r>
    </w:p>
    <w:p w14:paraId="7A312AC9"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noProof/>
          <w:sz w:val="22"/>
          <w:lang w:eastAsia="en-GB"/>
        </w:rPr>
        <w:drawing>
          <wp:inline distT="0" distB="0" distL="0" distR="0" wp14:anchorId="29E6B843" wp14:editId="1337BAC2">
            <wp:extent cx="302260" cy="302260"/>
            <wp:effectExtent l="0" t="0" r="2540" b="2540"/>
            <wp:docPr id="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260" cy="302260"/>
                    </a:xfrm>
                    <a:prstGeom prst="rect">
                      <a:avLst/>
                    </a:prstGeom>
                    <a:noFill/>
                    <a:ln>
                      <a:noFill/>
                    </a:ln>
                  </pic:spPr>
                </pic:pic>
              </a:graphicData>
            </a:graphic>
          </wp:inline>
        </w:drawing>
      </w:r>
    </w:p>
    <w:p w14:paraId="18BD8419" w14:textId="77777777" w:rsidR="00345062" w:rsidRDefault="009C7BC5" w:rsidP="00345062">
      <w:pPr>
        <w:spacing w:after="0" w:line="360" w:lineRule="auto"/>
        <w:rPr>
          <w:rFonts w:eastAsia="Times New Roman" w:cs="Times New Roman"/>
          <w:sz w:val="22"/>
          <w:lang w:eastAsia="en-GB"/>
        </w:rPr>
      </w:pPr>
      <w:r w:rsidRPr="00C104E4">
        <w:rPr>
          <w:rFonts w:eastAsia="Times New Roman" w:cs="Times New Roman"/>
          <w:sz w:val="22"/>
          <w:lang w:eastAsia="en-GB"/>
        </w:rPr>
        <w:t xml:space="preserve">PubMed </w:t>
      </w:r>
    </w:p>
    <w:p w14:paraId="7279FEF0" w14:textId="561257C2" w:rsidR="009C7BC5" w:rsidRPr="00C104E4" w:rsidRDefault="009C7BC5" w:rsidP="00345062">
      <w:pPr>
        <w:spacing w:after="0" w:line="360" w:lineRule="auto"/>
        <w:rPr>
          <w:rFonts w:eastAsia="Times New Roman" w:cs="Times New Roman"/>
          <w:sz w:val="22"/>
          <w:lang w:eastAsia="en-GB"/>
        </w:rPr>
      </w:pPr>
      <w:proofErr w:type="spellStart"/>
      <w:r w:rsidRPr="00C104E4">
        <w:rPr>
          <w:rFonts w:eastAsia="Times New Roman" w:cs="Times New Roman"/>
          <w:sz w:val="22"/>
          <w:lang w:eastAsia="en-GB"/>
        </w:rPr>
        <w:t>Tricco</w:t>
      </w:r>
      <w:proofErr w:type="spellEnd"/>
      <w:r w:rsidRPr="00C104E4">
        <w:rPr>
          <w:rFonts w:eastAsia="Times New Roman" w:cs="Times New Roman"/>
          <w:sz w:val="22"/>
          <w:lang w:eastAsia="en-GB"/>
        </w:rPr>
        <w:t xml:space="preserve"> et al. (2018) — PRISMA-</w:t>
      </w:r>
      <w:proofErr w:type="spellStart"/>
      <w:r w:rsidRPr="00C104E4">
        <w:rPr>
          <w:rFonts w:eastAsia="Times New Roman" w:cs="Times New Roman"/>
          <w:sz w:val="22"/>
          <w:lang w:eastAsia="en-GB"/>
        </w:rPr>
        <w:t>ScR</w:t>
      </w:r>
      <w:proofErr w:type="spellEnd"/>
      <w:r w:rsidRPr="00C104E4">
        <w:rPr>
          <w:rFonts w:eastAsia="Times New Roman" w:cs="Times New Roman"/>
          <w:sz w:val="22"/>
          <w:lang w:eastAsia="en-GB"/>
        </w:rPr>
        <w:t xml:space="preserve"> reporting guidance</w:t>
      </w:r>
    </w:p>
    <w:p w14:paraId="4D362E54"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r w:rsidRPr="00C104E4">
        <w:rPr>
          <w:rFonts w:eastAsia="Times New Roman" w:cs="Times New Roman"/>
          <w:sz w:val="22"/>
          <w:lang w:val="nl-NL" w:eastAsia="en-GB"/>
        </w:rPr>
        <w:t xml:space="preserve">Tricco, A.C. et al. </w:t>
      </w:r>
      <w:r w:rsidRPr="00C104E4">
        <w:rPr>
          <w:rFonts w:eastAsia="Times New Roman" w:cs="Times New Roman"/>
          <w:sz w:val="22"/>
          <w:lang w:eastAsia="en-GB"/>
        </w:rPr>
        <w:t>(2018) ‘PRISMA Extension for Scoping Reviews (PRISMA-</w:t>
      </w:r>
      <w:proofErr w:type="spellStart"/>
      <w:r w:rsidRPr="00C104E4">
        <w:rPr>
          <w:rFonts w:eastAsia="Times New Roman" w:cs="Times New Roman"/>
          <w:sz w:val="22"/>
          <w:lang w:eastAsia="en-GB"/>
        </w:rPr>
        <w:t>ScR</w:t>
      </w:r>
      <w:proofErr w:type="spellEnd"/>
      <w:r w:rsidRPr="00C104E4">
        <w:rPr>
          <w:rFonts w:eastAsia="Times New Roman" w:cs="Times New Roman"/>
          <w:sz w:val="22"/>
          <w:lang w:eastAsia="en-GB"/>
        </w:rPr>
        <w:t>): Checklist and Explanation’, Annals of Internal Medicine, 169(7), pp. 467–473.</w:t>
      </w:r>
    </w:p>
    <w:p w14:paraId="329C3125" w14:textId="77777777" w:rsidR="009C7BC5" w:rsidRPr="00C104E4" w:rsidRDefault="009C7BC5" w:rsidP="00C104E4">
      <w:pPr>
        <w:spacing w:before="100" w:beforeAutospacing="1" w:after="100" w:afterAutospacing="1" w:line="360" w:lineRule="auto"/>
        <w:rPr>
          <w:rFonts w:eastAsia="Times New Roman" w:cs="Times New Roman"/>
          <w:sz w:val="22"/>
          <w:lang w:eastAsia="en-GB"/>
        </w:rPr>
      </w:pPr>
      <w:hyperlink r:id="rId19" w:history="1">
        <w:r w:rsidRPr="00C104E4">
          <w:rPr>
            <w:rFonts w:eastAsia="Times New Roman" w:cs="Times New Roman"/>
            <w:color w:val="0000FF"/>
            <w:sz w:val="22"/>
            <w:u w:val="single"/>
            <w:lang w:eastAsia="en-GB"/>
          </w:rPr>
          <w:t>Read the article</w:t>
        </w:r>
      </w:hyperlink>
      <w:r w:rsidRPr="00C104E4">
        <w:rPr>
          <w:rFonts w:eastAsia="Times New Roman" w:cs="Times New Roman"/>
          <w:sz w:val="22"/>
          <w:lang w:eastAsia="en-GB"/>
        </w:rPr>
        <w:t xml:space="preserve"> </w:t>
      </w:r>
    </w:p>
    <w:p w14:paraId="2D16301C"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noProof/>
          <w:sz w:val="22"/>
          <w:lang w:eastAsia="en-GB"/>
        </w:rPr>
        <w:drawing>
          <wp:inline distT="0" distB="0" distL="0" distR="0" wp14:anchorId="5C0464D7" wp14:editId="2F9D6712">
            <wp:extent cx="302260" cy="302260"/>
            <wp:effectExtent l="0" t="0" r="2540" b="2540"/>
            <wp:docPr id="9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260" cy="302260"/>
                    </a:xfrm>
                    <a:prstGeom prst="rect">
                      <a:avLst/>
                    </a:prstGeom>
                    <a:noFill/>
                    <a:ln>
                      <a:noFill/>
                    </a:ln>
                  </pic:spPr>
                </pic:pic>
              </a:graphicData>
            </a:graphic>
          </wp:inline>
        </w:drawing>
      </w:r>
    </w:p>
    <w:p w14:paraId="47406994" w14:textId="77777777" w:rsidR="009C7BC5" w:rsidRPr="00C104E4" w:rsidRDefault="009C7BC5" w:rsidP="00C104E4">
      <w:pPr>
        <w:spacing w:after="0" w:line="360" w:lineRule="auto"/>
        <w:rPr>
          <w:rFonts w:eastAsia="Times New Roman" w:cs="Times New Roman"/>
          <w:sz w:val="22"/>
          <w:lang w:eastAsia="en-GB"/>
        </w:rPr>
      </w:pPr>
      <w:r w:rsidRPr="00C104E4">
        <w:rPr>
          <w:rFonts w:eastAsia="Times New Roman" w:cs="Times New Roman"/>
          <w:sz w:val="22"/>
          <w:lang w:eastAsia="en-GB"/>
        </w:rPr>
        <w:t>PubMed</w:t>
      </w:r>
    </w:p>
    <w:p w14:paraId="5BC91157" w14:textId="77777777" w:rsidR="00545684" w:rsidRDefault="00545684" w:rsidP="00C104E4">
      <w:pPr>
        <w:spacing w:line="360" w:lineRule="auto"/>
        <w:rPr>
          <w:rFonts w:ascii="Arial" w:hAnsi="Arial" w:cs="Arial"/>
          <w:sz w:val="22"/>
        </w:rPr>
      </w:pPr>
    </w:p>
    <w:p w14:paraId="66BE8F72" w14:textId="77777777" w:rsidR="009C7BC5" w:rsidRPr="00AD0E8D" w:rsidRDefault="009C7BC5" w:rsidP="00C104E4">
      <w:pPr>
        <w:spacing w:line="360" w:lineRule="auto"/>
        <w:rPr>
          <w:rFonts w:ascii="Arial" w:hAnsi="Arial" w:cs="Arial"/>
          <w:sz w:val="22"/>
        </w:rPr>
      </w:pPr>
    </w:p>
    <w:sectPr w:rsidR="009C7BC5" w:rsidRPr="00AD0E8D" w:rsidSect="00041A5A">
      <w:footerReference w:type="default" r:id="rId2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FCEEC" w14:textId="77777777" w:rsidR="00B302A1" w:rsidRDefault="00B302A1" w:rsidP="00545684">
      <w:pPr>
        <w:spacing w:after="0" w:line="240" w:lineRule="auto"/>
      </w:pPr>
      <w:r>
        <w:separator/>
      </w:r>
    </w:p>
  </w:endnote>
  <w:endnote w:type="continuationSeparator" w:id="0">
    <w:p w14:paraId="4B1B6894" w14:textId="77777777" w:rsidR="00B302A1" w:rsidRDefault="00B302A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3792" w14:textId="77777777" w:rsidR="00B302A1" w:rsidRDefault="00B302A1" w:rsidP="00545684">
      <w:pPr>
        <w:spacing w:after="0" w:line="240" w:lineRule="auto"/>
      </w:pPr>
      <w:r>
        <w:separator/>
      </w:r>
    </w:p>
  </w:footnote>
  <w:footnote w:type="continuationSeparator" w:id="0">
    <w:p w14:paraId="4479C7E5" w14:textId="77777777" w:rsidR="00B302A1" w:rsidRDefault="00B302A1"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390F"/>
    <w:multiLevelType w:val="hybridMultilevel"/>
    <w:tmpl w:val="3C2482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A0B7F"/>
    <w:multiLevelType w:val="hybridMultilevel"/>
    <w:tmpl w:val="641291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92959"/>
    <w:multiLevelType w:val="hybridMultilevel"/>
    <w:tmpl w:val="0882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1014E"/>
    <w:multiLevelType w:val="multilevel"/>
    <w:tmpl w:val="7390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2098600908">
    <w:abstractNumId w:val="0"/>
  </w:num>
  <w:num w:numId="3" w16cid:durableId="1069426968">
    <w:abstractNumId w:val="3"/>
  </w:num>
  <w:num w:numId="4" w16cid:durableId="1336613063">
    <w:abstractNumId w:val="1"/>
  </w:num>
  <w:num w:numId="5" w16cid:durableId="1066144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175A23"/>
    <w:rsid w:val="00216C85"/>
    <w:rsid w:val="00260277"/>
    <w:rsid w:val="00273EDD"/>
    <w:rsid w:val="002A15DA"/>
    <w:rsid w:val="002C3965"/>
    <w:rsid w:val="003079E2"/>
    <w:rsid w:val="00321C4C"/>
    <w:rsid w:val="00345062"/>
    <w:rsid w:val="00380294"/>
    <w:rsid w:val="003A220F"/>
    <w:rsid w:val="003B5B7F"/>
    <w:rsid w:val="0042144F"/>
    <w:rsid w:val="004903AA"/>
    <w:rsid w:val="004E6C3B"/>
    <w:rsid w:val="00545684"/>
    <w:rsid w:val="005D69BB"/>
    <w:rsid w:val="0061260B"/>
    <w:rsid w:val="00701CFD"/>
    <w:rsid w:val="00715990"/>
    <w:rsid w:val="00784670"/>
    <w:rsid w:val="00792527"/>
    <w:rsid w:val="00866B7B"/>
    <w:rsid w:val="008E5015"/>
    <w:rsid w:val="009203CD"/>
    <w:rsid w:val="009A3227"/>
    <w:rsid w:val="009C7BC5"/>
    <w:rsid w:val="009D1D1E"/>
    <w:rsid w:val="00A035FD"/>
    <w:rsid w:val="00A5082A"/>
    <w:rsid w:val="00AD0E8D"/>
    <w:rsid w:val="00B302A1"/>
    <w:rsid w:val="00B97A2F"/>
    <w:rsid w:val="00C104E4"/>
    <w:rsid w:val="00D57487"/>
    <w:rsid w:val="00D769F0"/>
    <w:rsid w:val="00E31FEB"/>
    <w:rsid w:val="00E614D4"/>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B97A2F"/>
    <w:rPr>
      <w:rFonts w:cs="Times New Roman"/>
      <w:szCs w:val="24"/>
    </w:rPr>
  </w:style>
  <w:style w:type="character" w:styleId="Hyperlink">
    <w:name w:val="Hyperlink"/>
    <w:basedOn w:val="DefaultParagraphFont"/>
    <w:uiPriority w:val="99"/>
    <w:semiHidden/>
    <w:unhideWhenUsed/>
    <w:rsid w:val="00C104E4"/>
    <w:rPr>
      <w:color w:val="0000FF"/>
      <w:u w:val="single"/>
    </w:rPr>
  </w:style>
  <w:style w:type="paragraph" w:styleId="ListParagraph">
    <w:name w:val="List Paragraph"/>
    <w:basedOn w:val="Normal"/>
    <w:uiPriority w:val="34"/>
    <w:qFormat/>
    <w:rsid w:val="009A32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cb4349a7ded0000c79e4e1/Working_together_to_safeguard_children_2023_-_statutory_guidance.pdf?utm_source=chatgpt.com" TargetMode="External"/><Relationship Id="rId18" Type="http://schemas.openxmlformats.org/officeDocument/2006/relationships/hyperlink" Target="https://doi.org/10.11124/JBIES-20-00167?utm_source=chatgp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doi.org/10.1177/14680173211037237?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safeguard-children--2?utm_source=chatgpt.com"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jpeg"/><Relationship Id="rId19" Type="http://schemas.openxmlformats.org/officeDocument/2006/relationships/hyperlink" Target="https://doi.org/10.7326/M18-0850?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med.ncbi.nlm.nih.gov/26699536/?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6ff66b7a9264bdd0fa1faad84c41b5e4">
  <xsd:schema xmlns:xsd="http://www.w3.org/2001/XMLSchema" xmlns:xs="http://www.w3.org/2001/XMLSchema" xmlns:p="http://schemas.microsoft.com/office/2006/metadata/properties" xmlns:ns3="58b591e8-e818-4825-9ded-2371f6ca824b" targetNamespace="http://schemas.microsoft.com/office/2006/metadata/properties" ma:root="true" ma:fieldsID="849dcbf1664fe2e2052e106e4f81fb65"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Props1.xml><?xml version="1.0" encoding="utf-8"?>
<ds:datastoreItem xmlns:ds="http://schemas.openxmlformats.org/officeDocument/2006/customXml" ds:itemID="{8FBE3693-BFBE-4EBF-B4B6-0D061002C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E8AAA-E77D-4965-AFF0-29A1ACFFD4AC}">
  <ds:schemaRefs>
    <ds:schemaRef ds:uri="http://schemas.microsoft.com/sharepoint/v3/contenttype/forms"/>
  </ds:schemaRefs>
</ds:datastoreItem>
</file>

<file path=customXml/itemProps3.xml><?xml version="1.0" encoding="utf-8"?>
<ds:datastoreItem xmlns:ds="http://schemas.openxmlformats.org/officeDocument/2006/customXml" ds:itemID="{88261A9A-99C1-4A5F-950C-2D4ECABC286E}">
  <ds:schemaRefs>
    <ds:schemaRef ds:uri="http://schemas.microsoft.com/office/2006/metadata/properties"/>
    <ds:schemaRef ds:uri="http://schemas.microsoft.com/office/infopath/2007/PartnerControls"/>
    <ds:schemaRef ds:uri="58b591e8-e818-4825-9ded-2371f6ca824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734</Words>
  <Characters>5158</Characters>
  <Application>Microsoft Office Word</Application>
  <DocSecurity>0</DocSecurity>
  <Lines>122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Jujita Angog Cupatan (2424591)</cp:lastModifiedBy>
  <cp:revision>4</cp:revision>
  <dcterms:created xsi:type="dcterms:W3CDTF">2026-10-23T22:28:00Z</dcterms:created>
  <dcterms:modified xsi:type="dcterms:W3CDTF">2026-10-23T22:31:00Z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