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Student name: Audrey Golding                                                                                                        Student number: 2515364</w:t>
      </w:r>
    </w:p>
    <w:p w:rsidR="00000000" w:rsidDel="00000000" w:rsidP="00000000" w:rsidRDefault="00000000" w:rsidRPr="00000000" w14:paraId="00000002">
      <w:pPr>
        <w:rPr/>
      </w:pPr>
      <w:r w:rsidDel="00000000" w:rsidR="00000000" w:rsidRPr="00000000">
        <w:rPr>
          <w:rtl w:val="0"/>
        </w:rPr>
        <w:t xml:space="preserve">Module: introduction to health and social care </w:t>
      </w:r>
    </w:p>
    <w:p w:rsidR="00000000" w:rsidDel="00000000" w:rsidP="00000000" w:rsidRDefault="00000000" w:rsidRPr="00000000" w14:paraId="00000003">
      <w:pPr>
        <w:rPr/>
      </w:pPr>
      <w:r w:rsidDel="00000000" w:rsidR="00000000" w:rsidRPr="00000000">
        <w:rPr>
          <w:rtl w:val="0"/>
        </w:rPr>
        <w:t xml:space="preserve">Module code: LCHS4003_Birm</w:t>
      </w:r>
    </w:p>
    <w:p w:rsidR="00000000" w:rsidDel="00000000" w:rsidP="00000000" w:rsidRDefault="00000000" w:rsidRPr="00000000" w14:paraId="00000004">
      <w:pPr>
        <w:rPr/>
      </w:pPr>
      <w:r w:rsidDel="00000000" w:rsidR="00000000" w:rsidRPr="00000000">
        <w:rPr>
          <w:rtl w:val="0"/>
        </w:rPr>
        <w:t xml:space="preserve">Lecturer name: Aishat Bakre</w:t>
      </w:r>
    </w:p>
    <w:p w:rsidR="00000000" w:rsidDel="00000000" w:rsidP="00000000" w:rsidRDefault="00000000" w:rsidRPr="00000000" w14:paraId="00000005">
      <w:pPr>
        <w:rPr/>
      </w:pPr>
      <w:r w:rsidDel="00000000" w:rsidR="00000000" w:rsidRPr="00000000">
        <w:rPr>
          <w:rtl w:val="0"/>
        </w:rPr>
        <w:t xml:space="preserve">Submitted on: 27/03/2026</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sz w:val="28"/>
          <w:szCs w:val="28"/>
          <w:rtl w:val="0"/>
        </w:rPr>
        <w:t xml:space="preserve">A Case Study Report on the Care of Mr. Ahmed</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Introduction   </w:t>
      </w:r>
    </w:p>
    <w:p w:rsidR="00000000" w:rsidDel="00000000" w:rsidP="00000000" w:rsidRDefault="00000000" w:rsidRPr="00000000" w14:paraId="0000000A">
      <w:pPr>
        <w:rPr/>
      </w:pPr>
      <w:r w:rsidDel="00000000" w:rsidR="00000000" w:rsidRPr="00000000">
        <w:rPr>
          <w:rtl w:val="0"/>
        </w:rPr>
        <w:t xml:space="preserve">This report is about Mr. Ahmed, a 68-year-old man who recently had a stroke. He lives with his wife in a ground-floor flat and receives help from a care agency three times a day. His first language is Bengali, and since his stroke he has some difficulty understanding English. A recent incident where a care agency missed a visit meant Mr. Ahmed did not receive his medication on time. This has raised serious concerns about the safety of his care. The purpose of this report is to explore three key areas that are important for preventing such incidents: effective communication, strong administrative skills, and good collaborative working between professionals. By looking at these areas, this report will show how they work together to ensure Mr. Ahmed receives safe, respectful, and high-quality care.</w:t>
      </w:r>
    </w:p>
    <w:p w:rsidR="00000000" w:rsidDel="00000000" w:rsidP="00000000" w:rsidRDefault="00000000" w:rsidRPr="00000000" w14:paraId="0000000B">
      <w:pPr>
        <w:rPr/>
      </w:pPr>
      <w:r w:rsidDel="00000000" w:rsidR="00000000" w:rsidRPr="00000000">
        <w:rPr>
          <w:rtl w:val="0"/>
        </w:rPr>
        <w:t xml:space="preserve"> Effective Communication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Effective communication is essential in health and social care because it affects every aspect of a person's safety and wellbeing (Ali, 2020). For Mr. Ahmed, communication is not just about passing information; it is about making sure he is treated with dignity and that his needs are properly understood. The missed visit and the delay in his medication show what can happen when communication breaks down. When professionals do not share information clearly, tasks can be missed, and the person receiving care can come to harm. In Mr. Ahmed's situation, there are several professionals involved, including care workers, a district nurse, a GP, and a speech and language therapist. All of them need to communicate effectively with each other and with Mr. Ahmed and his wife to provide consistent care.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One of the biggest challenges in communicating with Mr. Ahmed is the language barrier. His first language is Bengali, and although he understands some English, his stroke may have made it harder for him to follow conversations. To communicate properly, professionals should use a trained interpreter rather than relying on his wife to translate complex information. Relying on family members can put pressure on them and may lead to misunderstandings (Henderson, 2019). The Equality Act 2010 is a key piece of law that applies here. It requires organisations to make ''reasonable adjustments'' so that people are not disadvantaged because of their race or disability. Providing an interpreter for Mr. Ahmed is a reasonable adjustment that the care agency and NHS professionals are legally required to make. Cultural sensitivity is also important. Professionals should take time to understand Mr. Ahmed's background, respect his wife's role in his care, and be aware of any cultural preferences around personal care or diet. Small actions, like learning a few words of Bengali or using a calm and respectful tone, can make a big difference.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Using visual aids is another practical way to support communication. Since Mr. Ahmed has communication difficulties following his stroke, picture cards showing meals, drinks, pain levels, or personal care tasks can help him express what he wants. This gives him more control over his own care and supports his dignity. The speech and language therapist will have a key role in advising the team on the best ways to communicate with him.</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 useful way to think about communication is the Shannon-Weaver Model of Communication (Shannon and Weaver, 1949). This simple model breaks communication into parts: the sender who has a message, the channel used to send it, the receiver, and feedback. It also introduces the idea of ''noise,'' which is anything that interferes with the message being understood. In Mr. Ahmed's case, ''noise'' could be his difficulty with English, a rushed phone call to his wife, unclear handwriting in a care note, or even background noise in the home. The model shows that communication is only complete when the receiver gives feedback to confirm they have understood. For example, if a district nurse tells Mr. Ahmed's wife about a change in medication, she should ask her to repeat the key points back. By using this model, professionals can identify where communication might fail and take steps to prevent it. Applying a clear structure to communication helps make sure important information about Mr. Ahmed's health and medication is not lost.</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Administrative Skills and Record Keeping</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Accurate record keeping is a fundamental part of professional practice. It is not just about filling out forms; it is a way of communicating with other members of the team and ensuring continuity of care (Griffith and Tengnah, 2020). For Mr. Ahmed, good record keeping means that everyone involved in his care has access to the same information. His care plan should include all essential details: his medication list, his communication needs, his wife's contact details, and information about his stroke and any swallowing difficulties. Every visit from the care agency, district nurse, or speech therapist should be recorded clearly. This includes the time of the visit, what care was given, and any observations about his health or wellbeing. If the district nurse checks his blood pressure and records that it is high, the GP can see this information and adjust his medication. If care workers record that Mr. Ahmed seemed more confused than usual, other professionals will know to look out for this. Good records create a full picture of Mr. Ahmed’s health over time.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Poor record-keeping creates serious information that can be lost or forgotten, tasks can be missed, and it becomes impossible to know what care has been provided. In Mr. Ahmed’s case, the missed visit might have been caused by poor administration. Perhaps the visit was not properly recorded in the agency’s schedule, or the care worker was not given clear instructions. When records are incomplete, it is also harder to investigate what went wrong and learn from mistakes. The Care Quality Commission (CQC), which regulates health and social care services in England, expects providers to have good governance systems in place, including accurate record keeping (Care Quality Commission, 2017). If a service has poor records, the CQC can take enforcement action.</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ind w:left="0" w:firstLine="0"/>
        <w:rPr/>
      </w:pPr>
      <w:r w:rsidDel="00000000" w:rsidR="00000000" w:rsidRPr="00000000">
        <w:rPr>
          <w:rtl w:val="0"/>
        </w:rPr>
        <w:t xml:space="preserve">The law and professional standards set clear rules for how records should be kept. The Data Protection Act 2018 controls how personal information is used. It says that information about Mr. Ahmed must be kept secure, accurate, and only used for the purpose of his care. The Caldicott Principles are guidelines that help professionals handle information responsibly. They remind us that we should only share information on a need-to-know basis and always justify why we are sharing it. For example, a care worker needs to know Mr. Ahmed’s medication times and any allergies, but does not need to know his full medical history. Professional frameworks also set standards. The Nursing and Midwifery Council (NMC) Code (2018) states that nurses must “keep clear and accurate records” and complete them as soon as possible after an event. Although this applies to nurses, it reflects the professional standards expected of all health and care staff. Good administration, therefore, is not an optional extra; it is a legal and professional duty that directly affects the safety of people like Mr. Ahmed.</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Collaborative Working</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Mr. Ahmed’s care involves a team of people from different organisations. His wife provides informal support, the care agency provides daily visits, the district nurse visits twice a week, the GP oversees his medical care, and the speech and language therapist works on his communication and swallowing. For Mr. Ahmed to receive safe and consistent care, these individuals and organisations must work together collaboratively. Multi-agency collaboration means sharing information, coordinating visits, and agreeing on shared goals (Glasby and Dickinson, 2014). When collaboration works well, it prevents gaps in care. For example, if the speech and language therapist recommends changes to Mr. Ahmed’s food consistency, this information needs to reach the care workers who prepare his meals. If collaboration fails, as the missed visit suggests, the person receiving care can be left without essential support.</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One effective approach to collaboration is a shared care plan. This is a single document that all professionals can access and update. It ensures that everyone is working from the same information. In Mr. Ahmed’s case, a shared care plan would include his medication schedule, his communication needs, his blood pressure monitoring plan, and his therapy goals. This would help the care agency understand why the district nurse visits and ensure that care workers know about his therapy sessions. Regular communication between team members is also essential. This could be through brief team meetings, phone calls, or a shared communication book kept in Mr. Ahmed’s home. A communication book allows professionals to leave notes for each other, ensuring that important information is not missed.</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There are challenges to collaborative working. Different agencies often use different computer systems, and staff work different shift patterns. It can be difficult to find time for meetings. In Mr. Ahmed’s case, there may also be a language barrier between some professionals and his family. To overcome these challenges, services can appoint a named care coordinator who is responsible for overseeing communication. Simple strategies like using a shared communication book and agreeing on regular update times can also help. The key is to make collaboration a priority, not something that happens only when problems arise.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Conclusion</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This report has examined the importance of effective communication, strong administrative skills, and collaborative working in the care of Mr. Ahmed. The missed visit that led to him not receiving his medication on time was not just a simple mistake; it reflected failures in how information was shared, recorded, and coordinated. From this case, I have learned that good care is built on a foundation of good practice behind the scenes. Communication must be clear and respectful, using interpreters and visual aids where needed, and guided by the Equality Act 2010. Record keeping must be accurate and lawful, following the Data Protection Act and professional standards like the NMC Code. Collaboration between agencies must be proactive, using shared care plans and regular communication. By applying these principles, professionals can prevent mistakes and ensure that people like Mr. Ahmed receive the safe, dignified care they deserve.</w:t>
      </w:r>
    </w:p>
    <w:p w:rsidR="00000000" w:rsidDel="00000000" w:rsidP="00000000" w:rsidRDefault="00000000" w:rsidRPr="00000000" w14:paraId="00000028">
      <w:pPr>
        <w:rPr/>
      </w:pPr>
      <w:r w:rsidDel="00000000" w:rsidR="00000000" w:rsidRPr="00000000">
        <w:rPr>
          <w:rtl w:val="0"/>
        </w:rPr>
        <w:t xml:space="preserve">Reference List</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Ali, P. (2020) Communication Skills in Health and Social Care. London: Sage Publications.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Care Quality Commission (2017) Regulation 17: Good Governance. Available at: https://www.cqc.org.uk/guidance-providers/regulations-enforcement/regulation-17-good-governance (Accessed: 26 March 2026).</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Data Protection Act 2018 (c. 12). Available at: https://www.legislation.gov.uk/ukpga/2018/12/contents/enacted (Accessed: 26 March 2026).</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Equality Act 2010 (c. 15). Available at: https://www.legislation.gov.uk/ukpga/2010/15/contents (Accessed: 26 March 2026).</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Glasby, J. and Dickinson, H. (2014) Partnership Working in Health and Social Care. 2nd edn. Bristol: Policy Press.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Griffith, R. and Tengnah, C. (2020) Law and Professional Issues in Nursing. 5th edn. London: Learning Matters.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Henderson, S. (2019) ‘Cultural competence in health care’, Nursing Standard, 34(5), pp. 45-50.</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Nursing and Midwifery Council (2018) The Code: Professional Standards of Practice and Behaviour for Nurses, Midwives and Nursing Associates. London: NMC. Available at: https://www.nmc.org.uk/standards/code/ (Accessed: 26 March 2026).</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Shannon, C.E. and Weaver, W. (1949) The Mathematical Theory of Communication. Urbana: University of Illinois Press.</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yfG339INUDSdTBzLEXixLpQg/g==">CgMxLjA4AHIhMWV1Z3hVbHcxTlRNaDFldU9MTWNCWjhzcTZKNlFtYVFv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